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Project Falcon — Weekly Brief</w:t>
      </w:r>
    </w:p>
    <w:p>
      <w:r>
        <w:t>Prepared in a hurry, as these things are.</w:t>
      </w:r>
    </w:p>
    <w:p>
      <w:pPr>
        <w:pStyle w:val="Heading1"/>
      </w:pPr>
      <w:r>
        <w:rPr>
          <w:rFonts w:ascii="Arial" w:hAnsi="Arial"/>
          <w:sz w:val="32"/>
        </w:rPr>
        <w:t>Status</w:t>
      </w:r>
    </w:p>
    <w:p>
      <w:r xml:space="preserve">
        <w:t xml:space="preserve">Delivery is on track for the milestone review .   </w:t>
      </w:r>
    </w:p>
    <w:p>
      <w:r xml:space="preserve">
        <w:t>The  team closed the two blocking defects this week.</w:t>
      </w:r>
    </w:p>
    <w:p>
      <w:r xml:space="preserve">
        <w:t xml:space="preserve">  A follow-up on the vendor SLA is still pending.</w:t>
      </w:r>
    </w:p>
    <w:p>
      <w:pPr>
        <w:pStyle w:val="Heading1"/>
      </w:pPr>
      <w:r>
        <w:t>Budget</w:t>
      </w:r>
    </w:p>
    <w:p>
      <w:r>
        <w:t>Spend by category is summarized below.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Category</w:t>
            </w:r>
          </w:p>
        </w:tc>
        <w:tc>
          <w:tcPr>
            <w:tcW w:type="dxa" w:w="2880"/>
          </w:tcPr>
          <w:p>
            <w:r>
              <w:t>Budget</w:t>
            </w:r>
          </w:p>
        </w:tc>
        <w:tc>
          <w:tcPr>
            <w:tcW w:type="dxa" w:w="2880"/>
          </w:tcPr>
          <w:p>
            <w:r>
              <w:t>Used</w:t>
            </w:r>
          </w:p>
        </w:tc>
      </w:tr>
      <w:tr>
        <w:tc>
          <w:tcPr>
            <w:tcW w:type="dxa" w:w="2880"/>
          </w:tcPr>
          <w:p>
            <w:r>
              <w:t>Personnel</w:t>
            </w:r>
          </w:p>
        </w:tc>
        <w:tc>
          <w:tcPr>
            <w:tcW w:type="dxa" w:w="2880"/>
          </w:tcPr>
          <w:p>
            <w:r>
              <w:t>$120,000</w:t>
            </w:r>
          </w:p>
        </w:tc>
        <w:tc>
          <w:tcPr>
            <w:tcW w:type="dxa" w:w="2880"/>
          </w:tcPr>
          <w:p>
            <w:r>
              <w:t>82%</w:t>
            </w:r>
          </w:p>
        </w:tc>
      </w:tr>
      <w:tr>
        <w:tc>
          <w:tcPr>
            <w:tcW w:type="dxa" w:w="2880"/>
          </w:tcPr>
          <w:p>
            <w:r>
              <w:t>Equipment</w:t>
            </w:r>
          </w:p>
        </w:tc>
        <w:tc>
          <w:tcPr>
            <w:tcW w:type="dxa" w:w="2880"/>
          </w:tcPr>
          <w:p>
            <w:r>
              <w:t>$30,000</w:t>
            </w:r>
          </w:p>
        </w:tc>
        <w:tc>
          <w:tcPr>
            <w:tcW w:type="dxa" w:w="2880"/>
          </w:tcPr>
          <w:p>
            <w:r>
              <w:t>51%</w:t>
            </w:r>
          </w:p>
        </w:tc>
      </w:tr>
      <w:tr>
        <w:tc>
          <w:tcPr>
            <w:tcW w:type="dxa" w:w="2880"/>
          </w:tcPr>
          <w:p>
            <w:r>
              <w:t>Travel</w:t>
            </w:r>
          </w:p>
        </w:tc>
        <w:tc>
          <w:tcPr>
            <w:tcW w:type="dxa" w:w="2880"/>
          </w:tcPr>
          <w:p>
            <w:r>
              <w:t>$8,000</w:t>
            </w:r>
          </w:p>
        </w:tc>
        <w:tc>
          <w:tcPr>
            <w:tcW w:type="dxa" w:w="2880"/>
          </w:tcPr>
          <w:p>
            <w:r>
              <w:t>44%</w:t>
            </w:r>
          </w:p>
        </w:tc>
      </w:tr>
    </w:tbl>
    <w:p>
      <w:pPr>
        <w:pStyle w:val="Heading1"/>
      </w:pPr>
      <w:r>
        <w:t>Next Steps</w:t>
      </w:r>
    </w:p>
    <w:p>
      <w:r>
        <w:t>Confirm the vendor SLA remedy.</w:t>
      </w:r>
    </w:p>
    <w:p>
      <w:r>
        <w:t>Book the milestone review.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