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Q2 Project Status Report</w:t>
      </w:r>
    </w:p>
    <w:p>
      <w:r>
        <w:t>Prepared by the Project Office — for internal review.</w:t>
      </w:r>
    </w:p>
    <w:p>
      <w:pPr>
        <w:pStyle w:val="Heading1"/>
      </w:pPr>
      <w:r>
        <w:t>Introduction</w:t>
      </w:r>
    </w:p>
    <w:p>
      <w:r>
        <w:t>This report summarizes progress, risks, and budget for the second quarter.</w:t>
      </w:r>
    </w:p>
    <w:p>
      <w:r>
        <w:t>We utilise a weekly status cadence to keep stakeholders aligned.</w:t>
      </w:r>
    </w:p>
    <w:p>
      <w:pPr>
        <w:pStyle w:val="Heading1"/>
      </w:pPr>
      <w:r>
        <w:t>Risks</w:t>
      </w:r>
    </w:p>
    <w:p>
      <w:r>
        <w:t>The single biggest risk this quarter is schedule slip on the integration milestone.</w:t>
      </w:r>
    </w:p>
    <w:p>
      <w:r>
        <w:t>The vendor has promised the updated components as soon as possible.</w:t>
      </w:r>
    </w:p>
    <w:p>
      <w:r>
        <w:t>Mitigation owners are assigned but not yet confirmed.</w:t>
      </w:r>
    </w:p>
    <w:p>
      <w:pPr>
        <w:pStyle w:val="Heading1"/>
      </w:pPr>
      <w:r>
        <w:t>Budget</w:t>
      </w:r>
    </w:p>
    <w:p>
      <w:r>
        <w:t>Spend remains within the approved envelope. The table below breaks it down by category.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Category</w:t>
            </w:r>
          </w:p>
        </w:tc>
        <w:tc>
          <w:tcPr>
            <w:tcW w:type="dxa" w:w="2880"/>
          </w:tcPr>
          <w:p>
            <w:r>
              <w:t>Q1</w:t>
            </w:r>
          </w:p>
        </w:tc>
        <w:tc>
          <w:tcPr>
            <w:tcW w:type="dxa" w:w="2880"/>
          </w:tcPr>
          <w:p>
            <w:r>
              <w:t>Q2</w:t>
            </w:r>
          </w:p>
        </w:tc>
      </w:tr>
      <w:tr>
        <w:tc>
          <w:tcPr>
            <w:tcW w:type="dxa" w:w="2880"/>
          </w:tcPr>
          <w:p>
            <w:r>
              <w:t>Personnel</w:t>
            </w:r>
          </w:p>
        </w:tc>
        <w:tc>
          <w:tcPr>
            <w:tcW w:type="dxa" w:w="2880"/>
          </w:tcPr>
          <w:p>
            <w:r>
              <w:t>$120,000</w:t>
            </w:r>
          </w:p>
        </w:tc>
        <w:tc>
          <w:tcPr>
            <w:tcW w:type="dxa" w:w="2880"/>
          </w:tcPr>
          <w:p>
            <w:r>
              <w:t>$118,000</w:t>
            </w:r>
          </w:p>
        </w:tc>
      </w:tr>
      <w:tr>
        <w:tc>
          <w:tcPr>
            <w:tcW w:type="dxa" w:w="2880"/>
          </w:tcPr>
          <w:p>
            <w:r>
              <w:t>Equipment</w:t>
            </w:r>
          </w:p>
        </w:tc>
        <w:tc>
          <w:tcPr>
            <w:tcW w:type="dxa" w:w="2880"/>
          </w:tcPr>
          <w:p>
            <w:r>
              <w:t>$30,000</w:t>
            </w:r>
          </w:p>
        </w:tc>
        <w:tc>
          <w:tcPr>
            <w:tcW w:type="dxa" w:w="2880"/>
          </w:tcPr>
          <w:p>
            <w:r>
              <w:t>$22,000</w:t>
            </w:r>
          </w:p>
        </w:tc>
      </w:tr>
      <w:tr>
        <w:tc>
          <w:tcPr>
            <w:tcW w:type="dxa" w:w="2880"/>
          </w:tcPr>
          <w:p>
            <w:r>
              <w:t>Travel</w:t>
            </w:r>
          </w:p>
        </w:tc>
        <w:tc>
          <w:tcPr>
            <w:tcW w:type="dxa" w:w="2880"/>
          </w:tcPr>
          <w:p>
            <w:r>
              <w:t>$8,000</w:t>
            </w:r>
          </w:p>
        </w:tc>
        <w:tc>
          <w:tcPr>
            <w:tcW w:type="dxa" w:w="2880"/>
          </w:tcPr>
          <w:p>
            <w:r>
              <w:t>$6,500</w:t>
            </w:r>
          </w:p>
        </w:tc>
      </w:tr>
    </w:tbl>
    <w:p>
      <w:pPr>
        <w:pStyle w:val="Heading1"/>
      </w:pPr>
      <w:r>
        <w:t>Next Steps</w:t>
      </w:r>
    </w:p>
    <w:p>
      <w:r>
        <w:t>Confirm mitigation owners.</w:t>
      </w:r>
    </w:p>
    <w:p>
      <w:r>
        <w:t>Finalize the vendor delivery date.</w:t>
      </w:r>
    </w:p>
    <w:p>
      <w:r>
        <w:t>Circulate this report for sign-off.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