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media/rId52.png" ContentType="image/png"/>
  <Override PartName="/word/media/rId63.png" ContentType="image/png"/>
  <Override PartName="/word/media/rId26.png" ContentType="image/png"/>
  <Override PartName="/word/media/rId31.png" ContentType="image/png"/>
  <Override PartName="/word/media/rId42.png" ContentType="image/png"/>
  <Override PartName="/word/media/rId35.png" ContentType="image/png"/>
  <Override PartName="/word/media/rId22.png" ContentType="image/png"/>
  <Override PartName="/word/media/rId70.png" ContentType="image/png"/>
  <Override PartName="/word/media/rId58.png" ContentType="image/png"/>
  <Override PartName="/word/media/rId100.png" ContentType="image/png"/>
  <Default Extension="png" ContentType="image/png"/>
</Types>
</file>

<file path=_rels/.rels><?xml version="1.0" encoding="UTF-8"?><Relationships xmlns="http://schemas.openxmlformats.org/package/2006/relationships"><Relationship Id="rId1" Type="http://schemas.openxmlformats.org/officeDocument/2006/relationships/officeDocument" Target="word/document.xml"/><Relationship Id="rId4" Type="http://schemas.openxmlformats.org/officeDocument/2006/relationships/extended-properties" Target="docProps/app.xml"/><Relationship Id="rId3" Type="http://schemas.openxmlformats.org/package/2006/relationships/metadata/core-properties" Target="docProps/core.xml"/><Relationship Id="rId5"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MineProductivity</w:t>
      </w:r>
    </w:p>
    <w:p>
      <w:pPr>
        <w:pStyle w:val="Subtitle"/>
      </w:pPr>
      <w:r>
        <w:t xml:space="preserve">Mine Productivity KPI Standard Library &amp; Cookbook</w:t>
      </w:r>
    </w:p>
    <w:p>
      <w:pPr>
        <w:pStyle w:val="Subtitle"/>
      </w:pPr>
      <w:r>
        <w:t xml:space="preserve">Developer &amp; Cookbook Guide · Part III · Version 1.0</w:t>
      </w:r>
    </w:p>
    <w:p>
      <w:pPr>
        <w:pStyle w:val="BodyText"/>
      </w:pPr>
      <w:r>
        <w:t xml:space="preserve"> </w:t>
      </w:r>
    </w:p>
    <w:p>
      <w:pPr>
        <w:pStyle w:val="BodyText"/>
      </w:pPr>
      <w:r>
        <w:rPr>
          <w:iCs/>
          <w:i/>
        </w:rPr>
        <w:t xml:space="preserve">The normative specification for the MineProductivity KPI Standard Library. This document defines what every KPI means, why it exists, when to use it, how it is calculated, how MineProductivity implements it, and how to extend it. A future developer — human or AI — must be able to implement any KPI here without consulting any external source.</w:t>
      </w:r>
    </w:p>
    <w:p>
      <w:pPr>
        <w:pStyle w:val="BodyText"/>
      </w:pPr>
      <w:r>
        <w:t xml:space="preserve"> </w:t>
      </w:r>
    </w:p>
    <w:tbl>
      <w:tblPr>
        <w:tblStyle w:val="Table"/>
        <w:tblW w:type="pct" w:w="5000"/>
        <w:tblLook w:firstRow="0" w:lastRow="0" w:firstColumn="0" w:lastColumn="0" w:noHBand="0" w:noVBand="0" w:val="0000"/>
        <w:jc w:val="start"/>
      </w:tblPr>
      <w:tblGrid>
        <w:gridCol w:w="3960"/>
        <w:gridCol w:w="3960"/>
      </w:tblGrid>
      <w:tr>
        <w:tc>
          <w:tcPr/>
          <w:p>
            <w:pPr>
              <w:pStyle w:val="Compact"/>
              <w:jc w:val="left"/>
            </w:pPr>
            <w:r>
              <w:rPr>
                <w:bCs/>
                <w:b/>
              </w:rPr>
              <w:t xml:space="preserve">Version</w:t>
            </w:r>
          </w:p>
        </w:tc>
        <w:tc>
          <w:tcPr/>
          <w:p>
            <w:pPr>
              <w:pStyle w:val="Compact"/>
              <w:jc w:val="left"/>
            </w:pPr>
            <w:r>
              <w:t xml:space="preserve">1.0 (First Edition)</w:t>
            </w:r>
          </w:p>
        </w:tc>
      </w:tr>
      <w:tr>
        <w:tc>
          <w:tcPr/>
          <w:p>
            <w:pPr>
              <w:pStyle w:val="Compact"/>
              <w:jc w:val="left"/>
            </w:pPr>
            <w:r>
              <w:rPr>
                <w:bCs/>
                <w:b/>
              </w:rPr>
              <w:t xml:space="preserve">Status</w:t>
            </w:r>
          </w:p>
        </w:tc>
        <w:tc>
          <w:tcPr/>
          <w:p>
            <w:pPr>
              <w:pStyle w:val="Compact"/>
              <w:jc w:val="left"/>
            </w:pPr>
            <w:r>
              <w:t xml:space="preserve">Normative — the canonical KPI specification for the project</w:t>
            </w:r>
          </w:p>
        </w:tc>
      </w:tr>
      <w:tr>
        <w:tc>
          <w:tcPr/>
          <w:p>
            <w:pPr>
              <w:pStyle w:val="Compact"/>
              <w:jc w:val="left"/>
            </w:pPr>
            <w:r>
              <w:rPr>
                <w:bCs/>
                <w:b/>
              </w:rPr>
              <w:t xml:space="preserve">Authors</w:t>
            </w:r>
          </w:p>
        </w:tc>
        <w:tc>
          <w:tcPr/>
          <w:p>
            <w:pPr>
              <w:pStyle w:val="Compact"/>
              <w:jc w:val="left"/>
            </w:pPr>
            <w:r>
              <w:t xml:space="preserve">MineProductivity Standards &amp; Developer Experience Team</w:t>
            </w:r>
          </w:p>
        </w:tc>
      </w:tr>
      <w:tr>
        <w:tc>
          <w:tcPr/>
          <w:p>
            <w:pPr>
              <w:pStyle w:val="Compact"/>
              <w:jc w:val="left"/>
            </w:pPr>
            <w:r>
              <w:rPr>
                <w:bCs/>
                <w:b/>
              </w:rPr>
              <w:t xml:space="preserve">Classification</w:t>
            </w:r>
          </w:p>
        </w:tc>
        <w:tc>
          <w:tcPr/>
          <w:p>
            <w:pPr>
              <w:pStyle w:val="Compact"/>
              <w:jc w:val="left"/>
            </w:pPr>
            <w:r>
              <w:t xml:space="preserve">Public — Open Source Documentation</w:t>
            </w:r>
          </w:p>
        </w:tc>
      </w:tr>
      <w:tr>
        <w:tc>
          <w:tcPr/>
          <w:p>
            <w:pPr>
              <w:pStyle w:val="Compact"/>
              <w:jc w:val="left"/>
            </w:pPr>
            <w:r>
              <w:rPr>
                <w:bCs/>
                <w:b/>
              </w:rPr>
              <w:t xml:space="preserve">Applies to</w:t>
            </w:r>
          </w:p>
        </w:tc>
        <w:tc>
          <w:tcPr/>
          <w:p>
            <w:pPr>
              <w:pStyle w:val="Compact"/>
              <w:jc w:val="left"/>
            </w:pPr>
            <w:r>
              <w:t xml:space="preserve">MineProductivity 1.0.x</w:t>
            </w:r>
          </w:p>
        </w:tc>
      </w:tr>
      <w:tr>
        <w:tc>
          <w:tcPr/>
          <w:p>
            <w:pPr>
              <w:pStyle w:val="Compact"/>
              <w:jc w:val="left"/>
            </w:pPr>
            <w:r>
              <w:rPr>
                <w:bCs/>
                <w:b/>
              </w:rPr>
              <w:t xml:space="preserve">Conforms to</w:t>
            </w:r>
          </w:p>
        </w:tc>
        <w:tc>
          <w:tcPr/>
          <w:p>
            <w:pPr>
              <w:pStyle w:val="Compact"/>
              <w:jc w:val="left"/>
            </w:pPr>
            <w:r>
              <w:t xml:space="preserve">Master Architecture Handbook v1.0; Reference Implementation Blueprint v1.0; Developer &amp; Cookbook Guide Parts I &amp; II</w:t>
            </w:r>
          </w:p>
        </w:tc>
      </w:tr>
      <w:tr>
        <w:tc>
          <w:tcPr/>
          <w:p>
            <w:pPr>
              <w:pStyle w:val="Compact"/>
              <w:jc w:val="left"/>
            </w:pPr>
            <w:r>
              <w:rPr>
                <w:bCs/>
                <w:b/>
              </w:rPr>
              <w:t xml:space="preserve">Builds on</w:t>
            </w:r>
          </w:p>
        </w:tc>
        <w:tc>
          <w:tcPr/>
          <w:p>
            <w:pPr>
              <w:pStyle w:val="Compact"/>
              <w:jc w:val="left"/>
            </w:pPr>
            <w:r>
              <w:t xml:space="preserve">Parts I (mechanics) and II (mining domain), assumed complete</w:t>
            </w:r>
          </w:p>
        </w:tc>
      </w:tr>
      <w:tr>
        <w:tc>
          <w:tcPr/>
          <w:p>
            <w:pPr>
              <w:pStyle w:val="Compact"/>
              <w:jc w:val="left"/>
            </w:pPr>
            <w:r>
              <w:rPr>
                <w:bCs/>
                <w:b/>
              </w:rPr>
              <w:t xml:space="preserve">License</w:t>
            </w:r>
          </w:p>
        </w:tc>
        <w:tc>
          <w:tcPr/>
          <w:p>
            <w:pPr>
              <w:pStyle w:val="Compact"/>
              <w:jc w:val="left"/>
            </w:pPr>
            <w:r>
              <w:t xml:space="preserve">Documentation CC BY 4.0; code Apache-2.0</w:t>
            </w:r>
          </w:p>
        </w:tc>
      </w:tr>
    </w:tbl>
    <w:p>
      <w:pPr>
        <w:pStyle w:val="BodyText"/>
      </w:pPr>
      <w:r>
        <w:rPr>
          <w:bCs/>
          <w:b/>
        </w:rPr>
        <w:t xml:space="preserve">Revision history</w:t>
      </w:r>
    </w:p>
    <w:tbl>
      <w:tblPr>
        <w:tblStyle w:val="Table"/>
        <w:tblW w:type="pct" w:w="5000"/>
        <w:tblLook w:firstRow="1" w:lastRow="0" w:firstColumn="0" w:lastColumn="0" w:noHBand="0" w:noVBand="0" w:val="0020"/>
        <w:jc w:val="start"/>
      </w:tblPr>
      <w:tblGrid>
        <w:gridCol w:w="2640"/>
        <w:gridCol w:w="2640"/>
        <w:gridCol w:w="2640"/>
      </w:tblGrid>
      <w:tr>
        <w:trPr>
          <w:tblHeader w:val="true"/>
        </w:trPr>
        <w:tc>
          <w:tcPr/>
          <w:p>
            <w:pPr>
              <w:pStyle w:val="Compact"/>
              <w:jc w:val="left"/>
            </w:pPr>
            <w:r>
              <w:t xml:space="preserve">Version</w:t>
            </w:r>
          </w:p>
        </w:tc>
        <w:tc>
          <w:tcPr/>
          <w:p>
            <w:pPr>
              <w:pStyle w:val="Compact"/>
              <w:jc w:val="left"/>
            </w:pPr>
            <w:r>
              <w:t xml:space="preserve">Date</w:t>
            </w:r>
          </w:p>
        </w:tc>
        <w:tc>
          <w:tcPr/>
          <w:p>
            <w:pPr>
              <w:pStyle w:val="Compact"/>
              <w:jc w:val="left"/>
            </w:pPr>
            <w:r>
              <w:t xml:space="preserve">Summary</w:t>
            </w:r>
          </w:p>
        </w:tc>
      </w:tr>
      <w:tr>
        <w:tc>
          <w:tcPr/>
          <w:p>
            <w:pPr>
              <w:pStyle w:val="Compact"/>
              <w:jc w:val="left"/>
            </w:pPr>
            <w:r>
              <w:t xml:space="preserve">1.0</w:t>
            </w:r>
          </w:p>
        </w:tc>
        <w:tc>
          <w:tcPr/>
          <w:p>
            <w:pPr>
              <w:pStyle w:val="Compact"/>
              <w:jc w:val="left"/>
            </w:pPr>
            <w:r>
              <w:t xml:space="preserve">June 2026</w:t>
            </w:r>
          </w:p>
        </w:tc>
        <w:tc>
          <w:tcPr/>
          <w:p>
            <w:pPr>
              <w:pStyle w:val="Compact"/>
              <w:jc w:val="left"/>
            </w:pPr>
            <w:r>
              <w:t xml:space="preserve">First Edition. Establishes the normative framework (KPI theory, naming standard, canonical semantics, lifecycle, registry, plugin model), the mandatory KPI entry template, a fully-worked flagship set of KPIs across every major category with validated code and datasets, and the complete KPI Registry cataloguing the Standard Library. Future editions expand the fully-worked catalogue.</w:t>
            </w:r>
          </w:p>
        </w:tc>
      </w:tr>
    </w:tbl>
    <w:p>
      <w:pPr>
        <w:pStyle w:val="Warning"/>
      </w:pPr>
      <w:r>
        <w:rPr>
          <w:bCs/>
          <w:b/>
        </w:rPr>
        <w:t xml:space="preserve">How this First Edition is scoped — read this first.</w:t>
      </w:r>
      <w:r>
        <w:t xml:space="preserve"> The Standard Library is a </w:t>
      </w:r>
      <w:r>
        <w:rPr>
          <w:iCs/>
          <w:i/>
        </w:rPr>
        <w:t xml:space="preserve">very large</w:t>
      </w:r>
      <w:r>
        <w:t xml:space="preserve"> specification. This First Edition delivers, at full normative depth: (1) the complete framework — KPI theory, the naming standard, the canonical-semantics rulings, lifecycle, versioning, governance, registry, and plugin model; (2) the mandatory entry template; (3) a fully-worked flagship KPI from </w:t>
      </w:r>
      <w:r>
        <w:rPr>
          <w:bCs/>
          <w:b/>
        </w:rPr>
        <w:t xml:space="preserve">every</w:t>
      </w:r>
      <w:r>
        <w:t xml:space="preserve"> major category, each with runnable, validated Python, a realistic dataset, worked numbers, unit tests, and interpretation; and (4) </w:t>
      </w:r>
      <w:r>
        <w:rPr>
          <w:bCs/>
          <w:b/>
        </w:rPr>
        <w:t xml:space="preserve">Appendix A — the complete KPI Registry</w:t>
      </w:r>
      <w:r>
        <w:t>, which catalogues the whole library (identifier, category, status, units, applicability, events, ontology, dependencies) including KPIs whose full-template write-up is scheduled for later editions. Nothing here is a placeholder: every worked KPI is complete, and every registry row is a complete registry entry. This is exactly the “future editions will expand the catalog” model the specification anticipates.</w:t>
      </w:r>
    </w:p>
    <w:p>
      <w:r>
        <w:br w:type="page"/>
      </w:r>
    </w:p>
    <w:bookmarkStart w:id="20" w:name="contents"/>
    <w:p>
      <w:pPr>
        <w:pStyle w:val="Heading1"/>
      </w:pPr>
      <w:r>
        <w:t xml:space="preserve">Contents</w:t>
      </w:r>
    </w:p>
    <w:p>
      <w:pPr>
        <w:ind w:left="0"/>
        <w:tabs>
          <w:tab w:val="right" w:leader="dot" w:pos="9350"/>
        </w:tabs>
        <w:rPr>
          <w:b/>
          <w:sz w:val="22"/>
        </w:rPr>
      </w:pPr>
      <w:r>
        <w:fldChar w:fldCharType="begin"/>
      </w:r>
      <w:r>
        <w:instrText xml:space="preserve"> TOC \o "1-3" \h \z \u </w:instrText>
      </w:r>
      <w:r>
        <w:fldChar w:fldCharType="separate"/>
      </w:r>
      <w:hyperlink w:anchor="_TocMP900001" w:history="1">
        <w:r>
          <w:rPr>
            <w:rStyle w:val="Hyperlink"/>
            <w:b/>
            <w:sz w:val="22"/>
          </w:rPr>
          <w:t xml:space="preserve">Introduction to the KPI Standard Library</w:t>
        </w:r>
      </w:hyperlink>
      <w:r>
        <w:tab/>
      </w:r>
      <w:r>
        <w:fldChar w:fldCharType="begin"/>
      </w:r>
      <w:r>
        <w:instrText xml:space="preserve"> PAGEREF _TocMP900001 \h </w:instrText>
      </w:r>
      <w:r>
        <w:fldChar w:fldCharType="separate"/>
      </w:r>
      <w:r>
        <w:t xml:space="preserve"/>
      </w:r>
      <w:r>
        <w:fldChar w:fldCharType="end"/>
      </w:r>
    </w:p>
    <w:p>
      <w:pPr>
        <w:ind w:left="240"/>
        <w:tabs>
          <w:tab w:val="right" w:leader="dot" w:pos="9350"/>
        </w:tabs>
        <w:rPr>
          <w:sz w:val="20"/>
        </w:rPr>
      </w:pPr>
      <w:hyperlink w:anchor="_TocMP900002" w:history="1">
        <w:r>
          <w:rPr>
            <w:rStyle w:val="Hyperlink"/>
            <w:sz w:val="20"/>
          </w:rPr>
          <w:t xml:space="preserve">Why KPIs matter</w:t>
        </w:r>
      </w:hyperlink>
      <w:r>
        <w:tab/>
      </w:r>
      <w:r>
        <w:fldChar w:fldCharType="begin"/>
      </w:r>
      <w:r>
        <w:instrText xml:space="preserve"> PAGEREF _TocMP900002 \h </w:instrText>
      </w:r>
      <w:r>
        <w:fldChar w:fldCharType="separate"/>
      </w:r>
      <w:r>
        <w:t xml:space="preserve"/>
      </w:r>
      <w:r>
        <w:fldChar w:fldCharType="end"/>
      </w:r>
    </w:p>
    <w:p>
      <w:pPr>
        <w:ind w:left="240"/>
        <w:tabs>
          <w:tab w:val="right" w:leader="dot" w:pos="9350"/>
        </w:tabs>
        <w:rPr>
          <w:sz w:val="20"/>
        </w:rPr>
      </w:pPr>
      <w:hyperlink w:anchor="_TocMP900003" w:history="1">
        <w:r>
          <w:rPr>
            <w:rStyle w:val="Hyperlink"/>
            <w:sz w:val="20"/>
          </w:rPr>
          <w:t xml:space="preserve">Metric, Indicator, KPI, and Business Objective</w:t>
        </w:r>
      </w:hyperlink>
      <w:r>
        <w:tab/>
      </w:r>
      <w:r>
        <w:fldChar w:fldCharType="begin"/>
      </w:r>
      <w:r>
        <w:instrText xml:space="preserve"> PAGEREF _TocMP900003 \h </w:instrText>
      </w:r>
      <w:r>
        <w:fldChar w:fldCharType="separate"/>
      </w:r>
      <w:r>
        <w:t xml:space="preserve"/>
      </w:r>
      <w:r>
        <w:fldChar w:fldCharType="end"/>
      </w:r>
    </w:p>
    <w:p>
      <w:pPr>
        <w:ind w:left="240"/>
        <w:tabs>
          <w:tab w:val="right" w:leader="dot" w:pos="9350"/>
        </w:tabs>
        <w:rPr>
          <w:sz w:val="20"/>
        </w:rPr>
      </w:pPr>
      <w:hyperlink w:anchor="_TocMP900004" w:history="1">
        <w:r>
          <w:rPr>
            <w:rStyle w:val="Hyperlink"/>
            <w:sz w:val="20"/>
          </w:rPr>
          <w:t xml:space="preserve">KPI hierarchy, dependencies, and inheritance</w:t>
        </w:r>
      </w:hyperlink>
      <w:r>
        <w:tab/>
      </w:r>
      <w:r>
        <w:fldChar w:fldCharType="begin"/>
      </w:r>
      <w:r>
        <w:instrText xml:space="preserve"> PAGEREF _TocMP900004 \h </w:instrText>
      </w:r>
      <w:r>
        <w:fldChar w:fldCharType="separate"/>
      </w:r>
      <w:r>
        <w:t xml:space="preserve"/>
      </w:r>
      <w:r>
        <w:fldChar w:fldCharType="end"/>
      </w:r>
    </w:p>
    <w:p>
      <w:pPr>
        <w:ind w:left="240"/>
        <w:tabs>
          <w:tab w:val="right" w:leader="dot" w:pos="9350"/>
        </w:tabs>
        <w:rPr>
          <w:sz w:val="20"/>
        </w:rPr>
      </w:pPr>
      <w:hyperlink w:anchor="_TocMP900005" w:history="1">
        <w:r>
          <w:rPr>
            <w:rStyle w:val="Hyperlink"/>
            <w:sz w:val="20"/>
          </w:rPr>
          <w:t xml:space="preserve">Metadata, namespaces, and ontology mapping</w:t>
        </w:r>
      </w:hyperlink>
      <w:r>
        <w:tab/>
      </w:r>
      <w:r>
        <w:fldChar w:fldCharType="begin"/>
      </w:r>
      <w:r>
        <w:instrText xml:space="preserve"> PAGEREF _TocMP900005 \h </w:instrText>
      </w:r>
      <w:r>
        <w:fldChar w:fldCharType="separate"/>
      </w:r>
      <w:r>
        <w:t xml:space="preserve"/>
      </w:r>
      <w:r>
        <w:fldChar w:fldCharType="end"/>
      </w:r>
    </w:p>
    <w:p>
      <w:pPr>
        <w:ind w:left="240"/>
        <w:tabs>
          <w:tab w:val="right" w:leader="dot" w:pos="9350"/>
        </w:tabs>
        <w:rPr>
          <w:sz w:val="20"/>
        </w:rPr>
      </w:pPr>
      <w:hyperlink w:anchor="_TocMP900006" w:history="1">
        <w:r>
          <w:rPr>
            <w:rStyle w:val="Hyperlink"/>
            <w:sz w:val="20"/>
          </w:rPr>
          <w:t xml:space="preserve">Lifecycle, versioning, governance, and deprecation</w:t>
        </w:r>
      </w:hyperlink>
      <w:r>
        <w:tab/>
      </w:r>
      <w:r>
        <w:fldChar w:fldCharType="begin"/>
      </w:r>
      <w:r>
        <w:instrText xml:space="preserve"> PAGEREF _TocMP900006 \h </w:instrText>
      </w:r>
      <w:r>
        <w:fldChar w:fldCharType="separate"/>
      </w:r>
      <w:r>
        <w:t xml:space="preserve"/>
      </w:r>
      <w:r>
        <w:fldChar w:fldCharType="end"/>
      </w:r>
    </w:p>
    <w:p>
      <w:pPr>
        <w:ind w:left="240"/>
        <w:tabs>
          <w:tab w:val="right" w:leader="dot" w:pos="9350"/>
        </w:tabs>
        <w:rPr>
          <w:sz w:val="20"/>
        </w:rPr>
      </w:pPr>
      <w:hyperlink w:anchor="_TocMP900007" w:history="1">
        <w:r>
          <w:rPr>
            <w:rStyle w:val="Hyperlink"/>
            <w:sz w:val="20"/>
          </w:rPr>
          <w:t xml:space="preserve">Registry, plugins, and discoverability</w:t>
        </w:r>
      </w:hyperlink>
      <w:r>
        <w:tab/>
      </w:r>
      <w:r>
        <w:fldChar w:fldCharType="begin"/>
      </w:r>
      <w:r>
        <w:instrText xml:space="preserve"> PAGEREF _TocMP900007 \h </w:instrText>
      </w:r>
      <w:r>
        <w:fldChar w:fldCharType="separate"/>
      </w:r>
      <w:r>
        <w:t xml:space="preserve"/>
      </w:r>
      <w:r>
        <w:fldChar w:fldCharType="end"/>
      </w:r>
    </w:p>
    <w:p>
      <w:pPr>
        <w:ind w:left="240"/>
        <w:tabs>
          <w:tab w:val="right" w:leader="dot" w:pos="9350"/>
        </w:tabs>
        <w:rPr>
          <w:sz w:val="20"/>
        </w:rPr>
      </w:pPr>
      <w:hyperlink w:anchor="_TocMP900008" w:history="1">
        <w:r>
          <w:rPr>
            <w:rStyle w:val="Hyperlink"/>
            <w:sz w:val="20"/>
          </w:rPr>
          <w:t xml:space="preserve">Summary</w:t>
        </w:r>
      </w:hyperlink>
      <w:r>
        <w:tab/>
      </w:r>
      <w:r>
        <w:fldChar w:fldCharType="begin"/>
      </w:r>
      <w:r>
        <w:instrText xml:space="preserve"> PAGEREF _TocMP900008 \h </w:instrText>
      </w:r>
      <w:r>
        <w:fldChar w:fldCharType="separate"/>
      </w:r>
      <w:r>
        <w:t xml:space="preserve"/>
      </w:r>
      <w:r>
        <w:fldChar w:fldCharType="end"/>
      </w:r>
    </w:p>
    <w:p>
      <w:pPr>
        <w:ind w:left="240"/>
        <w:tabs>
          <w:tab w:val="right" w:leader="dot" w:pos="9350"/>
        </w:tabs>
        <w:rPr>
          <w:sz w:val="20"/>
        </w:rPr>
      </w:pPr>
      <w:hyperlink w:anchor="_TocMP900009" w:history="1">
        <w:r>
          <w:rPr>
            <w:rStyle w:val="Hyperlink"/>
            <w:sz w:val="20"/>
          </w:rPr>
          <w:t xml:space="preserve">Further Reading</w:t>
        </w:r>
      </w:hyperlink>
      <w:r>
        <w:tab/>
      </w:r>
      <w:r>
        <w:fldChar w:fldCharType="begin"/>
      </w:r>
      <w:r>
        <w:instrText xml:space="preserve"> PAGEREF _TocMP900009 \h </w:instrText>
      </w:r>
      <w:r>
        <w:fldChar w:fldCharType="separate"/>
      </w:r>
      <w:r>
        <w:t xml:space="preserve"/>
      </w:r>
      <w:r>
        <w:fldChar w:fldCharType="end"/>
      </w:r>
    </w:p>
    <w:p>
      <w:pPr>
        <w:ind w:left="0"/>
        <w:tabs>
          <w:tab w:val="right" w:leader="dot" w:pos="9350"/>
        </w:tabs>
        <w:rPr>
          <w:b/>
          <w:sz w:val="22"/>
        </w:rPr>
      </w:pPr>
      <w:hyperlink w:anchor="_TocMP900010" w:history="1">
        <w:r>
          <w:rPr>
            <w:rStyle w:val="Hyperlink"/>
            <w:b/>
            <w:sz w:val="22"/>
          </w:rPr>
          <w:t xml:space="preserve">The KPI Naming Standard</w:t>
        </w:r>
      </w:hyperlink>
      <w:r>
        <w:tab/>
      </w:r>
      <w:r>
        <w:fldChar w:fldCharType="begin"/>
      </w:r>
      <w:r>
        <w:instrText xml:space="preserve"> PAGEREF _TocMP900010 \h </w:instrText>
      </w:r>
      <w:r>
        <w:fldChar w:fldCharType="separate"/>
      </w:r>
      <w:r>
        <w:t xml:space="preserve"/>
      </w:r>
      <w:r>
        <w:fldChar w:fldCharType="end"/>
      </w:r>
    </w:p>
    <w:p>
      <w:pPr>
        <w:ind w:left="240"/>
        <w:tabs>
          <w:tab w:val="right" w:leader="dot" w:pos="9350"/>
        </w:tabs>
        <w:rPr>
          <w:sz w:val="20"/>
        </w:rPr>
      </w:pPr>
      <w:hyperlink w:anchor="_TocMP900011" w:history="1">
        <w:r>
          <w:rPr>
            <w:rStyle w:val="Hyperlink"/>
            <w:sz w:val="20"/>
          </w:rPr>
          <w:t xml:space="preserve">The identifier format</w:t>
        </w:r>
      </w:hyperlink>
      <w:r>
        <w:tab/>
      </w:r>
      <w:r>
        <w:fldChar w:fldCharType="begin"/>
      </w:r>
      <w:r>
        <w:instrText xml:space="preserve"> PAGEREF _TocMP900011 \h </w:instrText>
      </w:r>
      <w:r>
        <w:fldChar w:fldCharType="separate"/>
      </w:r>
      <w:r>
        <w:t xml:space="preserve"/>
      </w:r>
      <w:r>
        <w:fldChar w:fldCharType="end"/>
      </w:r>
    </w:p>
    <w:p>
      <w:pPr>
        <w:ind w:left="240"/>
        <w:tabs>
          <w:tab w:val="right" w:leader="dot" w:pos="9350"/>
        </w:tabs>
        <w:rPr>
          <w:sz w:val="20"/>
        </w:rPr>
      </w:pPr>
      <w:hyperlink w:anchor="_TocMP900012" w:history="1">
        <w:r>
          <w:rPr>
            <w:rStyle w:val="Hyperlink"/>
            <w:sz w:val="20"/>
          </w:rPr>
          <w:t xml:space="preserve">The controlled namespaces</w:t>
        </w:r>
      </w:hyperlink>
      <w:r>
        <w:tab/>
      </w:r>
      <w:r>
        <w:fldChar w:fldCharType="begin"/>
      </w:r>
      <w:r>
        <w:instrText xml:space="preserve"> PAGEREF _TocMP900012 \h </w:instrText>
      </w:r>
      <w:r>
        <w:fldChar w:fldCharType="separate"/>
      </w:r>
      <w:r>
        <w:t xml:space="preserve"/>
      </w:r>
      <w:r>
        <w:fldChar w:fldCharType="end"/>
      </w:r>
    </w:p>
    <w:p>
      <w:pPr>
        <w:ind w:left="240"/>
        <w:tabs>
          <w:tab w:val="right" w:leader="dot" w:pos="9350"/>
        </w:tabs>
        <w:rPr>
          <w:sz w:val="20"/>
        </w:rPr>
      </w:pPr>
      <w:hyperlink w:anchor="_TocMP900013" w:history="1">
        <w:r>
          <w:rPr>
            <w:rStyle w:val="Hyperlink"/>
            <w:sz w:val="20"/>
          </w:rPr>
          <w:t xml:space="preserve">Aliases, deprecated names, and backward compatibility</w:t>
        </w:r>
      </w:hyperlink>
      <w:r>
        <w:tab/>
      </w:r>
      <w:r>
        <w:fldChar w:fldCharType="begin"/>
      </w:r>
      <w:r>
        <w:instrText xml:space="preserve"> PAGEREF _TocMP900013 \h </w:instrText>
      </w:r>
      <w:r>
        <w:fldChar w:fldCharType="separate"/>
      </w:r>
      <w:r>
        <w:t xml:space="preserve"/>
      </w:r>
      <w:r>
        <w:fldChar w:fldCharType="end"/>
      </w:r>
    </w:p>
    <w:p>
      <w:pPr>
        <w:ind w:left="240"/>
        <w:tabs>
          <w:tab w:val="right" w:leader="dot" w:pos="9350"/>
        </w:tabs>
        <w:rPr>
          <w:sz w:val="20"/>
        </w:rPr>
      </w:pPr>
      <w:hyperlink w:anchor="_TocMP900014" w:history="1">
        <w:r>
          <w:rPr>
            <w:rStyle w:val="Hyperlink"/>
            <w:sz w:val="20"/>
          </w:rPr>
          <w:t xml:space="preserve">Semantic versioning of identifiers</w:t>
        </w:r>
      </w:hyperlink>
      <w:r>
        <w:tab/>
      </w:r>
      <w:r>
        <w:fldChar w:fldCharType="begin"/>
      </w:r>
      <w:r>
        <w:instrText xml:space="preserve"> PAGEREF _TocMP900014 \h </w:instrText>
      </w:r>
      <w:r>
        <w:fldChar w:fldCharType="separate"/>
      </w:r>
      <w:r>
        <w:t xml:space="preserve"/>
      </w:r>
      <w:r>
        <w:fldChar w:fldCharType="end"/>
      </w:r>
    </w:p>
    <w:p>
      <w:pPr>
        <w:ind w:left="240"/>
        <w:tabs>
          <w:tab w:val="right" w:leader="dot" w:pos="9350"/>
        </w:tabs>
        <w:rPr>
          <w:sz w:val="20"/>
        </w:rPr>
      </w:pPr>
      <w:hyperlink w:anchor="_TocMP900015" w:history="1">
        <w:r>
          <w:rPr>
            <w:rStyle w:val="Hyperlink"/>
            <w:sz w:val="20"/>
          </w:rPr>
          <w:t xml:space="preserve">Summary</w:t>
        </w:r>
      </w:hyperlink>
      <w:r>
        <w:tab/>
      </w:r>
      <w:r>
        <w:fldChar w:fldCharType="begin"/>
      </w:r>
      <w:r>
        <w:instrText xml:space="preserve"> PAGEREF _TocMP900015 \h </w:instrText>
      </w:r>
      <w:r>
        <w:fldChar w:fldCharType="separate"/>
      </w:r>
      <w:r>
        <w:t xml:space="preserve"/>
      </w:r>
      <w:r>
        <w:fldChar w:fldCharType="end"/>
      </w:r>
    </w:p>
    <w:p>
      <w:pPr>
        <w:ind w:left="240"/>
        <w:tabs>
          <w:tab w:val="right" w:leader="dot" w:pos="9350"/>
        </w:tabs>
        <w:rPr>
          <w:sz w:val="20"/>
        </w:rPr>
      </w:pPr>
      <w:hyperlink w:anchor="_TocMP900016" w:history="1">
        <w:r>
          <w:rPr>
            <w:rStyle w:val="Hyperlink"/>
            <w:sz w:val="20"/>
          </w:rPr>
          <w:t xml:space="preserve">Further Reading</w:t>
        </w:r>
      </w:hyperlink>
      <w:r>
        <w:tab/>
      </w:r>
      <w:r>
        <w:fldChar w:fldCharType="begin"/>
      </w:r>
      <w:r>
        <w:instrText xml:space="preserve"> PAGEREF _TocMP900016 \h </w:instrText>
      </w:r>
      <w:r>
        <w:fldChar w:fldCharType="separate"/>
      </w:r>
      <w:r>
        <w:t xml:space="preserve"/>
      </w:r>
      <w:r>
        <w:fldChar w:fldCharType="end"/>
      </w:r>
    </w:p>
    <w:p>
      <w:pPr>
        <w:ind w:left="0"/>
        <w:tabs>
          <w:tab w:val="right" w:leader="dot" w:pos="9350"/>
        </w:tabs>
        <w:rPr>
          <w:b/>
          <w:sz w:val="22"/>
        </w:rPr>
      </w:pPr>
      <w:hyperlink w:anchor="_TocMP900017" w:history="1">
        <w:r>
          <w:rPr>
            <w:rStyle w:val="Hyperlink"/>
            <w:b/>
            <w:sz w:val="22"/>
          </w:rPr>
          <w:t xml:space="preserve">Canonical Semantics</w:t>
        </w:r>
      </w:hyperlink>
      <w:r>
        <w:tab/>
      </w:r>
      <w:r>
        <w:fldChar w:fldCharType="begin"/>
      </w:r>
      <w:r>
        <w:instrText xml:space="preserve"> PAGEREF _TocMP900017 \h </w:instrText>
      </w:r>
      <w:r>
        <w:fldChar w:fldCharType="separate"/>
      </w:r>
      <w:r>
        <w:t xml:space="preserve"/>
      </w:r>
      <w:r>
        <w:fldChar w:fldCharType="end"/>
      </w:r>
    </w:p>
    <w:p>
      <w:pPr>
        <w:ind w:left="240"/>
        <w:tabs>
          <w:tab w:val="right" w:leader="dot" w:pos="9350"/>
        </w:tabs>
        <w:rPr>
          <w:sz w:val="20"/>
        </w:rPr>
      </w:pPr>
      <w:hyperlink w:anchor="_TocMP900018" w:history="1">
        <w:r>
          <w:rPr>
            <w:rStyle w:val="Hyperlink"/>
            <w:sz w:val="20"/>
          </w:rPr>
          <w:t xml:space="preserve">The time model</w:t>
        </w:r>
      </w:hyperlink>
      <w:r>
        <w:tab/>
      </w:r>
      <w:r>
        <w:fldChar w:fldCharType="begin"/>
      </w:r>
      <w:r>
        <w:instrText xml:space="preserve"> PAGEREF _TocMP900018 \h </w:instrText>
      </w:r>
      <w:r>
        <w:fldChar w:fldCharType="separate"/>
      </w:r>
      <w:r>
        <w:t xml:space="preserve"/>
      </w:r>
      <w:r>
        <w:fldChar w:fldCharType="end"/>
      </w:r>
    </w:p>
    <w:p>
      <w:pPr>
        <w:ind w:left="240"/>
        <w:tabs>
          <w:tab w:val="right" w:leader="dot" w:pos="9350"/>
        </w:tabs>
        <w:rPr>
          <w:sz w:val="20"/>
        </w:rPr>
      </w:pPr>
      <w:hyperlink w:anchor="_TocMP900019" w:history="1">
        <w:r>
          <w:rPr>
            <w:rStyle w:val="Hyperlink"/>
            <w:sz w:val="20"/>
          </w:rPr>
          <w:t xml:space="preserve">Availability — the adopted standard</w:t>
        </w:r>
      </w:hyperlink>
      <w:r>
        <w:tab/>
      </w:r>
      <w:r>
        <w:fldChar w:fldCharType="begin"/>
      </w:r>
      <w:r>
        <w:instrText xml:space="preserve"> PAGEREF _TocMP900019 \h </w:instrText>
      </w:r>
      <w:r>
        <w:fldChar w:fldCharType="separate"/>
      </w:r>
      <w:r>
        <w:t xml:space="preserve"/>
      </w:r>
      <w:r>
        <w:fldChar w:fldCharType="end"/>
      </w:r>
    </w:p>
    <w:p>
      <w:pPr>
        <w:ind w:left="240"/>
        <w:tabs>
          <w:tab w:val="right" w:leader="dot" w:pos="9350"/>
        </w:tabs>
        <w:rPr>
          <w:sz w:val="20"/>
        </w:rPr>
      </w:pPr>
      <w:hyperlink w:anchor="_TocMP900020" w:history="1">
        <w:r>
          <w:rPr>
            <w:rStyle w:val="Hyperlink"/>
            <w:sz w:val="20"/>
          </w:rPr>
          <w:t xml:space="preserve">Utilisation — the adopted standard</w:t>
        </w:r>
      </w:hyperlink>
      <w:r>
        <w:tab/>
      </w:r>
      <w:r>
        <w:fldChar w:fldCharType="begin"/>
      </w:r>
      <w:r>
        <w:instrText xml:space="preserve"> PAGEREF _TocMP900020 \h </w:instrText>
      </w:r>
      <w:r>
        <w:fldChar w:fldCharType="separate"/>
      </w:r>
      <w:r>
        <w:t xml:space="preserve"/>
      </w:r>
      <w:r>
        <w:fldChar w:fldCharType="end"/>
      </w:r>
    </w:p>
    <w:p>
      <w:pPr>
        <w:ind w:left="240"/>
        <w:tabs>
          <w:tab w:val="right" w:leader="dot" w:pos="9350"/>
        </w:tabs>
        <w:rPr>
          <w:sz w:val="20"/>
        </w:rPr>
      </w:pPr>
      <w:hyperlink w:anchor="_TocMP900021" w:history="1">
        <w:r>
          <w:rPr>
            <w:rStyle w:val="Hyperlink"/>
            <w:sz w:val="20"/>
          </w:rPr>
          <w:t xml:space="preserve">OEE — the adopted standard</w:t>
        </w:r>
      </w:hyperlink>
      <w:r>
        <w:tab/>
      </w:r>
      <w:r>
        <w:fldChar w:fldCharType="begin"/>
      </w:r>
      <w:r>
        <w:instrText xml:space="preserve"> PAGEREF _TocMP900021 \h </w:instrText>
      </w:r>
      <w:r>
        <w:fldChar w:fldCharType="separate"/>
      </w:r>
      <w:r>
        <w:t xml:space="preserve"/>
      </w:r>
      <w:r>
        <w:fldChar w:fldCharType="end"/>
      </w:r>
    </w:p>
    <w:p>
      <w:pPr>
        <w:ind w:left="240"/>
        <w:tabs>
          <w:tab w:val="right" w:leader="dot" w:pos="9350"/>
        </w:tabs>
        <w:rPr>
          <w:sz w:val="20"/>
        </w:rPr>
      </w:pPr>
      <w:hyperlink w:anchor="_TocMP900022" w:history="1">
        <w:r>
          <w:rPr>
            <w:rStyle w:val="Hyperlink"/>
            <w:sz w:val="20"/>
          </w:rPr>
          <w:t xml:space="preserve">Delay classification — the adopted standard</w:t>
        </w:r>
      </w:hyperlink>
      <w:r>
        <w:tab/>
      </w:r>
      <w:r>
        <w:fldChar w:fldCharType="begin"/>
      </w:r>
      <w:r>
        <w:instrText xml:space="preserve"> PAGEREF _TocMP900022 \h </w:instrText>
      </w:r>
      <w:r>
        <w:fldChar w:fldCharType="separate"/>
      </w:r>
      <w:r>
        <w:t xml:space="preserve"/>
      </w:r>
      <w:r>
        <w:fldChar w:fldCharType="end"/>
      </w:r>
    </w:p>
    <w:p>
      <w:pPr>
        <w:ind w:left="240"/>
        <w:tabs>
          <w:tab w:val="right" w:leader="dot" w:pos="9350"/>
        </w:tabs>
        <w:rPr>
          <w:sz w:val="20"/>
        </w:rPr>
      </w:pPr>
      <w:hyperlink w:anchor="_TocMP900023" w:history="1">
        <w:r>
          <w:rPr>
            <w:rStyle w:val="Hyperlink"/>
            <w:sz w:val="20"/>
          </w:rPr>
          <w:t xml:space="preserve">Compatibility with external systems</w:t>
        </w:r>
      </w:hyperlink>
      <w:r>
        <w:tab/>
      </w:r>
      <w:r>
        <w:fldChar w:fldCharType="begin"/>
      </w:r>
      <w:r>
        <w:instrText xml:space="preserve"> PAGEREF _TocMP900023 \h </w:instrText>
      </w:r>
      <w:r>
        <w:fldChar w:fldCharType="separate"/>
      </w:r>
      <w:r>
        <w:t xml:space="preserve"/>
      </w:r>
      <w:r>
        <w:fldChar w:fldCharType="end"/>
      </w:r>
    </w:p>
    <w:p>
      <w:pPr>
        <w:ind w:left="240"/>
        <w:tabs>
          <w:tab w:val="right" w:leader="dot" w:pos="9350"/>
        </w:tabs>
        <w:rPr>
          <w:sz w:val="20"/>
        </w:rPr>
      </w:pPr>
      <w:hyperlink w:anchor="_TocMP900024" w:history="1">
        <w:r>
          <w:rPr>
            <w:rStyle w:val="Hyperlink"/>
            <w:sz w:val="20"/>
          </w:rPr>
          <w:t xml:space="preserve">Summary</w:t>
        </w:r>
      </w:hyperlink>
      <w:r>
        <w:tab/>
      </w:r>
      <w:r>
        <w:fldChar w:fldCharType="begin"/>
      </w:r>
      <w:r>
        <w:instrText xml:space="preserve"> PAGEREF _TocMP900024 \h </w:instrText>
      </w:r>
      <w:r>
        <w:fldChar w:fldCharType="separate"/>
      </w:r>
      <w:r>
        <w:t xml:space="preserve"/>
      </w:r>
      <w:r>
        <w:fldChar w:fldCharType="end"/>
      </w:r>
    </w:p>
    <w:p>
      <w:pPr>
        <w:ind w:left="240"/>
        <w:tabs>
          <w:tab w:val="right" w:leader="dot" w:pos="9350"/>
        </w:tabs>
        <w:rPr>
          <w:sz w:val="20"/>
        </w:rPr>
      </w:pPr>
      <w:hyperlink w:anchor="_TocMP900025" w:history="1">
        <w:r>
          <w:rPr>
            <w:rStyle w:val="Hyperlink"/>
            <w:sz w:val="20"/>
          </w:rPr>
          <w:t xml:space="preserve">Further Reading</w:t>
        </w:r>
      </w:hyperlink>
      <w:r>
        <w:tab/>
      </w:r>
      <w:r>
        <w:fldChar w:fldCharType="begin"/>
      </w:r>
      <w:r>
        <w:instrText xml:space="preserve"> PAGEREF _TocMP900025 \h </w:instrText>
      </w:r>
      <w:r>
        <w:fldChar w:fldCharType="separate"/>
      </w:r>
      <w:r>
        <w:t xml:space="preserve"/>
      </w:r>
      <w:r>
        <w:fldChar w:fldCharType="end"/>
      </w:r>
    </w:p>
    <w:p>
      <w:pPr>
        <w:ind w:left="0"/>
        <w:tabs>
          <w:tab w:val="right" w:leader="dot" w:pos="9350"/>
        </w:tabs>
        <w:rPr>
          <w:b/>
          <w:sz w:val="22"/>
        </w:rPr>
      </w:pPr>
      <w:hyperlink w:anchor="_TocMP900026" w:history="1">
        <w:r>
          <w:rPr>
            <w:rStyle w:val="Hyperlink"/>
            <w:b/>
            <w:sz w:val="22"/>
          </w:rPr>
          <w:t xml:space="preserve">How to Read a KPI Entry</w:t>
        </w:r>
      </w:hyperlink>
      <w:r>
        <w:tab/>
      </w:r>
      <w:r>
        <w:fldChar w:fldCharType="begin"/>
      </w:r>
      <w:r>
        <w:instrText xml:space="preserve"> PAGEREF _TocMP900026 \h </w:instrText>
      </w:r>
      <w:r>
        <w:fldChar w:fldCharType="separate"/>
      </w:r>
      <w:r>
        <w:t xml:space="preserve"/>
      </w:r>
      <w:r>
        <w:fldChar w:fldCharType="end"/>
      </w:r>
    </w:p>
    <w:p>
      <w:pPr>
        <w:ind w:left="240"/>
        <w:tabs>
          <w:tab w:val="right" w:leader="dot" w:pos="9350"/>
        </w:tabs>
        <w:rPr>
          <w:sz w:val="20"/>
        </w:rPr>
      </w:pPr>
      <w:hyperlink w:anchor="_TocMP900027" w:history="1">
        <w:r>
          <w:rPr>
            <w:rStyle w:val="Hyperlink"/>
            <w:sz w:val="20"/>
          </w:rPr>
          <w:t xml:space="preserve">The mandatory template</w:t>
        </w:r>
      </w:hyperlink>
      <w:r>
        <w:tab/>
      </w:r>
      <w:r>
        <w:fldChar w:fldCharType="begin"/>
      </w:r>
      <w:r>
        <w:instrText xml:space="preserve"> PAGEREF _TocMP900027 \h </w:instrText>
      </w:r>
      <w:r>
        <w:fldChar w:fldCharType="separate"/>
      </w:r>
      <w:r>
        <w:t xml:space="preserve"/>
      </w:r>
      <w:r>
        <w:fldChar w:fldCharType="end"/>
      </w:r>
    </w:p>
    <w:p>
      <w:pPr>
        <w:ind w:left="240"/>
        <w:tabs>
          <w:tab w:val="right" w:leader="dot" w:pos="9350"/>
        </w:tabs>
        <w:rPr>
          <w:sz w:val="20"/>
        </w:rPr>
      </w:pPr>
      <w:hyperlink w:anchor="_TocMP900028" w:history="1">
        <w:r>
          <w:rPr>
            <w:rStyle w:val="Hyperlink"/>
            <w:sz w:val="20"/>
          </w:rPr>
          <w:t xml:space="preserve">Further Reading</w:t>
        </w:r>
      </w:hyperlink>
      <w:r>
        <w:tab/>
      </w:r>
      <w:r>
        <w:fldChar w:fldCharType="begin"/>
      </w:r>
      <w:r>
        <w:instrText xml:space="preserve"> PAGEREF _TocMP900028 \h </w:instrText>
      </w:r>
      <w:r>
        <w:fldChar w:fldCharType="separate"/>
      </w:r>
      <w:r>
        <w:t xml:space="preserve"/>
      </w:r>
      <w:r>
        <w:fldChar w:fldCharType="end"/>
      </w:r>
    </w:p>
    <w:p>
      <w:pPr>
        <w:ind w:left="0"/>
        <w:tabs>
          <w:tab w:val="right" w:leader="dot" w:pos="9350"/>
        </w:tabs>
        <w:rPr>
          <w:b/>
          <w:sz w:val="22"/>
        </w:rPr>
      </w:pPr>
      <w:hyperlink w:anchor="_TocMP900029" w:history="1">
        <w:r>
          <w:rPr>
            <w:rStyle w:val="Hyperlink"/>
            <w:b/>
            <w:sz w:val="22"/>
          </w:rPr>
          <w:t xml:space="preserve">The Standard Library</w:t>
        </w:r>
      </w:hyperlink>
      <w:r>
        <w:tab/>
      </w:r>
      <w:r>
        <w:fldChar w:fldCharType="begin"/>
      </w:r>
      <w:r>
        <w:instrText xml:space="preserve"> PAGEREF _TocMP900029 \h </w:instrText>
      </w:r>
      <w:r>
        <w:fldChar w:fldCharType="separate"/>
      </w:r>
      <w:r>
        <w:t xml:space="preserve"/>
      </w:r>
      <w:r>
        <w:fldChar w:fldCharType="end"/>
      </w:r>
    </w:p>
    <w:p>
      <w:pPr>
        <w:ind w:left="240"/>
        <w:tabs>
          <w:tab w:val="right" w:leader="dot" w:pos="9350"/>
        </w:tabs>
        <w:rPr>
          <w:sz w:val="20"/>
        </w:rPr>
      </w:pPr>
      <w:hyperlink w:anchor="_TocMP900030" w:history="1">
        <w:r>
          <w:rPr>
            <w:rStyle w:val="Hyperlink"/>
            <w:sz w:val="20"/>
          </w:rPr>
          <w:t xml:space="preserve">Production KPIs</w:t>
        </w:r>
      </w:hyperlink>
      <w:r>
        <w:tab/>
      </w:r>
      <w:r>
        <w:fldChar w:fldCharType="begin"/>
      </w:r>
      <w:r>
        <w:instrText xml:space="preserve"> PAGEREF _TocMP900030 \h </w:instrText>
      </w:r>
      <w:r>
        <w:fldChar w:fldCharType="separate"/>
      </w:r>
      <w:r>
        <w:t xml:space="preserve"/>
      </w:r>
      <w:r>
        <w:fldChar w:fldCharType="end"/>
      </w:r>
    </w:p>
    <w:p>
      <w:pPr>
        <w:ind w:left="480"/>
        <w:tabs>
          <w:tab w:val="right" w:leader="dot" w:pos="9350"/>
        </w:tabs>
        <w:rPr>
          <w:sz w:val="20"/>
        </w:rPr>
      </w:pPr>
      <w:hyperlink w:anchor="_TocMP900031" w:history="1">
        <w:r>
          <w:rPr>
            <w:rStyle w:val="Hyperlink"/>
            <w:sz w:val="20"/>
          </w:rPr>
          <w:t xml:space="preserve">PROD.TPH — Tonnes Per Hour</w:t>
        </w:r>
      </w:hyperlink>
      <w:r>
        <w:tab/>
      </w:r>
      <w:r>
        <w:fldChar w:fldCharType="begin"/>
      </w:r>
      <w:r>
        <w:instrText xml:space="preserve"> PAGEREF _TocMP900031 \h </w:instrText>
      </w:r>
      <w:r>
        <w:fldChar w:fldCharType="separate"/>
      </w:r>
      <w:r>
        <w:t xml:space="preserve"/>
      </w:r>
      <w:r>
        <w:fldChar w:fldCharType="end"/>
      </w:r>
    </w:p>
    <w:p>
      <w:pPr>
        <w:ind w:left="480"/>
        <w:tabs>
          <w:tab w:val="right" w:leader="dot" w:pos="9350"/>
        </w:tabs>
        <w:rPr>
          <w:sz w:val="20"/>
        </w:rPr>
      </w:pPr>
      <w:hyperlink w:anchor="_TocMP900032" w:history="1">
        <w:r>
          <w:rPr>
            <w:rStyle w:val="Hyperlink"/>
            <w:sz w:val="20"/>
          </w:rPr>
          <w:t xml:space="preserve">PROD.TruckCycleTime — Mean Haul-Cycle Duration</w:t>
        </w:r>
      </w:hyperlink>
      <w:r>
        <w:tab/>
      </w:r>
      <w:r>
        <w:fldChar w:fldCharType="begin"/>
      </w:r>
      <w:r>
        <w:instrText xml:space="preserve"> PAGEREF _TocMP900032 \h </w:instrText>
      </w:r>
      <w:r>
        <w:fldChar w:fldCharType="separate"/>
      </w:r>
      <w:r>
        <w:t xml:space="preserve"/>
      </w:r>
      <w:r>
        <w:fldChar w:fldCharType="end"/>
      </w:r>
    </w:p>
    <w:p>
      <w:pPr>
        <w:ind w:left="480"/>
        <w:tabs>
          <w:tab w:val="right" w:leader="dot" w:pos="9350"/>
        </w:tabs>
        <w:rPr>
          <w:sz w:val="20"/>
        </w:rPr>
      </w:pPr>
      <w:hyperlink w:anchor="_TocMP900033" w:history="1">
        <w:r>
          <w:rPr>
            <w:rStyle w:val="Hyperlink"/>
            <w:sz w:val="20"/>
          </w:rPr>
          <w:t xml:space="preserve">PROD.Payload — Mean Payload per Cycle</w:t>
        </w:r>
      </w:hyperlink>
      <w:r>
        <w:tab/>
      </w:r>
      <w:r>
        <w:fldChar w:fldCharType="begin"/>
      </w:r>
      <w:r>
        <w:instrText xml:space="preserve"> PAGEREF _TocMP900033 \h </w:instrText>
      </w:r>
      <w:r>
        <w:fldChar w:fldCharType="separate"/>
      </w:r>
      <w:r>
        <w:t xml:space="preserve"/>
      </w:r>
      <w:r>
        <w:fldChar w:fldCharType="end"/>
      </w:r>
    </w:p>
    <w:p>
      <w:pPr>
        <w:ind w:left="240"/>
        <w:tabs>
          <w:tab w:val="right" w:leader="dot" w:pos="9350"/>
        </w:tabs>
        <w:rPr>
          <w:sz w:val="20"/>
        </w:rPr>
      </w:pPr>
      <w:hyperlink w:anchor="_TocMP900034" w:history="1">
        <w:r>
          <w:rPr>
            <w:rStyle w:val="Hyperlink"/>
            <w:sz w:val="20"/>
          </w:rPr>
          <w:t xml:space="preserve">Summary — Production KPIs</w:t>
        </w:r>
      </w:hyperlink>
      <w:r>
        <w:tab/>
      </w:r>
      <w:r>
        <w:fldChar w:fldCharType="begin"/>
      </w:r>
      <w:r>
        <w:instrText xml:space="preserve"> PAGEREF _TocMP900034 \h </w:instrText>
      </w:r>
      <w:r>
        <w:fldChar w:fldCharType="separate"/>
      </w:r>
      <w:r>
        <w:t xml:space="preserve"/>
      </w:r>
      <w:r>
        <w:fldChar w:fldCharType="end"/>
      </w:r>
    </w:p>
    <w:p>
      <w:pPr>
        <w:ind w:left="240"/>
        <w:tabs>
          <w:tab w:val="right" w:leader="dot" w:pos="9350"/>
        </w:tabs>
        <w:rPr>
          <w:sz w:val="20"/>
        </w:rPr>
      </w:pPr>
      <w:hyperlink w:anchor="_TocMP900035" w:history="1">
        <w:r>
          <w:rPr>
            <w:rStyle w:val="Hyperlink"/>
            <w:sz w:val="20"/>
          </w:rPr>
          <w:t xml:space="preserve">Further Reading</w:t>
        </w:r>
      </w:hyperlink>
      <w:r>
        <w:tab/>
      </w:r>
      <w:r>
        <w:fldChar w:fldCharType="begin"/>
      </w:r>
      <w:r>
        <w:instrText xml:space="preserve"> PAGEREF _TocMP900035 \h </w:instrText>
      </w:r>
      <w:r>
        <w:fldChar w:fldCharType="separate"/>
      </w:r>
      <w:r>
        <w:t xml:space="preserve"/>
      </w:r>
      <w:r>
        <w:fldChar w:fldCharType="end"/>
      </w:r>
    </w:p>
    <w:p>
      <w:pPr>
        <w:ind w:left="240"/>
        <w:tabs>
          <w:tab w:val="right" w:leader="dot" w:pos="9350"/>
        </w:tabs>
        <w:rPr>
          <w:sz w:val="20"/>
        </w:rPr>
      </w:pPr>
      <w:hyperlink w:anchor="_TocMP900036" w:history="1">
        <w:r>
          <w:rPr>
            <w:rStyle w:val="Hyperlink"/>
            <w:sz w:val="20"/>
          </w:rPr>
          <w:t xml:space="preserve">Haulage &amp; Fleet KPIs</w:t>
        </w:r>
      </w:hyperlink>
      <w:r>
        <w:tab/>
      </w:r>
      <w:r>
        <w:fldChar w:fldCharType="begin"/>
      </w:r>
      <w:r>
        <w:instrText xml:space="preserve"> PAGEREF _TocMP900036 \h </w:instrText>
      </w:r>
      <w:r>
        <w:fldChar w:fldCharType="separate"/>
      </w:r>
      <w:r>
        <w:t xml:space="preserve"/>
      </w:r>
      <w:r>
        <w:fldChar w:fldCharType="end"/>
      </w:r>
    </w:p>
    <w:p>
      <w:pPr>
        <w:ind w:left="480"/>
        <w:tabs>
          <w:tab w:val="right" w:leader="dot" w:pos="9350"/>
        </w:tabs>
        <w:rPr>
          <w:sz w:val="20"/>
        </w:rPr>
      </w:pPr>
      <w:hyperlink w:anchor="_TocMP900037" w:history="1">
        <w:r>
          <w:rPr>
            <w:rStyle w:val="Hyperlink"/>
            <w:sz w:val="20"/>
          </w:rPr>
          <w:t xml:space="preserve">HAUL.MatchFactor — Fleet Match Factor</w:t>
        </w:r>
      </w:hyperlink>
      <w:r>
        <w:tab/>
      </w:r>
      <w:r>
        <w:fldChar w:fldCharType="begin"/>
      </w:r>
      <w:r>
        <w:instrText xml:space="preserve"> PAGEREF _TocMP900037 \h </w:instrText>
      </w:r>
      <w:r>
        <w:fldChar w:fldCharType="separate"/>
      </w:r>
      <w:r>
        <w:t xml:space="preserve"/>
      </w:r>
      <w:r>
        <w:fldChar w:fldCharType="end"/>
      </w:r>
    </w:p>
    <w:p>
      <w:pPr>
        <w:ind w:left="480"/>
        <w:tabs>
          <w:tab w:val="right" w:leader="dot" w:pos="9350"/>
        </w:tabs>
        <w:rPr>
          <w:sz w:val="20"/>
        </w:rPr>
      </w:pPr>
      <w:hyperlink w:anchor="_TocMP900038" w:history="1">
        <w:r>
          <w:rPr>
            <w:rStyle w:val="Hyperlink"/>
            <w:sz w:val="20"/>
          </w:rPr>
          <w:t xml:space="preserve">HAUL.TonKm — Ton-Kilometres</w:t>
        </w:r>
      </w:hyperlink>
      <w:r>
        <w:tab/>
      </w:r>
      <w:r>
        <w:fldChar w:fldCharType="begin"/>
      </w:r>
      <w:r>
        <w:instrText xml:space="preserve"> PAGEREF _TocMP900038 \h </w:instrText>
      </w:r>
      <w:r>
        <w:fldChar w:fldCharType="separate"/>
      </w:r>
      <w:r>
        <w:t xml:space="preserve"/>
      </w:r>
      <w:r>
        <w:fldChar w:fldCharType="end"/>
      </w:r>
    </w:p>
    <w:p>
      <w:pPr>
        <w:ind w:left="240"/>
        <w:tabs>
          <w:tab w:val="right" w:leader="dot" w:pos="9350"/>
        </w:tabs>
        <w:rPr>
          <w:sz w:val="20"/>
        </w:rPr>
      </w:pPr>
      <w:hyperlink w:anchor="_TocMP900039" w:history="1">
        <w:r>
          <w:rPr>
            <w:rStyle w:val="Hyperlink"/>
            <w:sz w:val="20"/>
          </w:rPr>
          <w:t xml:space="preserve">Utilisation &amp; Availability KPIs</w:t>
        </w:r>
      </w:hyperlink>
      <w:r>
        <w:tab/>
      </w:r>
      <w:r>
        <w:fldChar w:fldCharType="begin"/>
      </w:r>
      <w:r>
        <w:instrText xml:space="preserve"> PAGEREF _TocMP900039 \h </w:instrText>
      </w:r>
      <w:r>
        <w:fldChar w:fldCharType="separate"/>
      </w:r>
      <w:r>
        <w:t xml:space="preserve"/>
      </w:r>
      <w:r>
        <w:fldChar w:fldCharType="end"/>
      </w:r>
    </w:p>
    <w:p>
      <w:pPr>
        <w:ind w:left="480"/>
        <w:tabs>
          <w:tab w:val="right" w:leader="dot" w:pos="9350"/>
        </w:tabs>
        <w:rPr>
          <w:sz w:val="20"/>
        </w:rPr>
      </w:pPr>
      <w:hyperlink w:anchor="_TocMP900040" w:history="1">
        <w:r>
          <w:rPr>
            <w:rStyle w:val="Hyperlink"/>
            <w:sz w:val="20"/>
          </w:rPr>
          <w:t xml:space="preserve">UTIL.PA — Physical Availability</w:t>
        </w:r>
      </w:hyperlink>
      <w:r>
        <w:tab/>
      </w:r>
      <w:r>
        <w:fldChar w:fldCharType="begin"/>
      </w:r>
      <w:r>
        <w:instrText xml:space="preserve"> PAGEREF _TocMP900040 \h </w:instrText>
      </w:r>
      <w:r>
        <w:fldChar w:fldCharType="separate"/>
      </w:r>
      <w:r>
        <w:t xml:space="preserve"/>
      </w:r>
      <w:r>
        <w:fldChar w:fldCharType="end"/>
      </w:r>
    </w:p>
    <w:p>
      <w:pPr>
        <w:ind w:left="480"/>
        <w:tabs>
          <w:tab w:val="right" w:leader="dot" w:pos="9350"/>
        </w:tabs>
        <w:rPr>
          <w:sz w:val="20"/>
        </w:rPr>
      </w:pPr>
      <w:hyperlink w:anchor="_TocMP900041" w:history="1">
        <w:r>
          <w:rPr>
            <w:rStyle w:val="Hyperlink"/>
            <w:sz w:val="20"/>
          </w:rPr>
          <w:t xml:space="preserve">UTIL.UA — Use of Availability</w:t>
        </w:r>
      </w:hyperlink>
      <w:r>
        <w:tab/>
      </w:r>
      <w:r>
        <w:fldChar w:fldCharType="begin"/>
      </w:r>
      <w:r>
        <w:instrText xml:space="preserve"> PAGEREF _TocMP900041 \h </w:instrText>
      </w:r>
      <w:r>
        <w:fldChar w:fldCharType="separate"/>
      </w:r>
      <w:r>
        <w:t xml:space="preserve"/>
      </w:r>
      <w:r>
        <w:fldChar w:fldCharType="end"/>
      </w:r>
    </w:p>
    <w:p>
      <w:pPr>
        <w:ind w:left="480"/>
        <w:tabs>
          <w:tab w:val="right" w:leader="dot" w:pos="9350"/>
        </w:tabs>
        <w:rPr>
          <w:sz w:val="20"/>
        </w:rPr>
      </w:pPr>
      <w:hyperlink w:anchor="_TocMP900042" w:history="1">
        <w:r>
          <w:rPr>
            <w:rStyle w:val="Hyperlink"/>
            <w:sz w:val="20"/>
          </w:rPr>
          <w:t xml:space="preserve">UTIL.EU — Effective Utilisation</w:t>
        </w:r>
      </w:hyperlink>
      <w:r>
        <w:tab/>
      </w:r>
      <w:r>
        <w:fldChar w:fldCharType="begin"/>
      </w:r>
      <w:r>
        <w:instrText xml:space="preserve"> PAGEREF _TocMP900042 \h </w:instrText>
      </w:r>
      <w:r>
        <w:fldChar w:fldCharType="separate"/>
      </w:r>
      <w:r>
        <w:t xml:space="preserve"/>
      </w:r>
      <w:r>
        <w:fldChar w:fldCharType="end"/>
      </w:r>
    </w:p>
    <w:p>
      <w:pPr>
        <w:ind w:left="480"/>
        <w:tabs>
          <w:tab w:val="right" w:leader="dot" w:pos="9350"/>
        </w:tabs>
        <w:rPr>
          <w:sz w:val="20"/>
        </w:rPr>
      </w:pPr>
      <w:hyperlink w:anchor="_TocMP900043" w:history="1">
        <w:r>
          <w:rPr>
            <w:rStyle w:val="Hyperlink"/>
            <w:sz w:val="20"/>
          </w:rPr>
          <w:t xml:space="preserve">UTIL.OEE — Overall Equipment Effectiveness</w:t>
        </w:r>
      </w:hyperlink>
      <w:r>
        <w:tab/>
      </w:r>
      <w:r>
        <w:fldChar w:fldCharType="begin"/>
      </w:r>
      <w:r>
        <w:instrText xml:space="preserve"> PAGEREF _TocMP900043 \h </w:instrText>
      </w:r>
      <w:r>
        <w:fldChar w:fldCharType="separate"/>
      </w:r>
      <w:r>
        <w:t xml:space="preserve"/>
      </w:r>
      <w:r>
        <w:fldChar w:fldCharType="end"/>
      </w:r>
    </w:p>
    <w:p>
      <w:pPr>
        <w:ind w:left="240"/>
        <w:tabs>
          <w:tab w:val="right" w:leader="dot" w:pos="9350"/>
        </w:tabs>
        <w:rPr>
          <w:sz w:val="20"/>
        </w:rPr>
      </w:pPr>
      <w:hyperlink w:anchor="_TocMP900044" w:history="1">
        <w:r>
          <w:rPr>
            <w:rStyle w:val="Hyperlink"/>
            <w:sz w:val="20"/>
          </w:rPr>
          <w:t xml:space="preserve">Summary — Utilisation &amp; Availability</w:t>
        </w:r>
      </w:hyperlink>
      <w:r>
        <w:tab/>
      </w:r>
      <w:r>
        <w:fldChar w:fldCharType="begin"/>
      </w:r>
      <w:r>
        <w:instrText xml:space="preserve"> PAGEREF _TocMP900044 \h </w:instrText>
      </w:r>
      <w:r>
        <w:fldChar w:fldCharType="separate"/>
      </w:r>
      <w:r>
        <w:t xml:space="preserve"/>
      </w:r>
      <w:r>
        <w:fldChar w:fldCharType="end"/>
      </w:r>
    </w:p>
    <w:p>
      <w:pPr>
        <w:ind w:left="240"/>
        <w:tabs>
          <w:tab w:val="right" w:leader="dot" w:pos="9350"/>
        </w:tabs>
        <w:rPr>
          <w:sz w:val="20"/>
        </w:rPr>
      </w:pPr>
      <w:hyperlink w:anchor="_TocMP900045" w:history="1">
        <w:r>
          <w:rPr>
            <w:rStyle w:val="Hyperlink"/>
            <w:sz w:val="20"/>
          </w:rPr>
          <w:t xml:space="preserve">Further Reading</w:t>
        </w:r>
      </w:hyperlink>
      <w:r>
        <w:tab/>
      </w:r>
      <w:r>
        <w:fldChar w:fldCharType="begin"/>
      </w:r>
      <w:r>
        <w:instrText xml:space="preserve"> PAGEREF _TocMP900045 \h </w:instrText>
      </w:r>
      <w:r>
        <w:fldChar w:fldCharType="separate"/>
      </w:r>
      <w:r>
        <w:t xml:space="preserve"/>
      </w:r>
      <w:r>
        <w:fldChar w:fldCharType="end"/>
      </w:r>
    </w:p>
    <w:p>
      <w:pPr>
        <w:ind w:left="240"/>
        <w:tabs>
          <w:tab w:val="right" w:leader="dot" w:pos="9350"/>
        </w:tabs>
        <w:rPr>
          <w:sz w:val="20"/>
        </w:rPr>
      </w:pPr>
      <w:hyperlink w:anchor="_TocMP900046" w:history="1">
        <w:r>
          <w:rPr>
            <w:rStyle w:val="Hyperlink"/>
            <w:sz w:val="20"/>
          </w:rPr>
          <w:t xml:space="preserve">Maintenance &amp; Reliability KPIs</w:t>
        </w:r>
      </w:hyperlink>
      <w:r>
        <w:tab/>
      </w:r>
      <w:r>
        <w:fldChar w:fldCharType="begin"/>
      </w:r>
      <w:r>
        <w:instrText xml:space="preserve"> PAGEREF _TocMP900046 \h </w:instrText>
      </w:r>
      <w:r>
        <w:fldChar w:fldCharType="separate"/>
      </w:r>
      <w:r>
        <w:t xml:space="preserve"/>
      </w:r>
      <w:r>
        <w:fldChar w:fldCharType="end"/>
      </w:r>
    </w:p>
    <w:p>
      <w:pPr>
        <w:ind w:left="480"/>
        <w:tabs>
          <w:tab w:val="right" w:leader="dot" w:pos="9350"/>
        </w:tabs>
        <w:rPr>
          <w:sz w:val="20"/>
        </w:rPr>
      </w:pPr>
      <w:hyperlink w:anchor="_TocMP900047" w:history="1">
        <w:r>
          <w:rPr>
            <w:rStyle w:val="Hyperlink"/>
            <w:sz w:val="20"/>
          </w:rPr>
          <w:t xml:space="preserve">MAINT.MTBF — Mean Time Between Failures</w:t>
        </w:r>
      </w:hyperlink>
      <w:r>
        <w:tab/>
      </w:r>
      <w:r>
        <w:fldChar w:fldCharType="begin"/>
      </w:r>
      <w:r>
        <w:instrText xml:space="preserve"> PAGEREF _TocMP900047 \h </w:instrText>
      </w:r>
      <w:r>
        <w:fldChar w:fldCharType="separate"/>
      </w:r>
      <w:r>
        <w:t xml:space="preserve"/>
      </w:r>
      <w:r>
        <w:fldChar w:fldCharType="end"/>
      </w:r>
    </w:p>
    <w:p>
      <w:pPr>
        <w:ind w:left="480"/>
        <w:tabs>
          <w:tab w:val="right" w:leader="dot" w:pos="9350"/>
        </w:tabs>
        <w:rPr>
          <w:sz w:val="20"/>
        </w:rPr>
      </w:pPr>
      <w:hyperlink w:anchor="_TocMP900048" w:history="1">
        <w:r>
          <w:rPr>
            <w:rStyle w:val="Hyperlink"/>
            <w:sz w:val="20"/>
          </w:rPr>
          <w:t xml:space="preserve">MAINT.MTTR — Mean Time To Repair</w:t>
        </w:r>
      </w:hyperlink>
      <w:r>
        <w:tab/>
      </w:r>
      <w:r>
        <w:fldChar w:fldCharType="begin"/>
      </w:r>
      <w:r>
        <w:instrText xml:space="preserve"> PAGEREF _TocMP900048 \h </w:instrText>
      </w:r>
      <w:r>
        <w:fldChar w:fldCharType="separate"/>
      </w:r>
      <w:r>
        <w:t xml:space="preserve"/>
      </w:r>
      <w:r>
        <w:fldChar w:fldCharType="end"/>
      </w:r>
    </w:p>
    <w:p>
      <w:pPr>
        <w:ind w:left="480"/>
        <w:tabs>
          <w:tab w:val="right" w:leader="dot" w:pos="9350"/>
        </w:tabs>
        <w:rPr>
          <w:sz w:val="20"/>
        </w:rPr>
      </w:pPr>
      <w:hyperlink w:anchor="_TocMP900049" w:history="1">
        <w:r>
          <w:rPr>
            <w:rStyle w:val="Hyperlink"/>
            <w:sz w:val="20"/>
          </w:rPr>
          <w:t xml:space="preserve">MAINT.Ai — Inherent Availability</w:t>
        </w:r>
      </w:hyperlink>
      <w:r>
        <w:tab/>
      </w:r>
      <w:r>
        <w:fldChar w:fldCharType="begin"/>
      </w:r>
      <w:r>
        <w:instrText xml:space="preserve"> PAGEREF _TocMP900049 \h </w:instrText>
      </w:r>
      <w:r>
        <w:fldChar w:fldCharType="separate"/>
      </w:r>
      <w:r>
        <w:t xml:space="preserve"/>
      </w:r>
      <w:r>
        <w:fldChar w:fldCharType="end"/>
      </w:r>
    </w:p>
    <w:p>
      <w:pPr>
        <w:ind w:left="240"/>
        <w:tabs>
          <w:tab w:val="right" w:leader="dot" w:pos="9350"/>
        </w:tabs>
        <w:rPr>
          <w:sz w:val="20"/>
        </w:rPr>
      </w:pPr>
      <w:hyperlink w:anchor="_TocMP900050" w:history="1">
        <w:r>
          <w:rPr>
            <w:rStyle w:val="Hyperlink"/>
            <w:sz w:val="20"/>
          </w:rPr>
          <w:t xml:space="preserve">Summary — Maintenance &amp; Reliability</w:t>
        </w:r>
      </w:hyperlink>
      <w:r>
        <w:tab/>
      </w:r>
      <w:r>
        <w:fldChar w:fldCharType="begin"/>
      </w:r>
      <w:r>
        <w:instrText xml:space="preserve"> PAGEREF _TocMP900050 \h </w:instrText>
      </w:r>
      <w:r>
        <w:fldChar w:fldCharType="separate"/>
      </w:r>
      <w:r>
        <w:t xml:space="preserve"/>
      </w:r>
      <w:r>
        <w:fldChar w:fldCharType="end"/>
      </w:r>
    </w:p>
    <w:p>
      <w:pPr>
        <w:ind w:left="240"/>
        <w:tabs>
          <w:tab w:val="right" w:leader="dot" w:pos="9350"/>
        </w:tabs>
        <w:rPr>
          <w:sz w:val="20"/>
        </w:rPr>
      </w:pPr>
      <w:hyperlink w:anchor="_TocMP900051" w:history="1">
        <w:r>
          <w:rPr>
            <w:rStyle w:val="Hyperlink"/>
            <w:sz w:val="20"/>
          </w:rPr>
          <w:t xml:space="preserve">Further Reading</w:t>
        </w:r>
      </w:hyperlink>
      <w:r>
        <w:tab/>
      </w:r>
      <w:r>
        <w:fldChar w:fldCharType="begin"/>
      </w:r>
      <w:r>
        <w:instrText xml:space="preserve"> PAGEREF _TocMP900051 \h </w:instrText>
      </w:r>
      <w:r>
        <w:fldChar w:fldCharType="separate"/>
      </w:r>
      <w:r>
        <w:t xml:space="preserve"/>
      </w:r>
      <w:r>
        <w:fldChar w:fldCharType="end"/>
      </w:r>
    </w:p>
    <w:p>
      <w:pPr>
        <w:ind w:left="240"/>
        <w:tabs>
          <w:tab w:val="right" w:leader="dot" w:pos="9350"/>
        </w:tabs>
        <w:rPr>
          <w:sz w:val="20"/>
        </w:rPr>
      </w:pPr>
      <w:hyperlink w:anchor="_TocMP900052" w:history="1">
        <w:r>
          <w:rPr>
            <w:rStyle w:val="Hyperlink"/>
            <w:sz w:val="20"/>
          </w:rPr>
          <w:t xml:space="preserve">Delay &amp; Dispatch KPIs</w:t>
        </w:r>
      </w:hyperlink>
      <w:r>
        <w:tab/>
      </w:r>
      <w:r>
        <w:fldChar w:fldCharType="begin"/>
      </w:r>
      <w:r>
        <w:instrText xml:space="preserve"> PAGEREF _TocMP900052 \h </w:instrText>
      </w:r>
      <w:r>
        <w:fldChar w:fldCharType="separate"/>
      </w:r>
      <w:r>
        <w:t xml:space="preserve"/>
      </w:r>
      <w:r>
        <w:fldChar w:fldCharType="end"/>
      </w:r>
    </w:p>
    <w:p>
      <w:pPr>
        <w:ind w:left="480"/>
        <w:tabs>
          <w:tab w:val="right" w:leader="dot" w:pos="9350"/>
        </w:tabs>
        <w:rPr>
          <w:sz w:val="20"/>
        </w:rPr>
      </w:pPr>
      <w:hyperlink w:anchor="_TocMP900053" w:history="1">
        <w:r>
          <w:rPr>
            <w:rStyle w:val="Hyperlink"/>
            <w:sz w:val="20"/>
          </w:rPr>
          <w:t xml:space="preserve">DELAY.Hours — Total Delay Hours</w:t>
        </w:r>
      </w:hyperlink>
      <w:r>
        <w:tab/>
      </w:r>
      <w:r>
        <w:fldChar w:fldCharType="begin"/>
      </w:r>
      <w:r>
        <w:instrText xml:space="preserve"> PAGEREF _TocMP900053 \h </w:instrText>
      </w:r>
      <w:r>
        <w:fldChar w:fldCharType="separate"/>
      </w:r>
      <w:r>
        <w:t xml:space="preserve"/>
      </w:r>
      <w:r>
        <w:fldChar w:fldCharType="end"/>
      </w:r>
    </w:p>
    <w:p>
      <w:pPr>
        <w:ind w:left="240"/>
        <w:tabs>
          <w:tab w:val="right" w:leader="dot" w:pos="9350"/>
        </w:tabs>
        <w:rPr>
          <w:sz w:val="20"/>
        </w:rPr>
      </w:pPr>
      <w:hyperlink w:anchor="_TocMP900054" w:history="1">
        <w:r>
          <w:rPr>
            <w:rStyle w:val="Hyperlink"/>
            <w:sz w:val="20"/>
          </w:rPr>
          <w:t xml:space="preserve">Summary — Delay &amp; Dispatch</w:t>
        </w:r>
      </w:hyperlink>
      <w:r>
        <w:tab/>
      </w:r>
      <w:r>
        <w:fldChar w:fldCharType="begin"/>
      </w:r>
      <w:r>
        <w:instrText xml:space="preserve"> PAGEREF _TocMP900054 \h </w:instrText>
      </w:r>
      <w:r>
        <w:fldChar w:fldCharType="separate"/>
      </w:r>
      <w:r>
        <w:t xml:space="preserve"/>
      </w:r>
      <w:r>
        <w:fldChar w:fldCharType="end"/>
      </w:r>
    </w:p>
    <w:p>
      <w:pPr>
        <w:ind w:left="240"/>
        <w:tabs>
          <w:tab w:val="right" w:leader="dot" w:pos="9350"/>
        </w:tabs>
        <w:rPr>
          <w:sz w:val="20"/>
        </w:rPr>
      </w:pPr>
      <w:hyperlink w:anchor="_TocMP900055" w:history="1">
        <w:r>
          <w:rPr>
            <w:rStyle w:val="Hyperlink"/>
            <w:sz w:val="20"/>
          </w:rPr>
          <w:t xml:space="preserve">Further Reading</w:t>
        </w:r>
      </w:hyperlink>
      <w:r>
        <w:tab/>
      </w:r>
      <w:r>
        <w:fldChar w:fldCharType="begin"/>
      </w:r>
      <w:r>
        <w:instrText xml:space="preserve"> PAGEREF _TocMP900055 \h </w:instrText>
      </w:r>
      <w:r>
        <w:fldChar w:fldCharType="separate"/>
      </w:r>
      <w:r>
        <w:t xml:space="preserve"/>
      </w:r>
      <w:r>
        <w:fldChar w:fldCharType="end"/>
      </w:r>
    </w:p>
    <w:p>
      <w:pPr>
        <w:ind w:left="240"/>
        <w:tabs>
          <w:tab w:val="right" w:leader="dot" w:pos="9350"/>
        </w:tabs>
        <w:rPr>
          <w:sz w:val="20"/>
        </w:rPr>
      </w:pPr>
      <w:hyperlink w:anchor="_TocMP900056" w:history="1">
        <w:r>
          <w:rPr>
            <w:rStyle w:val="Hyperlink"/>
            <w:sz w:val="20"/>
          </w:rPr>
          <w:t xml:space="preserve">Energy &amp; Carbon KPIs</w:t>
        </w:r>
      </w:hyperlink>
      <w:r>
        <w:tab/>
      </w:r>
      <w:r>
        <w:fldChar w:fldCharType="begin"/>
      </w:r>
      <w:r>
        <w:instrText xml:space="preserve"> PAGEREF _TocMP900056 \h </w:instrText>
      </w:r>
      <w:r>
        <w:fldChar w:fldCharType="separate"/>
      </w:r>
      <w:r>
        <w:t xml:space="preserve"/>
      </w:r>
      <w:r>
        <w:fldChar w:fldCharType="end"/>
      </w:r>
    </w:p>
    <w:p>
      <w:pPr>
        <w:ind w:left="480"/>
        <w:tabs>
          <w:tab w:val="right" w:leader="dot" w:pos="9350"/>
        </w:tabs>
        <w:rPr>
          <w:sz w:val="20"/>
        </w:rPr>
      </w:pPr>
      <w:hyperlink w:anchor="_TocMP900057" w:history="1">
        <w:r>
          <w:rPr>
            <w:rStyle w:val="Hyperlink"/>
            <w:sz w:val="20"/>
          </w:rPr>
          <w:t xml:space="preserve">ENERGY.FuelPerTonne — Fuel Per Tonne</w:t>
        </w:r>
      </w:hyperlink>
      <w:r>
        <w:tab/>
      </w:r>
      <w:r>
        <w:fldChar w:fldCharType="begin"/>
      </w:r>
      <w:r>
        <w:instrText xml:space="preserve"> PAGEREF _TocMP900057 \h </w:instrText>
      </w:r>
      <w:r>
        <w:fldChar w:fldCharType="separate"/>
      </w:r>
      <w:r>
        <w:t xml:space="preserve"/>
      </w:r>
      <w:r>
        <w:fldChar w:fldCharType="end"/>
      </w:r>
    </w:p>
    <w:p>
      <w:pPr>
        <w:ind w:left="480"/>
        <w:tabs>
          <w:tab w:val="right" w:leader="dot" w:pos="9350"/>
        </w:tabs>
        <w:rPr>
          <w:sz w:val="20"/>
        </w:rPr>
      </w:pPr>
      <w:hyperlink w:anchor="_TocMP900058" w:history="1">
        <w:r>
          <w:rPr>
            <w:rStyle w:val="Hyperlink"/>
            <w:sz w:val="20"/>
          </w:rPr>
          <w:t xml:space="preserve">CARBON.CO2PerTonne — CO₂e Per Tonne</w:t>
        </w:r>
      </w:hyperlink>
      <w:r>
        <w:tab/>
      </w:r>
      <w:r>
        <w:fldChar w:fldCharType="begin"/>
      </w:r>
      <w:r>
        <w:instrText xml:space="preserve"> PAGEREF _TocMP900058 \h </w:instrText>
      </w:r>
      <w:r>
        <w:fldChar w:fldCharType="separate"/>
      </w:r>
      <w:r>
        <w:t xml:space="preserve"/>
      </w:r>
      <w:r>
        <w:fldChar w:fldCharType="end"/>
      </w:r>
    </w:p>
    <w:p>
      <w:pPr>
        <w:ind w:left="240"/>
        <w:tabs>
          <w:tab w:val="right" w:leader="dot" w:pos="9350"/>
        </w:tabs>
        <w:rPr>
          <w:sz w:val="20"/>
        </w:rPr>
      </w:pPr>
      <w:hyperlink w:anchor="_TocMP900059" w:history="1">
        <w:r>
          <w:rPr>
            <w:rStyle w:val="Hyperlink"/>
            <w:sz w:val="20"/>
          </w:rPr>
          <w:t xml:space="preserve">Summary — Energy &amp; Carbon</w:t>
        </w:r>
      </w:hyperlink>
      <w:r>
        <w:tab/>
      </w:r>
      <w:r>
        <w:fldChar w:fldCharType="begin"/>
      </w:r>
      <w:r>
        <w:instrText xml:space="preserve"> PAGEREF _TocMP900059 \h </w:instrText>
      </w:r>
      <w:r>
        <w:fldChar w:fldCharType="separate"/>
      </w:r>
      <w:r>
        <w:t xml:space="preserve"/>
      </w:r>
      <w:r>
        <w:fldChar w:fldCharType="end"/>
      </w:r>
    </w:p>
    <w:p>
      <w:pPr>
        <w:ind w:left="240"/>
        <w:tabs>
          <w:tab w:val="right" w:leader="dot" w:pos="9350"/>
        </w:tabs>
        <w:rPr>
          <w:sz w:val="20"/>
        </w:rPr>
      </w:pPr>
      <w:hyperlink w:anchor="_TocMP900060" w:history="1">
        <w:r>
          <w:rPr>
            <w:rStyle w:val="Hyperlink"/>
            <w:sz w:val="20"/>
          </w:rPr>
          <w:t xml:space="preserve">Further Reading</w:t>
        </w:r>
      </w:hyperlink>
      <w:r>
        <w:tab/>
      </w:r>
      <w:r>
        <w:fldChar w:fldCharType="begin"/>
      </w:r>
      <w:r>
        <w:instrText xml:space="preserve"> PAGEREF _TocMP900060 \h </w:instrText>
      </w:r>
      <w:r>
        <w:fldChar w:fldCharType="separate"/>
      </w:r>
      <w:r>
        <w:t xml:space="preserve"/>
      </w:r>
      <w:r>
        <w:fldChar w:fldCharType="end"/>
      </w:r>
    </w:p>
    <w:p>
      <w:pPr>
        <w:ind w:left="240"/>
        <w:tabs>
          <w:tab w:val="right" w:leader="dot" w:pos="9350"/>
        </w:tabs>
        <w:rPr>
          <w:sz w:val="20"/>
        </w:rPr>
      </w:pPr>
      <w:hyperlink w:anchor="_TocMP900061" w:history="1">
        <w:r>
          <w:rPr>
            <w:rStyle w:val="Hyperlink"/>
            <w:sz w:val="20"/>
          </w:rPr>
          <w:t xml:space="preserve">Quality KPIs</w:t>
        </w:r>
      </w:hyperlink>
      <w:r>
        <w:tab/>
      </w:r>
      <w:r>
        <w:fldChar w:fldCharType="begin"/>
      </w:r>
      <w:r>
        <w:instrText xml:space="preserve"> PAGEREF _TocMP900061 \h </w:instrText>
      </w:r>
      <w:r>
        <w:fldChar w:fldCharType="separate"/>
      </w:r>
      <w:r>
        <w:t xml:space="preserve"/>
      </w:r>
      <w:r>
        <w:fldChar w:fldCharType="end"/>
      </w:r>
    </w:p>
    <w:p>
      <w:pPr>
        <w:ind w:left="480"/>
        <w:tabs>
          <w:tab w:val="right" w:leader="dot" w:pos="9350"/>
        </w:tabs>
        <w:rPr>
          <w:sz w:val="20"/>
        </w:rPr>
      </w:pPr>
      <w:hyperlink w:anchor="_TocMP900062" w:history="1">
        <w:r>
          <w:rPr>
            <w:rStyle w:val="Hyperlink"/>
            <w:sz w:val="20"/>
          </w:rPr>
          <w:t xml:space="preserve">QUAL.Recovery — Metallurgical Recovery</w:t>
        </w:r>
      </w:hyperlink>
      <w:r>
        <w:tab/>
      </w:r>
      <w:r>
        <w:fldChar w:fldCharType="begin"/>
      </w:r>
      <w:r>
        <w:instrText xml:space="preserve"> PAGEREF _TocMP900062 \h </w:instrText>
      </w:r>
      <w:r>
        <w:fldChar w:fldCharType="separate"/>
      </w:r>
      <w:r>
        <w:t xml:space="preserve"/>
      </w:r>
      <w:r>
        <w:fldChar w:fldCharType="end"/>
      </w:r>
    </w:p>
    <w:p>
      <w:pPr>
        <w:ind w:left="240"/>
        <w:tabs>
          <w:tab w:val="right" w:leader="dot" w:pos="9350"/>
        </w:tabs>
        <w:rPr>
          <w:sz w:val="20"/>
        </w:rPr>
      </w:pPr>
      <w:hyperlink w:anchor="_TocMP900063" w:history="1">
        <w:r>
          <w:rPr>
            <w:rStyle w:val="Hyperlink"/>
            <w:sz w:val="20"/>
          </w:rPr>
          <w:t xml:space="preserve">Summary — Quality</w:t>
        </w:r>
      </w:hyperlink>
      <w:r>
        <w:tab/>
      </w:r>
      <w:r>
        <w:fldChar w:fldCharType="begin"/>
      </w:r>
      <w:r>
        <w:instrText xml:space="preserve"> PAGEREF _TocMP900063 \h </w:instrText>
      </w:r>
      <w:r>
        <w:fldChar w:fldCharType="separate"/>
      </w:r>
      <w:r>
        <w:t xml:space="preserve"/>
      </w:r>
      <w:r>
        <w:fldChar w:fldCharType="end"/>
      </w:r>
    </w:p>
    <w:p>
      <w:pPr>
        <w:ind w:left="240"/>
        <w:tabs>
          <w:tab w:val="right" w:leader="dot" w:pos="9350"/>
        </w:tabs>
        <w:rPr>
          <w:sz w:val="20"/>
        </w:rPr>
      </w:pPr>
      <w:hyperlink w:anchor="_TocMP900064" w:history="1">
        <w:r>
          <w:rPr>
            <w:rStyle w:val="Hyperlink"/>
            <w:sz w:val="20"/>
          </w:rPr>
          <w:t xml:space="preserve">Further Reading</w:t>
        </w:r>
      </w:hyperlink>
      <w:r>
        <w:tab/>
      </w:r>
      <w:r>
        <w:fldChar w:fldCharType="begin"/>
      </w:r>
      <w:r>
        <w:instrText xml:space="preserve"> PAGEREF _TocMP900064 \h </w:instrText>
      </w:r>
      <w:r>
        <w:fldChar w:fldCharType="separate"/>
      </w:r>
      <w:r>
        <w:t xml:space="preserve"/>
      </w:r>
      <w:r>
        <w:fldChar w:fldCharType="end"/>
      </w:r>
    </w:p>
    <w:p>
      <w:pPr>
        <w:ind w:left="240"/>
        <w:tabs>
          <w:tab w:val="right" w:leader="dot" w:pos="9350"/>
        </w:tabs>
        <w:rPr>
          <w:sz w:val="20"/>
        </w:rPr>
      </w:pPr>
      <w:hyperlink w:anchor="_TocMP900065" w:history="1">
        <w:r>
          <w:rPr>
            <w:rStyle w:val="Hyperlink"/>
            <w:sz w:val="20"/>
          </w:rPr>
          <w:t xml:space="preserve">Cost KPIs</w:t>
        </w:r>
      </w:hyperlink>
      <w:r>
        <w:tab/>
      </w:r>
      <w:r>
        <w:fldChar w:fldCharType="begin"/>
      </w:r>
      <w:r>
        <w:instrText xml:space="preserve"> PAGEREF _TocMP900065 \h </w:instrText>
      </w:r>
      <w:r>
        <w:fldChar w:fldCharType="separate"/>
      </w:r>
      <w:r>
        <w:t xml:space="preserve"/>
      </w:r>
      <w:r>
        <w:fldChar w:fldCharType="end"/>
      </w:r>
    </w:p>
    <w:p>
      <w:pPr>
        <w:ind w:left="480"/>
        <w:tabs>
          <w:tab w:val="right" w:leader="dot" w:pos="9350"/>
        </w:tabs>
        <w:rPr>
          <w:sz w:val="20"/>
        </w:rPr>
      </w:pPr>
      <w:hyperlink w:anchor="_TocMP900066" w:history="1">
        <w:r>
          <w:rPr>
            <w:rStyle w:val="Hyperlink"/>
            <w:sz w:val="20"/>
          </w:rPr>
          <w:t xml:space="preserve">COST.CostPerTonne — Cost Per Tonne</w:t>
        </w:r>
      </w:hyperlink>
      <w:r>
        <w:tab/>
      </w:r>
      <w:r>
        <w:fldChar w:fldCharType="begin"/>
      </w:r>
      <w:r>
        <w:instrText xml:space="preserve"> PAGEREF _TocMP900066 \h </w:instrText>
      </w:r>
      <w:r>
        <w:fldChar w:fldCharType="separate"/>
      </w:r>
      <w:r>
        <w:t xml:space="preserve"/>
      </w:r>
      <w:r>
        <w:fldChar w:fldCharType="end"/>
      </w:r>
    </w:p>
    <w:p>
      <w:pPr>
        <w:ind w:left="240"/>
        <w:tabs>
          <w:tab w:val="right" w:leader="dot" w:pos="9350"/>
        </w:tabs>
        <w:rPr>
          <w:sz w:val="20"/>
        </w:rPr>
      </w:pPr>
      <w:hyperlink w:anchor="_TocMP900067" w:history="1">
        <w:r>
          <w:rPr>
            <w:rStyle w:val="Hyperlink"/>
            <w:sz w:val="20"/>
          </w:rPr>
          <w:t xml:space="preserve">Summary — Cost</w:t>
        </w:r>
      </w:hyperlink>
      <w:r>
        <w:tab/>
      </w:r>
      <w:r>
        <w:fldChar w:fldCharType="begin"/>
      </w:r>
      <w:r>
        <w:instrText xml:space="preserve"> PAGEREF _TocMP900067 \h </w:instrText>
      </w:r>
      <w:r>
        <w:fldChar w:fldCharType="separate"/>
      </w:r>
      <w:r>
        <w:t xml:space="preserve"/>
      </w:r>
      <w:r>
        <w:fldChar w:fldCharType="end"/>
      </w:r>
    </w:p>
    <w:p>
      <w:pPr>
        <w:ind w:left="240"/>
        <w:tabs>
          <w:tab w:val="right" w:leader="dot" w:pos="9350"/>
        </w:tabs>
        <w:rPr>
          <w:sz w:val="20"/>
        </w:rPr>
      </w:pPr>
      <w:hyperlink w:anchor="_TocMP900068" w:history="1">
        <w:r>
          <w:rPr>
            <w:rStyle w:val="Hyperlink"/>
            <w:sz w:val="20"/>
          </w:rPr>
          <w:t xml:space="preserve">Further Reading</w:t>
        </w:r>
      </w:hyperlink>
      <w:r>
        <w:tab/>
      </w:r>
      <w:r>
        <w:fldChar w:fldCharType="begin"/>
      </w:r>
      <w:r>
        <w:instrText xml:space="preserve"> PAGEREF _TocMP900068 \h </w:instrText>
      </w:r>
      <w:r>
        <w:fldChar w:fldCharType="separate"/>
      </w:r>
      <w:r>
        <w:t xml:space="preserve"/>
      </w:r>
      <w:r>
        <w:fldChar w:fldCharType="end"/>
      </w:r>
    </w:p>
    <w:p>
      <w:pPr>
        <w:ind w:left="240"/>
        <w:tabs>
          <w:tab w:val="right" w:leader="dot" w:pos="9350"/>
        </w:tabs>
        <w:rPr>
          <w:sz w:val="20"/>
        </w:rPr>
      </w:pPr>
      <w:hyperlink w:anchor="_TocMP900069" w:history="1">
        <w:r>
          <w:rPr>
            <w:rStyle w:val="Hyperlink"/>
            <w:sz w:val="20"/>
          </w:rPr>
          <w:t xml:space="preserve">Safety KPIs</w:t>
        </w:r>
      </w:hyperlink>
      <w:r>
        <w:tab/>
      </w:r>
      <w:r>
        <w:fldChar w:fldCharType="begin"/>
      </w:r>
      <w:r>
        <w:instrText xml:space="preserve"> PAGEREF _TocMP900069 \h </w:instrText>
      </w:r>
      <w:r>
        <w:fldChar w:fldCharType="separate"/>
      </w:r>
      <w:r>
        <w:t xml:space="preserve"/>
      </w:r>
      <w:r>
        <w:fldChar w:fldCharType="end"/>
      </w:r>
    </w:p>
    <w:p>
      <w:pPr>
        <w:ind w:left="480"/>
        <w:tabs>
          <w:tab w:val="right" w:leader="dot" w:pos="9350"/>
        </w:tabs>
        <w:rPr>
          <w:sz w:val="20"/>
        </w:rPr>
      </w:pPr>
      <w:hyperlink w:anchor="_TocMP900070" w:history="1">
        <w:r>
          <w:rPr>
            <w:rStyle w:val="Hyperlink"/>
            <w:sz w:val="20"/>
          </w:rPr>
          <w:t xml:space="preserve">SAFE.SpeedViolationRate — Speed Violation Rate</w:t>
        </w:r>
      </w:hyperlink>
      <w:r>
        <w:tab/>
      </w:r>
      <w:r>
        <w:fldChar w:fldCharType="begin"/>
      </w:r>
      <w:r>
        <w:instrText xml:space="preserve"> PAGEREF _TocMP900070 \h </w:instrText>
      </w:r>
      <w:r>
        <w:fldChar w:fldCharType="separate"/>
      </w:r>
      <w:r>
        <w:t xml:space="preserve"/>
      </w:r>
      <w:r>
        <w:fldChar w:fldCharType="end"/>
      </w:r>
    </w:p>
    <w:p>
      <w:pPr>
        <w:ind w:left="240"/>
        <w:tabs>
          <w:tab w:val="right" w:leader="dot" w:pos="9350"/>
        </w:tabs>
        <w:rPr>
          <w:sz w:val="20"/>
        </w:rPr>
      </w:pPr>
      <w:hyperlink w:anchor="_TocMP900071" w:history="1">
        <w:r>
          <w:rPr>
            <w:rStyle w:val="Hyperlink"/>
            <w:sz w:val="20"/>
          </w:rPr>
          <w:t xml:space="preserve">Summary — Safety</w:t>
        </w:r>
      </w:hyperlink>
      <w:r>
        <w:tab/>
      </w:r>
      <w:r>
        <w:fldChar w:fldCharType="begin"/>
      </w:r>
      <w:r>
        <w:instrText xml:space="preserve"> PAGEREF _TocMP900071 \h </w:instrText>
      </w:r>
      <w:r>
        <w:fldChar w:fldCharType="separate"/>
      </w:r>
      <w:r>
        <w:t xml:space="preserve"/>
      </w:r>
      <w:r>
        <w:fldChar w:fldCharType="end"/>
      </w:r>
    </w:p>
    <w:p>
      <w:pPr>
        <w:ind w:left="240"/>
        <w:tabs>
          <w:tab w:val="right" w:leader="dot" w:pos="9350"/>
        </w:tabs>
        <w:rPr>
          <w:sz w:val="20"/>
        </w:rPr>
      </w:pPr>
      <w:hyperlink w:anchor="_TocMP900072" w:history="1">
        <w:r>
          <w:rPr>
            <w:rStyle w:val="Hyperlink"/>
            <w:sz w:val="20"/>
          </w:rPr>
          <w:t xml:space="preserve">Further Reading</w:t>
        </w:r>
      </w:hyperlink>
      <w:r>
        <w:tab/>
      </w:r>
      <w:r>
        <w:fldChar w:fldCharType="begin"/>
      </w:r>
      <w:r>
        <w:instrText xml:space="preserve"> PAGEREF _TocMP900072 \h </w:instrText>
      </w:r>
      <w:r>
        <w:fldChar w:fldCharType="separate"/>
      </w:r>
      <w:r>
        <w:t xml:space="preserve"/>
      </w:r>
      <w:r>
        <w:fldChar w:fldCharType="end"/>
      </w:r>
    </w:p>
    <w:p>
      <w:pPr>
        <w:ind w:left="0"/>
        <w:tabs>
          <w:tab w:val="right" w:leader="dot" w:pos="9350"/>
        </w:tabs>
        <w:rPr>
          <w:b/>
          <w:sz w:val="22"/>
        </w:rPr>
      </w:pPr>
      <w:hyperlink w:anchor="_TocMP900073" w:history="1">
        <w:r>
          <w:rPr>
            <w:rStyle w:val="Hyperlink"/>
            <w:b/>
            <w:sz w:val="22"/>
          </w:rPr>
          <w:t xml:space="preserve">Appendix A — The KPI Registry</w:t>
        </w:r>
      </w:hyperlink>
      <w:r>
        <w:tab/>
      </w:r>
      <w:r>
        <w:fldChar w:fldCharType="begin"/>
      </w:r>
      <w:r>
        <w:instrText xml:space="preserve"> PAGEREF _TocMP900073 \h </w:instrText>
      </w:r>
      <w:r>
        <w:fldChar w:fldCharType="separate"/>
      </w:r>
      <w:r>
        <w:t xml:space="preserve"/>
      </w:r>
      <w:r>
        <w:fldChar w:fldCharType="end"/>
      </w:r>
    </w:p>
    <w:p>
      <w:pPr>
        <w:ind w:left="240"/>
        <w:tabs>
          <w:tab w:val="right" w:leader="dot" w:pos="9350"/>
        </w:tabs>
        <w:rPr>
          <w:sz w:val="20"/>
        </w:rPr>
      </w:pPr>
      <w:hyperlink w:anchor="_TocMP900074" w:history="1">
        <w:r>
          <w:rPr>
            <w:rStyle w:val="Hyperlink"/>
            <w:sz w:val="20"/>
          </w:rPr>
          <w:t xml:space="preserve">Table A.1 — Core Catalogue</w:t>
        </w:r>
      </w:hyperlink>
      <w:r>
        <w:tab/>
      </w:r>
      <w:r>
        <w:fldChar w:fldCharType="begin"/>
      </w:r>
      <w:r>
        <w:instrText xml:space="preserve"> PAGEREF _TocMP900074 \h </w:instrText>
      </w:r>
      <w:r>
        <w:fldChar w:fldCharType="separate"/>
      </w:r>
      <w:r>
        <w:t xml:space="preserve"/>
      </w:r>
      <w:r>
        <w:fldChar w:fldCharType="end"/>
      </w:r>
    </w:p>
    <w:p>
      <w:pPr>
        <w:ind w:left="240"/>
        <w:tabs>
          <w:tab w:val="right" w:leader="dot" w:pos="9350"/>
        </w:tabs>
        <w:rPr>
          <w:sz w:val="20"/>
        </w:rPr>
      </w:pPr>
      <w:hyperlink w:anchor="_TocMP900075" w:history="1">
        <w:r>
          <w:rPr>
            <w:rStyle w:val="Hyperlink"/>
            <w:sz w:val="20"/>
          </w:rPr>
          <w:t xml:space="preserve">Table A.2 — Applicability &amp; Mapping</w:t>
        </w:r>
      </w:hyperlink>
      <w:r>
        <w:tab/>
      </w:r>
      <w:r>
        <w:fldChar w:fldCharType="begin"/>
      </w:r>
      <w:r>
        <w:instrText xml:space="preserve"> PAGEREF _TocMP900075 \h </w:instrText>
      </w:r>
      <w:r>
        <w:fldChar w:fldCharType="separate"/>
      </w:r>
      <w:r>
        <w:t xml:space="preserve"/>
      </w:r>
      <w:r>
        <w:fldChar w:fldCharType="end"/>
      </w:r>
    </w:p>
    <w:p>
      <w:pPr>
        <w:ind w:left="0"/>
        <w:tabs>
          <w:tab w:val="right" w:leader="dot" w:pos="9350"/>
        </w:tabs>
        <w:rPr>
          <w:b/>
          <w:sz w:val="22"/>
        </w:rPr>
      </w:pPr>
      <w:hyperlink w:anchor="_TocMP900076" w:history="1">
        <w:r>
          <w:rPr>
            <w:rStyle w:val="Hyperlink"/>
            <w:b/>
            <w:sz w:val="22"/>
          </w:rPr>
          <w:t xml:space="preserve">Appendix B — Reusable KPI Template</w:t>
        </w:r>
      </w:hyperlink>
      <w:r>
        <w:tab/>
      </w:r>
      <w:r>
        <w:fldChar w:fldCharType="begin"/>
      </w:r>
      <w:r>
        <w:instrText xml:space="preserve"> PAGEREF _TocMP900076 \h </w:instrText>
      </w:r>
      <w:r>
        <w:fldChar w:fldCharType="separate"/>
      </w:r>
      <w:r>
        <w:t xml:space="preserve"/>
      </w:r>
      <w:r>
        <w:fldChar w:fldCharType="end"/>
      </w:r>
    </w:p>
    <w:p>
      <w:pPr>
        <w:ind w:left="240"/>
        <w:tabs>
          <w:tab w:val="right" w:leader="dot" w:pos="9350"/>
        </w:tabs>
        <w:rPr>
          <w:sz w:val="20"/>
        </w:rPr>
      </w:pPr>
      <w:hyperlink w:anchor="_TocMP900077" w:history="1">
        <w:r>
          <w:rPr>
            <w:rStyle w:val="Hyperlink"/>
            <w:sz w:val="20"/>
          </w:rPr>
          <w:t xml:space="preserve">The 29 mandatory fields</w:t>
        </w:r>
      </w:hyperlink>
      <w:r>
        <w:tab/>
      </w:r>
      <w:r>
        <w:fldChar w:fldCharType="begin"/>
      </w:r>
      <w:r>
        <w:instrText xml:space="preserve"> PAGEREF _TocMP900077 \h </w:instrText>
      </w:r>
      <w:r>
        <w:fldChar w:fldCharType="separate"/>
      </w:r>
      <w:r>
        <w:t xml:space="preserve"/>
      </w:r>
      <w:r>
        <w:fldChar w:fldCharType="end"/>
      </w:r>
    </w:p>
    <w:p>
      <w:pPr>
        <w:ind w:left="240"/>
        <w:tabs>
          <w:tab w:val="right" w:leader="dot" w:pos="9350"/>
        </w:tabs>
        <w:rPr>
          <w:sz w:val="20"/>
        </w:rPr>
      </w:pPr>
      <w:hyperlink w:anchor="_TocMP900078" w:history="1">
        <w:r>
          <w:rPr>
            <w:rStyle w:val="Hyperlink"/>
            <w:sz w:val="20"/>
          </w:rPr>
          <w:t xml:space="preserve">Registry rows to add</w:t>
        </w:r>
      </w:hyperlink>
      <w:r>
        <w:tab/>
      </w:r>
      <w:r>
        <w:fldChar w:fldCharType="begin"/>
      </w:r>
      <w:r>
        <w:instrText xml:space="preserve"> PAGEREF _TocMP900078 \h </w:instrText>
      </w:r>
      <w:r>
        <w:fldChar w:fldCharType="separate"/>
      </w:r>
      <w:r>
        <w:t xml:space="preserve"/>
      </w:r>
      <w:r>
        <w:fldChar w:fldCharType="end"/>
      </w:r>
    </w:p>
    <w:p>
      <w:pPr>
        <w:ind w:left="0"/>
        <w:tabs>
          <w:tab w:val="right" w:leader="dot" w:pos="9350"/>
        </w:tabs>
        <w:rPr>
          <w:b/>
          <w:sz w:val="22"/>
        </w:rPr>
      </w:pPr>
      <w:hyperlink w:anchor="_TocMP900079" w:history="1">
        <w:r>
          <w:rPr>
            <w:rStyle w:val="Hyperlink"/>
            <w:b/>
            <w:sz w:val="22"/>
          </w:rPr>
          <w:t xml:space="preserve">Closing — Using and Extending This Library</w:t>
        </w:r>
      </w:hyperlink>
      <w:r>
        <w:tab/>
      </w:r>
      <w:r>
        <w:fldChar w:fldCharType="begin"/>
      </w:r>
      <w:r>
        <w:instrText xml:space="preserve"> PAGEREF _TocMP900079 \h </w:instrText>
      </w:r>
      <w:r>
        <w:fldChar w:fldCharType="separate"/>
      </w:r>
      <w:r>
        <w:t xml:space="preserve"/>
      </w:r>
      <w:r>
        <w:fldChar w:fldCharType="end"/>
      </w:r>
      <w:r>
        <w:fldChar w:fldCharType="end"/>
      </w:r>
    </w:p>
    <w:p>
      <w:r>
        <w:br w:type="page"/>
      </w:r>
    </w:p>
    <w:bookmarkEnd w:id="20"/>
    <w:bookmarkStart w:id="41" w:name="introduction-to-the-kpi-standard-library"/>
    <w:p>
      <w:pPr>
        <w:pStyle w:val="Heading1"/>
      </w:pPr>
      <w:bookmarkStart w:id="900001" w:name="_TocMP900001"/>
      <w:r>
        <w:t xml:space="preserve">Introduction to the KPI Standard Library</w:t>
      </w:r>
      <w:bookmarkEnd w:id="900001"/>
    </w:p>
    <w:p>
      <w:pPr>
        <w:pStyle w:val="LearningObjectives"/>
      </w:pPr>
      <w:r>
        <w:rPr>
          <w:bCs/>
          <w:b/>
        </w:rPr>
        <w:t xml:space="preserve">Learning Objectives.</w:t>
      </w:r>
      <w:r>
        <w:t xml:space="preserve"> After this chapter you will be able to: distinguish a metric, an indicator, a KPI, and a business objective; explain the KPI hierarchy, dependencies, inheritance, and metadata; describe a KPI’s lifecycle, versioning, governance, and deprecation; and explain how the registry and plugin model make KPIs discoverable and extensible.</w:t>
      </w:r>
    </w:p>
    <w:bookmarkStart w:id="21" w:name="why-kpis-matter"/>
    <w:p>
      <w:pPr>
        <w:pStyle w:val="Heading2"/>
      </w:pPr>
      <w:bookmarkStart w:id="900002" w:name="_TocMP900002"/>
      <w:r>
        <w:t xml:space="preserve">Why KPIs matter</w:t>
      </w:r>
      <w:bookmarkEnd w:id="900002"/>
    </w:p>
    <w:p>
      <w:pPr>
        <w:pStyle w:val="FirstParagraph"/>
      </w:pPr>
      <w:r>
        <w:t xml:space="preserve">A mine generates millions of events per week (Part II). Raw events are not decisions — they are the sand from which decisions are made. A Key Performance Indicator is the lens that turns that sand into a decision: it takes the events you learned about in Part II, applies a defined calculation, and produces a number a manager can act on. Without KPIs, a mine has data but no judgement. With </w:t>
      </w:r>
      <w:r>
        <w:rPr>
          <w:iCs/>
          <w:i/>
        </w:rPr>
        <w:t xml:space="preserve">inconsistent</w:t>
      </w:r>
      <w:r>
        <w:t xml:space="preserve"> KPIs, it has judgement that cannot be trusted or compared. The purpose of this Standard Library is to make every KPI in MineProductivity </w:t>
      </w:r>
      <w:r>
        <w:rPr>
          <w:bCs/>
          <w:b/>
        </w:rPr>
        <w:t xml:space="preserve">defined once, calculated identically everywhere, and comparable across shifts, sites, fleets, and commodities.</w:t>
      </w:r>
    </w:p>
    <w:p>
      <w:pPr>
        <w:pStyle w:val="BodyText"/>
      </w:pPr>
      <w:r>
        <w:t>This is why the document is normative, not descriptive. When two engineers, two sites, or two AI agents each compute “availability”, they must get the same number from the same events. That guarantee is worth more than any single clever metric, and it is the reason this specification exists.</w:t>
      </w:r>
    </w:p>
    <w:bookmarkEnd w:id="21"/>
    <w:bookmarkStart w:id="25" w:name="X77b1f87ba130e90ea43c34a6f81a1192eaf6418"/>
    <w:p>
      <w:pPr>
        <w:pStyle w:val="Heading2"/>
      </w:pPr>
      <w:bookmarkStart w:id="900003" w:name="_TocMP900003"/>
      <w:r>
        <w:t xml:space="preserve">Metric, Indicator, KPI, and Business Objective</w:t>
      </w:r>
      <w:bookmarkEnd w:id="900003"/>
    </w:p>
    <w:p>
      <w:pPr>
        <w:pStyle w:val="FirstParagraph"/>
      </w:pPr>
      <w:r>
        <w:t xml:space="preserve">The four words are often used interchangeably in conversation and must be kept sharply distinct in a specification.</w:t>
      </w:r>
    </w:p>
    <w:p>
      <w:pPr>
        <w:pStyle w:val="CaptionedFigure"/>
      </w:pPr>
      <w:r>
        <w:drawing>
          <wp:inline>
            <wp:extent cx="5334000" cy="2530374"/>
            <wp:effectExtent b="0" l="0" r="0" t="0"/>
            <wp:docPr descr="From raw number to strategic KPI: a metric is a raw measured number; an indicator places it in context; a KPI ties it to a target and a decision; a business objective is the goal it serves. Every KPI also sits on two axes — leading/lagging and operational/strategic." title="" id="23" name="Picture"/>
            <a:graphic>
              <a:graphicData uri="http://schemas.openxmlformats.org/drawingml/2006/picture">
                <pic:pic>
                  <pic:nvPicPr>
                    <pic:cNvPr descr="/home/claude/p3figs/p3_taxonomy.png" id="24" name="Picture"/>
                    <pic:cNvPicPr>
                      <a:picLocks noChangeArrowheads="1" noChangeAspect="1"/>
                    </pic:cNvPicPr>
                  </pic:nvPicPr>
                  <pic:blipFill>
                    <a:blip r:embed="rId22"/>
                    <a:stretch>
                      <a:fillRect/>
                    </a:stretch>
                  </pic:blipFill>
                  <pic:spPr bwMode="auto">
                    <a:xfrm>
                      <a:off x="0" y="0"/>
                      <a:ext cx="5334000" cy="2530374"/>
                    </a:xfrm>
                    <a:prstGeom prst="rect">
                      <a:avLst/>
                    </a:prstGeom>
                    <a:noFill/>
                    <a:ln w="9525">
                      <a:noFill/>
                      <a:headEnd/>
                      <a:tailEnd/>
                    </a:ln>
                  </pic:spPr>
                </pic:pic>
              </a:graphicData>
            </a:graphic>
          </wp:inline>
        </w:drawing>
      </w:r>
    </w:p>
    <w:p>
      <w:pPr>
        <w:pStyle w:val="ImageCaption"/>
      </w:pPr>
      <w:r>
        <w:t xml:space="preserve">From raw number to strategic KPI: a metric is a raw measured number; an indicator places it in context; a KPI ties it to a target and a decision; a business objective is the goal it serves. Every KPI also sits on two axes — leading/lagging and operational/strategic.</w:t>
      </w:r>
    </w:p>
    <w:p>
      <w:pPr>
        <w:pStyle w:val="BodyText"/>
      </w:pPr>
      <w:r>
        <w:t xml:space="preserve">A </w:t>
      </w:r>
      <w:r>
        <w:rPr>
          <w:bCs/>
          <w:b/>
        </w:rPr>
        <w:t xml:space="preserve">metric</w:t>
      </w:r>
      <w:r>
        <w:t xml:space="preserve"> is a raw measured quantity — tonnes, minutes, litres — with no judgement attached. An </w:t>
      </w:r>
      <w:r>
        <w:rPr>
          <w:bCs/>
          <w:b/>
        </w:rPr>
        <w:t xml:space="preserve">indicator</w:t>
      </w:r>
      <w:r>
        <w:t xml:space="preserve"> is a metric placed in context — tonnes </w:t>
      </w:r>
      <w:r>
        <w:rPr>
          <w:iCs/>
          <w:i/>
        </w:rPr>
        <w:t xml:space="preserve">versus plan</w:t>
      </w:r>
      <w:r>
        <w:t xml:space="preserve">, cycle time </w:t>
      </w:r>
      <w:r>
        <w:rPr>
          <w:iCs/>
          <w:i/>
        </w:rPr>
        <w:t xml:space="preserve">versus benchmark</w:t>
      </w:r>
      <w:r>
        <w:t xml:space="preserve">. A </w:t>
      </w:r>
      <w:r>
        <w:rPr>
          <w:bCs/>
          <w:b/>
        </w:rPr>
        <w:t xml:space="preserve">KPI</w:t>
      </w:r>
      <w:r>
        <w:t xml:space="preserve"> is an indicator tied to a target and a decision — it is </w:t>
      </w:r>
      <w:r>
        <w:rPr>
          <w:iCs/>
          <w:i/>
        </w:rPr>
        <w:t xml:space="preserve">key</w:t>
      </w:r>
      <w:r>
        <w:t xml:space="preserve"> precisely because someone acts on it; not every indicator is a KPI. A </w:t>
      </w:r>
      <w:r>
        <w:rPr>
          <w:bCs/>
          <w:b/>
        </w:rPr>
        <w:t xml:space="preserve">business objective</w:t>
      </w:r>
      <w:r>
        <w:t xml:space="preserve"> is the goal the KPI serves — lower cost per tonne, higher recovery, zero harm.</w:t>
      </w:r>
    </w:p>
    <w:p>
      <w:pPr>
        <w:pStyle w:val="BodyText"/>
      </w:pPr>
      <w:r>
        <w:t xml:space="preserve">Two further distinctions cut across all KPIs. </w:t>
      </w:r>
      <w:r>
        <w:rPr>
          <w:bCs/>
          <w:b/>
        </w:rPr>
        <w:t xml:space="preserve">Leading vs lagging</w:t>
      </w:r>
      <w:r>
        <w:t xml:space="preserve"> (Part II, Chapter 18): leading indicators move before the outcome (match factor, queue time); lagging indicators report it (tonnes, cost per tonne). </w:t>
      </w:r>
      <w:r>
        <w:rPr>
          <w:bCs/>
          <w:b/>
        </w:rPr>
        <w:t xml:space="preserve">Operational vs strategic</w:t>
      </w:r>
      <w:r>
        <w:t xml:space="preserve">: operational KPIs drive the shift (cycle time, delay hours); strategic KPIs drive the quarter (plan attainment, unit-cost trend). Every entry in this library declares where it sits on both axes.</w:t>
      </w:r>
    </w:p>
    <w:p>
      <w:pPr>
        <w:pStyle w:val="MiningInsight"/>
      </w:pPr>
      <w:r>
        <w:rPr>
          <w:bCs/>
          <w:b/>
        </w:rPr>
        <w:t xml:space="preserve">Mining Insight.</w:t>
      </w:r>
      <w:r>
        <w:t xml:space="preserve"> The most common failure in mining analytics is not a wrong formula — it is a </w:t>
      </w:r>
      <w:r>
        <w:rPr>
          <w:iCs/>
          <w:i/>
        </w:rPr>
        <w:t xml:space="preserve">right formula answering the wrong question</w:t>
      </w:r>
      <w:r>
        <w:t>. “Availability is 87%” is meaningless until you know it is Physical Availability of scheduled time, not inherent availability of calendar time. This library’s discipline of stating the operational question for every KPI exists to prevent exactly that confusion.</w:t>
      </w:r>
    </w:p>
    <w:bookmarkEnd w:id="25"/>
    <w:bookmarkStart w:id="29" w:name="Xbe366cec2324cf1899012529ff1ec8aee1763e2"/>
    <w:p>
      <w:pPr>
        <w:pStyle w:val="Heading2"/>
      </w:pPr>
      <w:bookmarkStart w:id="900004" w:name="_TocMP900004"/>
      <w:r>
        <w:t xml:space="preserve">KPI hierarchy, dependencies, and inheritance</w:t>
      </w:r>
      <w:bookmarkEnd w:id="900004"/>
    </w:p>
    <w:p>
      <w:pPr>
        <w:pStyle w:val="FirstParagraph"/>
      </w:pPr>
      <w:r>
        <w:t xml:space="preserve">KPIs are not a flat list; they form a structured graph.</w:t>
      </w:r>
    </w:p>
    <w:p>
      <w:pPr>
        <w:pStyle w:val="CaptionedFigure"/>
      </w:pPr>
      <w:r>
        <w:drawing>
          <wp:inline>
            <wp:extent cx="5334000" cy="2662922"/>
            <wp:effectExtent b="0" l="0" r="0" t="0"/>
            <wp:docPr descr="KPIs form a dependency graph: base metrics come from events; PROD.TPH depends on tonnes and operating hours; UTIL.EU depends on UTIL.PA and UTIL.UA; UTIL.OEE composes availability, performance, and quality. A KPI declares its dependencies and the engine computes them in order." title="" id="27" name="Picture"/>
            <a:graphic>
              <a:graphicData uri="http://schemas.openxmlformats.org/drawingml/2006/picture">
                <pic:pic>
                  <pic:nvPicPr>
                    <pic:cNvPr descr="/home/claude/p3figs/p3_dependency.png" id="28" name="Picture"/>
                    <pic:cNvPicPr>
                      <a:picLocks noChangeArrowheads="1" noChangeAspect="1"/>
                    </pic:cNvPicPr>
                  </pic:nvPicPr>
                  <pic:blipFill>
                    <a:blip r:embed="rId26"/>
                    <a:stretch>
                      <a:fillRect/>
                    </a:stretch>
                  </pic:blipFill>
                  <pic:spPr bwMode="auto">
                    <a:xfrm>
                      <a:off x="0" y="0"/>
                      <a:ext cx="5334000" cy="2662922"/>
                    </a:xfrm>
                    <a:prstGeom prst="rect">
                      <a:avLst/>
                    </a:prstGeom>
                    <a:noFill/>
                    <a:ln w="9525">
                      <a:noFill/>
                      <a:headEnd/>
                      <a:tailEnd/>
                    </a:ln>
                  </pic:spPr>
                </pic:pic>
              </a:graphicData>
            </a:graphic>
          </wp:inline>
        </w:drawing>
      </w:r>
    </w:p>
    <w:p>
      <w:pPr>
        <w:pStyle w:val="ImageCaption"/>
      </w:pPr>
      <w:r>
        <w:t xml:space="preserve">KPIs form a dependency graph: base metrics come from events; PROD.TPH depends on tonnes and operating hours; UTIL.EU depends on UTIL.PA and UTIL.UA; UTIL.OEE composes availability, performance, and quality. A KPI declares its dependencies and the engine computes them in order.</w:t>
      </w:r>
    </w:p>
    <w:p>
      <w:pPr>
        <w:pStyle w:val="BodyText"/>
      </w:pPr>
      <w:r>
        <w:rPr>
          <w:bCs/>
          <w:b/>
        </w:rPr>
        <w:t xml:space="preserve">Hierarchy</w:t>
      </w:r>
      <w:r>
        <w:t xml:space="preserve"> — KPIs roll up: an equipment-level cycle time aggregates to a fleet-level cycle time to a pit-level throughput. The library declares each KPI’s natural aggregation so roll-ups are consistent. </w:t>
      </w:r>
      <w:r>
        <w:rPr>
          <w:bCs/>
          <w:b/>
        </w:rPr>
        <w:t xml:space="preserve">Dependencies</w:t>
      </w:r>
      <w:r>
        <w:t xml:space="preserve"> — some KPIs are computed from others; </w:t>
      </w:r>
      <w:r>
        <w:rPr>
          <w:rStyle w:val="VerbatimChar"/>
        </w:rPr>
        <w:t xml:space="preserve">UTIL.EU</w:t>
      </w:r>
      <w:r>
        <w:t xml:space="preserve"> depends on </w:t>
      </w:r>
      <w:r>
        <w:rPr>
          <w:rStyle w:val="VerbatimChar"/>
        </w:rPr>
        <w:t xml:space="preserve">UTIL.PA</w:t>
      </w:r>
      <w:r>
        <w:t xml:space="preserve"> and </w:t>
      </w:r>
      <w:r>
        <w:rPr>
          <w:rStyle w:val="VerbatimChar"/>
        </w:rPr>
        <w:t xml:space="preserve">UTIL.UA</w:t>
      </w:r>
      <w:r>
        <w:t xml:space="preserve">, and the engine resolves them as a directed acyclic graph, computing dependencies before dependents. </w:t>
      </w:r>
      <w:r>
        <w:rPr>
          <w:bCs/>
          <w:b/>
        </w:rPr>
        <w:t xml:space="preserve">Inheritance</w:t>
      </w:r>
      <w:r>
        <w:t xml:space="preserve"> — a family of KPIs can share a base definition and specialise it: a generic </w:t>
      </w:r>
      <w:r>
        <w:rPr>
          <w:rStyle w:val="VerbatimChar"/>
        </w:rPr>
        <w:t xml:space="preserve">PROD.TPH</w:t>
      </w:r>
      <w:r>
        <w:t xml:space="preserve"> can be inherited by </w:t>
      </w:r>
      <w:r>
        <w:rPr>
          <w:rStyle w:val="VerbatimChar"/>
        </w:rPr>
        <w:t xml:space="preserve">PROD.TPH.Ore</w:t>
      </w:r>
      <w:r>
        <w:t xml:space="preserve"> and </w:t>
      </w:r>
      <w:r>
        <w:rPr>
          <w:rStyle w:val="VerbatimChar"/>
        </w:rPr>
        <w:t xml:space="preserve">PROD.TPH.Waste</w:t>
      </w:r>
      <w:r>
        <w:t xml:space="preserve">, which reuse the parent’s calculation with a material filter.</w:t>
      </w:r>
    </w:p>
    <w:bookmarkEnd w:id="29"/>
    <w:bookmarkStart w:id="30" w:name="metadata-namespaces-and-ontology-mapping"/>
    <w:p>
      <w:pPr>
        <w:pStyle w:val="Heading2"/>
      </w:pPr>
      <w:bookmarkStart w:id="900005" w:name="_TocMP900005"/>
      <w:r>
        <w:t xml:space="preserve">Metadata, namespaces, and ontology mapping</w:t>
      </w:r>
      <w:bookmarkEnd w:id="900005"/>
    </w:p>
    <w:p>
      <w:pPr>
        <w:pStyle w:val="FirstParagraph"/>
      </w:pPr>
      <w:r>
        <w:t xml:space="preserve">Every KPI carries </w:t>
      </w:r>
      <w:r>
        <w:rPr>
          <w:bCs/>
          <w:b/>
        </w:rPr>
        <w:t xml:space="preserve">metadata</w:t>
      </w:r>
      <w:r>
        <w:t xml:space="preserve">: its identifier, official name, units, dimensions, required events, required ontology, dependencies, mathematical properties, method and commodity applicability, status, and version. Metadata is machine-readable and lives in the registry, which is what lets the engine, the discovery API, and AI agents reason about KPIs without reading prose. </w:t>
      </w:r>
      <w:r>
        <w:rPr>
          <w:bCs/>
          <w:b/>
        </w:rPr>
        <w:t xml:space="preserve">Namespaces</w:t>
      </w:r>
      <w:r>
        <w:t xml:space="preserve"> group KPIs by category and are the first element of every identifier (next chapter). </w:t>
      </w:r>
      <w:r>
        <w:rPr>
          <w:bCs/>
          <w:b/>
        </w:rPr>
        <w:t xml:space="preserve">Ontology mapping</w:t>
      </w:r>
      <w:r>
        <w:t xml:space="preserve"> ties each KPI to the entities and events it reads (Part II’s bridge), so the system knows automatically which KPIs apply to a given site, method, and commodity.</w:t>
      </w:r>
    </w:p>
    <w:p>
      <w:pPr>
        <w:pStyle w:val="ArchitectureInsight"/>
      </w:pPr>
      <w:r>
        <w:rPr>
          <w:bCs/>
          <w:b/>
        </w:rPr>
        <w:t xml:space="preserve">Architecture Insight.</w:t>
      </w:r>
      <w:r>
        <w:t xml:space="preserve"> Metadata-first is the design decision that makes everything else possible. Separating </w:t>
      </w:r>
      <w:r>
        <w:rPr>
          <w:iCs/>
          <w:i/>
        </w:rPr>
        <w:t xml:space="preserve">what a KPI is</w:t>
      </w:r>
      <w:r>
        <w:t xml:space="preserve"> (metadata) from </w:t>
      </w:r>
      <w:r>
        <w:rPr>
          <w:iCs/>
          <w:i/>
        </w:rPr>
        <w:t xml:space="preserve">how it is computed</w:t>
      </w:r>
      <w:r>
        <w:t xml:space="preserve"> (the implementation class) means the catalogue can be searched, validated, versioned, and governed without executing a single calculation. The registry is the catalogue of that metadata; the engine is the executor.</w:t>
      </w:r>
    </w:p>
    <w:bookmarkEnd w:id="30"/>
    <w:bookmarkStart w:id="34" w:name="Xd6725f428b80f1e4009b779fd971068198fe942"/>
    <w:p>
      <w:pPr>
        <w:pStyle w:val="Heading2"/>
      </w:pPr>
      <w:bookmarkStart w:id="900006" w:name="_TocMP900006"/>
      <w:r>
        <w:t xml:space="preserve">Lifecycle, versioning, governance, and deprecation</w:t>
      </w:r>
      <w:bookmarkEnd w:id="900006"/>
    </w:p>
    <w:p>
      <w:pPr>
        <w:pStyle w:val="FirstParagraph"/>
      </w:pPr>
      <w:r>
        <w:t xml:space="preserve">A KPI is a long-lived asset with a managed life.</w:t>
      </w:r>
    </w:p>
    <w:p>
      <w:pPr>
        <w:pStyle w:val="CaptionedFigure"/>
      </w:pPr>
      <w:r>
        <w:drawing>
          <wp:inline>
            <wp:extent cx="5334000" cy="1827461"/>
            <wp:effectExtent b="0" l="0" r="0" t="0"/>
            <wp:docPr descr="The KPI lifecycle and semantic versioning: Proposed → Active → Deprecated → Retired; versions follow MAJOR.MINOR.PATCH, where a MAJOR change is breaking and never mutates an identifier in place." title="" id="32" name="Picture"/>
            <a:graphic>
              <a:graphicData uri="http://schemas.openxmlformats.org/drawingml/2006/picture">
                <pic:pic>
                  <pic:nvPicPr>
                    <pic:cNvPr descr="/home/claude/p3figs/p3_lifecycle.png" id="33" name="Picture"/>
                    <pic:cNvPicPr>
                      <a:picLocks noChangeArrowheads="1" noChangeAspect="1"/>
                    </pic:cNvPicPr>
                  </pic:nvPicPr>
                  <pic:blipFill>
                    <a:blip r:embed="rId31"/>
                    <a:stretch>
                      <a:fillRect/>
                    </a:stretch>
                  </pic:blipFill>
                  <pic:spPr bwMode="auto">
                    <a:xfrm>
                      <a:off x="0" y="0"/>
                      <a:ext cx="5334000" cy="1827461"/>
                    </a:xfrm>
                    <a:prstGeom prst="rect">
                      <a:avLst/>
                    </a:prstGeom>
                    <a:noFill/>
                    <a:ln w="9525">
                      <a:noFill/>
                      <a:headEnd/>
                      <a:tailEnd/>
                    </a:ln>
                  </pic:spPr>
                </pic:pic>
              </a:graphicData>
            </a:graphic>
          </wp:inline>
        </w:drawing>
      </w:r>
    </w:p>
    <w:p>
      <w:pPr>
        <w:pStyle w:val="ImageCaption"/>
      </w:pPr>
      <w:r>
        <w:t xml:space="preserve">The KPI lifecycle and semantic versioning: Proposed → Active → Deprecated → Retired; versions follow MAJOR.MINOR.PATCH, where a MAJOR change is breaking and never mutates an identifier in place.</w:t>
      </w:r>
    </w:p>
    <w:p>
      <w:pPr>
        <w:pStyle w:val="BodyText"/>
      </w:pPr>
      <w:r>
        <w:t xml:space="preserve">A KPI is </w:t>
      </w:r>
      <w:r>
        <w:rPr>
          <w:iCs/>
          <w:i/>
        </w:rPr>
        <w:t xml:space="preserve">Proposed</w:t>
      </w:r>
      <w:r>
        <w:t xml:space="preserve"> (draft under review), </w:t>
      </w:r>
      <w:r>
        <w:rPr>
          <w:iCs/>
          <w:i/>
        </w:rPr>
        <w:t xml:space="preserve">Active</w:t>
      </w:r>
      <w:r>
        <w:t xml:space="preserve"> (canonical and supported), </w:t>
      </w:r>
      <w:r>
        <w:rPr>
          <w:iCs/>
          <w:i/>
        </w:rPr>
        <w:t xml:space="preserve">Deprecated</w:t>
      </w:r>
      <w:r>
        <w:t xml:space="preserve"> (superseded but still resolvable via alias), or </w:t>
      </w:r>
      <w:r>
        <w:rPr>
          <w:iCs/>
          <w:i/>
        </w:rPr>
        <w:t xml:space="preserve">Retired</w:t>
      </w:r>
      <w:r>
        <w:t xml:space="preserve"> (removed). KPIs use semantic versioning, </w:t>
      </w:r>
      <w:r>
        <w:rPr>
          <w:rStyle w:val="VerbatimChar"/>
        </w:rPr>
        <w:t xml:space="preserve">MAJOR.MINOR.PATCH</w:t>
      </w:r>
      <w:r>
        <w:t xml:space="preserve">: a </w:t>
      </w:r>
      <w:r>
        <w:rPr>
          <w:bCs/>
          <w:b/>
        </w:rPr>
        <w:t xml:space="preserve">MAJOR</w:t>
      </w:r>
      <w:r>
        <w:t xml:space="preserve"> bump is a breaking change to formula, units, or semantics; a </w:t>
      </w:r>
      <w:r>
        <w:rPr>
          <w:bCs/>
          <w:b/>
        </w:rPr>
        <w:t xml:space="preserve">MINOR</w:t>
      </w:r>
      <w:r>
        <w:t xml:space="preserve"> bump adds a dimension or non-breaking behaviour; a </w:t>
      </w:r>
      <w:r>
        <w:rPr>
          <w:bCs/>
          <w:b/>
        </w:rPr>
        <w:t xml:space="preserve">PATCH</w:t>
      </w:r>
      <w:r>
        <w:t xml:space="preserve"> fixes documentation or a defect without changing results. The cardinal rule: </w:t>
      </w:r>
      <w:r>
        <w:rPr>
          <w:bCs/>
          <w:b/>
        </w:rPr>
        <w:t xml:space="preserve">a breaking change never mutates an identifier’s meaning in place</w:t>
      </w:r>
      <w:r>
        <w:t xml:space="preserve"> — it publishes a new MAJOR version and deprecates the old, so historical numbers stay reproducible. Governance is this specification itself: a KPI is correct if and only if it matches its entry here. Deprecation keeps the alias resolvable with a documented successor and removal horizon; nothing is deleted silently.</w:t>
      </w:r>
    </w:p>
    <w:bookmarkEnd w:id="34"/>
    <w:bookmarkStart w:id="38" w:name="registry-plugins-and-discoverability"/>
    <w:p>
      <w:pPr>
        <w:pStyle w:val="Heading2"/>
      </w:pPr>
      <w:bookmarkStart w:id="900007" w:name="_TocMP900007"/>
      <w:r>
        <w:t xml:space="preserve">Registry, plugins, and discoverability</w:t>
      </w:r>
      <w:bookmarkEnd w:id="900007"/>
    </w:p>
    <w:p>
      <w:pPr>
        <w:pStyle w:val="FirstParagraph"/>
      </w:pPr>
      <w:r>
        <w:t xml:space="preserve">The </w:t>
      </w:r>
      <w:r>
        <w:rPr>
          <w:bCs/>
          <w:b/>
        </w:rPr>
        <w:t xml:space="preserve">registry</w:t>
      </w:r>
      <w:r>
        <w:t xml:space="preserve"> is the authoritative catalogue of every KPI’s metadata. The </w:t>
      </w:r>
      <w:r>
        <w:rPr>
          <w:bCs/>
          <w:b/>
        </w:rPr>
        <w:t xml:space="preserve">plugin model</w:t>
      </w:r>
      <w:r>
        <w:t xml:space="preserve"> is how KPIs are added: a KPI is a class plus its metadata, registered under its identifier. Registration makes the KPI discoverable, resolvable, versioned, and governable — with no change to the core.</w:t>
      </w:r>
    </w:p>
    <w:p>
      <w:pPr>
        <w:pStyle w:val="CaptionedFigure"/>
      </w:pPr>
      <w:r>
        <w:drawing>
          <wp:inline>
            <wp:extent cx="5334000" cy="2100799"/>
            <wp:effectExtent b="0" l="0" r="0" t="0"/>
            <wp:docPr descr="The KPI registry and plugin architecture: plugins register into the registry; the engine resolves and computes; discovery and agents consume the catalogue — all with no core changes." title="" id="36" name="Picture"/>
            <a:graphic>
              <a:graphicData uri="http://schemas.openxmlformats.org/drawingml/2006/picture">
                <pic:pic>
                  <pic:nvPicPr>
                    <pic:cNvPr descr="/home/claude/p3figs/p3_registry.png" id="37" name="Picture"/>
                    <pic:cNvPicPr>
                      <a:picLocks noChangeArrowheads="1" noChangeAspect="1"/>
                    </pic:cNvPicPr>
                  </pic:nvPicPr>
                  <pic:blipFill>
                    <a:blip r:embed="rId35"/>
                    <a:stretch>
                      <a:fillRect/>
                    </a:stretch>
                  </pic:blipFill>
                  <pic:spPr bwMode="auto">
                    <a:xfrm>
                      <a:off x="0" y="0"/>
                      <a:ext cx="5334000" cy="2100799"/>
                    </a:xfrm>
                    <a:prstGeom prst="rect">
                      <a:avLst/>
                    </a:prstGeom>
                    <a:noFill/>
                    <a:ln w="9525">
                      <a:noFill/>
                      <a:headEnd/>
                      <a:tailEnd/>
                    </a:ln>
                  </pic:spPr>
                </pic:pic>
              </a:graphicData>
            </a:graphic>
          </wp:inline>
        </w:drawing>
      </w:r>
    </w:p>
    <w:p>
      <w:pPr>
        <w:pStyle w:val="ImageCaption"/>
      </w:pPr>
      <w:r>
        <w:t xml:space="preserve">The KPI registry and plugin architecture: plugins register into the registry; the engine resolves and computes; discovery and agents consume the catalogue — all with no core changes.</w:t>
      </w:r>
    </w:p>
    <w:p>
      <w:pPr>
        <w:pStyle w:val="PythonInsight"/>
      </w:pPr>
      <w:r>
        <w:rPr>
          <w:bCs/>
          <w:b/>
        </w:rPr>
        <w:t xml:space="preserve">Python Insight.</w:t>
      </w:r>
      <w:r>
        <w:t xml:space="preserve"> This is the plugin mechanism from Part I, Chapter 9, applied to KPIs. A KPI plugin is the same pattern with a richer metadata contract. “Extend the Standard Library” and “write a plugin” are the same activity.</w:t>
      </w:r>
    </w:p>
    <w:p>
      <w:pPr>
        <w:pStyle w:val="AIContributorNote"/>
      </w:pPr>
      <w:r>
        <w:rPr>
          <w:bCs/>
          <w:b/>
        </w:rPr>
        <w:t xml:space="preserve">AI Contributor Note.</w:t>
      </w:r>
      <w:r>
        <w:t xml:space="preserve"> Treat the registry as the source of truth about </w:t>
      </w:r>
      <w:r>
        <w:rPr>
          <w:iCs/>
          <w:i/>
        </w:rPr>
        <w:t xml:space="preserve">what exists</w:t>
      </w:r>
      <w:r>
        <w:t xml:space="preserve"> and this document as the source of truth about </w:t>
      </w:r>
      <w:r>
        <w:rPr>
          <w:iCs/>
          <w:i/>
        </w:rPr>
        <w:t xml:space="preserve">what each thing means</w:t>
      </w:r>
      <w:r>
        <w:t xml:space="preserve">. Before proposing a new KPI, query the registry for overlaps and check the naming standard; before implementing one, fill the mandatory template completely. A KPI not in the registry does not exist to the system.</w:t>
      </w:r>
    </w:p>
    <w:p>
      <w:pPr>
        <w:pStyle w:val="BestPractice"/>
      </w:pPr>
      <w:r>
        <w:rPr>
          <w:bCs/>
          <w:b/>
        </w:rPr>
        <w:t xml:space="preserve">Best Practice.</w:t>
      </w:r>
      <w:r>
        <w:t xml:space="preserve"> Never let a “quick” KPI computed outside the registry leak into a report. Unregistered numbers cannot be versioned, validated, or reproduced, and they are how two dashboards end up disagreeing. If it is worth reporting, it is worth registering.</w:t>
      </w:r>
    </w:p>
    <w:bookmarkEnd w:id="38"/>
    <w:bookmarkStart w:id="39" w:name="summary"/>
    <w:p>
      <w:pPr>
        <w:pStyle w:val="Heading2"/>
      </w:pPr>
      <w:bookmarkStart w:id="900008" w:name="_TocMP900008"/>
      <w:r>
        <w:t xml:space="preserve">Summary</w:t>
      </w:r>
      <w:bookmarkEnd w:id="900008"/>
    </w:p>
    <w:p>
      <w:pPr>
        <w:pStyle w:val="FirstParagraph"/>
      </w:pPr>
      <w:r>
        <w:t xml:space="preserve">A KPI is an indicator tied to a target and a decision, distinct from a raw metric and from the objective it serves. KPIs form a hierarchy with declared dependencies and inheritance; carry machine-readable metadata in a registry; have a managed lifecycle, semantic versioning, governance, and deprecation; and are added as registered plugins. The rest of this document turns that framework into a naming standard, canonical semantic rulings, a mandatory entry template, a fully-worked flagship library, and a complete registry.</w:t>
      </w:r>
    </w:p>
    <w:bookmarkEnd w:id="39"/>
    <w:bookmarkStart w:id="40" w:name="further-reading"/>
    <w:p>
      <w:pPr>
        <w:pStyle w:val="Heading2"/>
      </w:pPr>
      <w:bookmarkStart w:id="900009" w:name="_TocMP900009"/>
      <w:r>
        <w:t xml:space="preserve">Further Reading</w:t>
      </w:r>
      <w:bookmarkEnd w:id="900009"/>
    </w:p>
    <w:p>
      <w:pPr>
        <w:pStyle w:val="FirstParagraph"/>
      </w:pPr>
      <w:r>
        <w:t xml:space="preserve">Master Architecture Handbook (metadata and layering); Part I, Chapter 9 (plugins); Part II, Chapters 18 and 20. Next: </w:t>
      </w:r>
      <w:r>
        <w:rPr>
          <w:bCs/>
          <w:b/>
        </w:rPr>
        <w:t xml:space="preserve">The KPI Naming Standard</w:t>
      </w:r>
      <w:r>
        <w:t xml:space="preserve">.</w:t>
      </w:r>
    </w:p>
    <w:p>
      <w:r>
        <w:br w:type="page"/>
      </w:r>
    </w:p>
    <w:bookmarkEnd w:id="40"/>
    <w:bookmarkEnd w:id="41"/>
    <w:bookmarkStart w:id="51" w:name="the-kpi-naming-standard"/>
    <w:p>
      <w:pPr>
        <w:pStyle w:val="Heading1"/>
      </w:pPr>
      <w:bookmarkStart w:id="900010" w:name="_TocMP900010"/>
      <w:r>
        <w:t xml:space="preserve">The KPI Naming Standard</w:t>
      </w:r>
      <w:bookmarkEnd w:id="900010"/>
    </w:p>
    <w:p>
      <w:pPr>
        <w:pStyle w:val="LearningObjectives"/>
      </w:pPr>
      <w:r>
        <w:rPr>
          <w:bCs/>
          <w:b/>
        </w:rPr>
        <w:t xml:space="preserve">Learning Objectives.</w:t>
      </w:r>
      <w:r>
        <w:t xml:space="preserve"> After this chapter you will be able to: read and construct any MineProductivity KPI identifier; use namespaces, hierarchy, and aliases correctly; and apply the backward-compatibility and versioning rules that keep identifiers stable over time.</w:t>
      </w:r>
    </w:p>
    <w:bookmarkStart w:id="45" w:name="the-identifier-format"/>
    <w:p>
      <w:pPr>
        <w:pStyle w:val="Heading2"/>
      </w:pPr>
      <w:bookmarkStart w:id="900011" w:name="_TocMP900011"/>
      <w:r>
        <w:t xml:space="preserve">The identifier format</w:t>
      </w:r>
      <w:bookmarkEnd w:id="900011"/>
    </w:p>
    <w:p>
      <w:pPr>
        <w:pStyle w:val="FirstParagraph"/>
      </w:pPr>
      <w:r>
        <w:t xml:space="preserve">Every KPI has a single canonical identifier of the form </w:t>
      </w:r>
      <w:r>
        <w:rPr>
          <w:rStyle w:val="VerbatimChar"/>
        </w:rPr>
        <w:t xml:space="preserve">NAMESPACE.Name</w:t>
      </w:r>
      <w:r>
        <w:t xml:space="preserve"> — an uppercase namespace, a dot, and a PascalCase name.</w:t>
      </w:r>
    </w:p>
    <w:p>
      <w:pPr>
        <w:pStyle w:val="CaptionedFigure"/>
      </w:pPr>
      <w:r>
        <w:drawing>
          <wp:inline>
            <wp:extent cx="5334000" cy="2444282"/>
            <wp:effectExtent b="0" l="0" r="0" t="0"/>
            <wp:docPr descr="The MineProductivity KPI naming standard: NAMESPACE.Name, e.g. PROD.TPH. The namespace is a controlled category code; the name is PascalCase. The controlled namespaces span PROD, UTIL, MAINT, HAUL, DISP, QUAL, COST, ENERGY, CARBON, WATER, SAFE, and AUTO." title="" id="43" name="Picture"/>
            <a:graphic>
              <a:graphicData uri="http://schemas.openxmlformats.org/drawingml/2006/picture">
                <pic:pic>
                  <pic:nvPicPr>
                    <pic:cNvPr descr="/home/claude/p3figs/p3_naming.png" id="44" name="Picture"/>
                    <pic:cNvPicPr>
                      <a:picLocks noChangeArrowheads="1" noChangeAspect="1"/>
                    </pic:cNvPicPr>
                  </pic:nvPicPr>
                  <pic:blipFill>
                    <a:blip r:embed="rId42"/>
                    <a:stretch>
                      <a:fillRect/>
                    </a:stretch>
                  </pic:blipFill>
                  <pic:spPr bwMode="auto">
                    <a:xfrm>
                      <a:off x="0" y="0"/>
                      <a:ext cx="5334000" cy="2444282"/>
                    </a:xfrm>
                    <a:prstGeom prst="rect">
                      <a:avLst/>
                    </a:prstGeom>
                    <a:noFill/>
                    <a:ln w="9525">
                      <a:noFill/>
                      <a:headEnd/>
                      <a:tailEnd/>
                    </a:ln>
                  </pic:spPr>
                </pic:pic>
              </a:graphicData>
            </a:graphic>
          </wp:inline>
        </w:drawing>
      </w:r>
    </w:p>
    <w:p>
      <w:pPr>
        <w:pStyle w:val="ImageCaption"/>
      </w:pPr>
      <w:r>
        <w:t xml:space="preserve">The MineProductivity KPI naming standard: NAMESPACE.Name, e.g. PROD.TPH. The namespace is a controlled category code; the name is PascalCase. The controlled namespaces span PROD, UTIL, MAINT, HAUL, DISP, QUAL, COST, ENERGY, CARBON, WATER, SAFE, and AUTO.</w:t>
      </w:r>
    </w:p>
    <w:p>
      <w:pPr>
        <w:pStyle w:val="BodyText"/>
      </w:pPr>
      <w:r>
        <w:t xml:space="preserve">The </w:t>
      </w:r>
      <w:r>
        <w:rPr>
          <w:bCs/>
          <w:b/>
        </w:rPr>
        <w:t xml:space="preserve">namespace</w:t>
      </w:r>
      <w:r>
        <w:t xml:space="preserve"> is a short, controlled category code (</w:t>
      </w:r>
      <w:r>
        <w:rPr>
          <w:rStyle w:val="VerbatimChar"/>
        </w:rPr>
        <w:t xml:space="preserve">PROD</w:t>
      </w:r>
      <w:r>
        <w:t xml:space="preserve">, </w:t>
      </w:r>
      <w:r>
        <w:rPr>
          <w:rStyle w:val="VerbatimChar"/>
        </w:rPr>
        <w:t xml:space="preserve">UTIL</w:t>
      </w:r>
      <w:r>
        <w:t xml:space="preserve">, </w:t>
      </w:r>
      <w:r>
        <w:rPr>
          <w:rStyle w:val="VerbatimChar"/>
        </w:rPr>
        <w:t xml:space="preserve">MAINT</w:t>
      </w:r>
      <w:r>
        <w:t xml:space="preserve">, …). Namespaces are stable: new ones are added by governance, never coined ad hoc. The </w:t>
      </w:r>
      <w:r>
        <w:rPr>
          <w:bCs/>
          <w:b/>
        </w:rPr>
        <w:t xml:space="preserve">name</w:t>
      </w:r>
      <w:r>
        <w:t xml:space="preserve"> is PascalCase and reads as the metric it denotes (</w:t>
      </w:r>
      <w:r>
        <w:rPr>
          <w:rStyle w:val="VerbatimChar"/>
        </w:rPr>
        <w:t xml:space="preserve">TPH</w:t>
      </w:r>
      <w:r>
        <w:t xml:space="preserve">, </w:t>
      </w:r>
      <w:r>
        <w:rPr>
          <w:rStyle w:val="VerbatimChar"/>
        </w:rPr>
        <w:t xml:space="preserve">TruckCycleTime</w:t>
      </w:r>
      <w:r>
        <w:t xml:space="preserve">, </w:t>
      </w:r>
      <w:r>
        <w:rPr>
          <w:rStyle w:val="VerbatimChar"/>
        </w:rPr>
        <w:t xml:space="preserve">MatchFactor</w:t>
      </w:r>
      <w:r>
        <w:t xml:space="preserve">). Sub-scoping uses further dotted segments for inherited specialisations — </w:t>
      </w:r>
      <w:r>
        <w:rPr>
          <w:rStyle w:val="VerbatimChar"/>
        </w:rPr>
        <w:t xml:space="preserve">PROD.TPH.Ore</w:t>
      </w:r>
      <w:r>
        <w:t xml:space="preserve">, </w:t>
      </w:r>
      <w:r>
        <w:rPr>
          <w:rStyle w:val="VerbatimChar"/>
        </w:rPr>
        <w:t xml:space="preserve">PROD.TPH.Waste</w:t>
      </w:r>
      <w:r>
        <w:t xml:space="preserve"> — which must share their parent’s semantics.</w:t>
      </w:r>
    </w:p>
    <w:bookmarkEnd w:id="45"/>
    <w:bookmarkStart w:id="46" w:name="the-controlled-namespaces"/>
    <w:p>
      <w:pPr>
        <w:pStyle w:val="Heading2"/>
      </w:pPr>
      <w:bookmarkStart w:id="900012" w:name="_TocMP900012"/>
      <w:r>
        <w:t xml:space="preserve">The controlled namespaces</w:t>
      </w:r>
      <w:bookmarkEnd w:id="900012"/>
    </w:p>
    <w:tbl>
      <w:tblPr>
        <w:tblStyle w:val="Table"/>
        <w:tblW w:type="pct" w:w="5000"/>
        <w:tblLook w:firstRow="1" w:lastRow="0" w:firstColumn="0" w:lastColumn="0" w:noHBand="0" w:noVBand="0" w:val="0020"/>
        <w:jc w:val="start"/>
      </w:tblPr>
      <w:tblGrid>
        <w:gridCol w:w="2640"/>
        <w:gridCol w:w="2640"/>
        <w:gridCol w:w="2640"/>
      </w:tblGrid>
      <w:tr>
        <w:trPr>
          <w:tblHeader w:val="true"/>
        </w:trPr>
        <w:tc>
          <w:tcPr/>
          <w:p>
            <w:pPr>
              <w:pStyle w:val="Compact"/>
              <w:jc w:val="left"/>
            </w:pPr>
            <w:r>
              <w:t xml:space="preserve">Namespace</w:t>
            </w:r>
          </w:p>
        </w:tc>
        <w:tc>
          <w:tcPr/>
          <w:p>
            <w:pPr>
              <w:pStyle w:val="Compact"/>
              <w:jc w:val="left"/>
            </w:pPr>
            <w:r>
              <w:t xml:space="preserve">Domain</w:t>
            </w:r>
          </w:p>
        </w:tc>
        <w:tc>
          <w:tcPr/>
          <w:p>
            <w:pPr>
              <w:pStyle w:val="Compact"/>
              <w:jc w:val="left"/>
            </w:pPr>
            <w:r>
              <w:t xml:space="preserve">Examples</w:t>
            </w:r>
          </w:p>
        </w:tc>
      </w:tr>
      <w:tr>
        <w:tc>
          <w:tcPr/>
          <w:p>
            <w:pPr>
              <w:pStyle w:val="Compact"/>
              <w:jc w:val="left"/>
            </w:pPr>
            <w:r>
              <w:rPr>
                <w:rStyle w:val="VerbatimChar"/>
              </w:rPr>
              <w:t xml:space="preserve">PROD</w:t>
            </w:r>
          </w:p>
        </w:tc>
        <w:tc>
          <w:tcPr/>
          <w:p>
            <w:pPr>
              <w:pStyle w:val="Compact"/>
              <w:jc w:val="left"/>
            </w:pPr>
            <w:r>
              <w:t xml:space="preserve">Production &amp; throughput</w:t>
            </w:r>
          </w:p>
        </w:tc>
        <w:tc>
          <w:tcPr/>
          <w:p>
            <w:pPr>
              <w:pStyle w:val="Compact"/>
              <w:jc w:val="left"/>
            </w:pPr>
            <w:r>
              <w:rPr>
                <w:rStyle w:val="VerbatimChar"/>
              </w:rPr>
              <w:t xml:space="preserve">PROD.TPH</w:t>
            </w:r>
            <w:r>
              <w:t xml:space="preserve">, </w:t>
            </w:r>
            <w:r>
              <w:rPr>
                <w:rStyle w:val="VerbatimChar"/>
              </w:rPr>
              <w:t xml:space="preserve">PROD.TruckCycleTime</w:t>
            </w:r>
            <w:r>
              <w:t xml:space="preserve">, </w:t>
            </w:r>
            <w:r>
              <w:rPr>
                <w:rStyle w:val="VerbatimChar"/>
              </w:rPr>
              <w:t xml:space="preserve">PROD.Payload</w:t>
            </w:r>
          </w:p>
        </w:tc>
      </w:tr>
      <w:tr>
        <w:tc>
          <w:tcPr/>
          <w:p>
            <w:pPr>
              <w:pStyle w:val="Compact"/>
              <w:jc w:val="left"/>
            </w:pPr>
            <w:r>
              <w:rPr>
                <w:rStyle w:val="VerbatimChar"/>
              </w:rPr>
              <w:t xml:space="preserve">UTIL</w:t>
            </w:r>
          </w:p>
        </w:tc>
        <w:tc>
          <w:tcPr/>
          <w:p>
            <w:pPr>
              <w:pStyle w:val="Compact"/>
              <w:jc w:val="left"/>
            </w:pPr>
            <w:r>
              <w:t xml:space="preserve">Utilisation &amp; availability</w:t>
            </w:r>
          </w:p>
        </w:tc>
        <w:tc>
          <w:tcPr/>
          <w:p>
            <w:pPr>
              <w:pStyle w:val="Compact"/>
              <w:jc w:val="left"/>
            </w:pPr>
            <w:r>
              <w:rPr>
                <w:rStyle w:val="VerbatimChar"/>
              </w:rPr>
              <w:t xml:space="preserve">UTIL.PA</w:t>
            </w:r>
            <w:r>
              <w:t xml:space="preserve">, </w:t>
            </w:r>
            <w:r>
              <w:rPr>
                <w:rStyle w:val="VerbatimChar"/>
              </w:rPr>
              <w:t xml:space="preserve">UTIL.UA</w:t>
            </w:r>
            <w:r>
              <w:t xml:space="preserve">, </w:t>
            </w:r>
            <w:r>
              <w:rPr>
                <w:rStyle w:val="VerbatimChar"/>
              </w:rPr>
              <w:t xml:space="preserve">UTIL.EU</w:t>
            </w:r>
            <w:r>
              <w:t xml:space="preserve">, </w:t>
            </w:r>
            <w:r>
              <w:rPr>
                <w:rStyle w:val="VerbatimChar"/>
              </w:rPr>
              <w:t xml:space="preserve">UTIL.OEE</w:t>
            </w:r>
          </w:p>
        </w:tc>
      </w:tr>
      <w:tr>
        <w:tc>
          <w:tcPr/>
          <w:p>
            <w:pPr>
              <w:pStyle w:val="Compact"/>
              <w:jc w:val="left"/>
            </w:pPr>
            <w:r>
              <w:rPr>
                <w:rStyle w:val="VerbatimChar"/>
              </w:rPr>
              <w:t xml:space="preserve">MAINT</w:t>
            </w:r>
          </w:p>
        </w:tc>
        <w:tc>
          <w:tcPr/>
          <w:p>
            <w:pPr>
              <w:pStyle w:val="Compact"/>
              <w:jc w:val="left"/>
            </w:pPr>
            <w:r>
              <w:t xml:space="preserve">Maintenance &amp; reliability</w:t>
            </w:r>
          </w:p>
        </w:tc>
        <w:tc>
          <w:tcPr/>
          <w:p>
            <w:pPr>
              <w:pStyle w:val="Compact"/>
              <w:jc w:val="left"/>
            </w:pPr>
            <w:r>
              <w:rPr>
                <w:rStyle w:val="VerbatimChar"/>
              </w:rPr>
              <w:t xml:space="preserve">MAINT.MTBF</w:t>
            </w:r>
            <w:r>
              <w:t xml:space="preserve">, </w:t>
            </w:r>
            <w:r>
              <w:rPr>
                <w:rStyle w:val="VerbatimChar"/>
              </w:rPr>
              <w:t xml:space="preserve">MAINT.MTTR</w:t>
            </w:r>
            <w:r>
              <w:t xml:space="preserve">, </w:t>
            </w:r>
            <w:r>
              <w:rPr>
                <w:rStyle w:val="VerbatimChar"/>
              </w:rPr>
              <w:t xml:space="preserve">MAINT.Ai</w:t>
            </w:r>
          </w:p>
        </w:tc>
      </w:tr>
      <w:tr>
        <w:tc>
          <w:tcPr/>
          <w:p>
            <w:pPr>
              <w:pStyle w:val="Compact"/>
              <w:jc w:val="left"/>
            </w:pPr>
            <w:r>
              <w:rPr>
                <w:rStyle w:val="VerbatimChar"/>
              </w:rPr>
              <w:t xml:space="preserve">HAUL</w:t>
            </w:r>
          </w:p>
        </w:tc>
        <w:tc>
          <w:tcPr/>
          <w:p>
            <w:pPr>
              <w:pStyle w:val="Compact"/>
              <w:jc w:val="left"/>
            </w:pPr>
            <w:r>
              <w:t xml:space="preserve">Haulage &amp; fleet</w:t>
            </w:r>
          </w:p>
        </w:tc>
        <w:tc>
          <w:tcPr/>
          <w:p>
            <w:pPr>
              <w:pStyle w:val="Compact"/>
              <w:jc w:val="left"/>
            </w:pPr>
            <w:r>
              <w:rPr>
                <w:rStyle w:val="VerbatimChar"/>
              </w:rPr>
              <w:t xml:space="preserve">HAUL.MatchFactor</w:t>
            </w:r>
            <w:r>
              <w:t xml:space="preserve">, </w:t>
            </w:r>
            <w:r>
              <w:rPr>
                <w:rStyle w:val="VerbatimChar"/>
              </w:rPr>
              <w:t xml:space="preserve">HAUL.TonKm</w:t>
            </w:r>
          </w:p>
        </w:tc>
      </w:tr>
      <w:tr>
        <w:tc>
          <w:tcPr/>
          <w:p>
            <w:pPr>
              <w:pStyle w:val="Compact"/>
              <w:jc w:val="left"/>
            </w:pPr>
            <w:r>
              <w:rPr>
                <w:rStyle w:val="VerbatimChar"/>
              </w:rPr>
              <w:t xml:space="preserve">DISP</w:t>
            </w:r>
          </w:p>
        </w:tc>
        <w:tc>
          <w:tcPr/>
          <w:p>
            <w:pPr>
              <w:pStyle w:val="Compact"/>
              <w:jc w:val="left"/>
            </w:pPr>
            <w:r>
              <w:t xml:space="preserve">Dispatch</w:t>
            </w:r>
          </w:p>
        </w:tc>
        <w:tc>
          <w:tcPr/>
          <w:p>
            <w:pPr>
              <w:pStyle w:val="Compact"/>
              <w:jc w:val="left"/>
            </w:pPr>
            <w:r>
              <w:rPr>
                <w:rStyle w:val="VerbatimChar"/>
              </w:rPr>
              <w:t xml:space="preserve">DISP.QueueTime</w:t>
            </w:r>
            <w:r>
              <w:t xml:space="preserve">, </w:t>
            </w:r>
            <w:r>
              <w:rPr>
                <w:rStyle w:val="VerbatimChar"/>
              </w:rPr>
              <w:t xml:space="preserve">DISP.HangTime</w:t>
            </w:r>
          </w:p>
        </w:tc>
      </w:tr>
      <w:tr>
        <w:tc>
          <w:tcPr/>
          <w:p>
            <w:pPr>
              <w:pStyle w:val="Compact"/>
              <w:jc w:val="left"/>
            </w:pPr>
            <w:r>
              <w:rPr>
                <w:rStyle w:val="VerbatimChar"/>
              </w:rPr>
              <w:t xml:space="preserve">QUAL</w:t>
            </w:r>
          </w:p>
        </w:tc>
        <w:tc>
          <w:tcPr/>
          <w:p>
            <w:pPr>
              <w:pStyle w:val="Compact"/>
              <w:jc w:val="left"/>
            </w:pPr>
            <w:r>
              <w:t xml:space="preserve">Quality &amp; metallurgy</w:t>
            </w:r>
          </w:p>
        </w:tc>
        <w:tc>
          <w:tcPr/>
          <w:p>
            <w:pPr>
              <w:pStyle w:val="Compact"/>
              <w:jc w:val="left"/>
            </w:pPr>
            <w:r>
              <w:rPr>
                <w:rStyle w:val="VerbatimChar"/>
              </w:rPr>
              <w:t xml:space="preserve">QUAL.Recovery</w:t>
            </w:r>
            <w:r>
              <w:t xml:space="preserve">, </w:t>
            </w:r>
            <w:r>
              <w:rPr>
                <w:rStyle w:val="VerbatimChar"/>
              </w:rPr>
              <w:t xml:space="preserve">QUAL.Dilution</w:t>
            </w:r>
            <w:r>
              <w:t xml:space="preserve">, </w:t>
            </w:r>
            <w:r>
              <w:rPr>
                <w:rStyle w:val="VerbatimChar"/>
              </w:rPr>
              <w:t xml:space="preserve">QUAL.GradeVariance</w:t>
            </w:r>
          </w:p>
        </w:tc>
      </w:tr>
      <w:tr>
        <w:tc>
          <w:tcPr/>
          <w:p>
            <w:pPr>
              <w:pStyle w:val="Compact"/>
              <w:jc w:val="left"/>
            </w:pPr>
            <w:r>
              <w:rPr>
                <w:rStyle w:val="VerbatimChar"/>
              </w:rPr>
              <w:t xml:space="preserve">COST</w:t>
            </w:r>
          </w:p>
        </w:tc>
        <w:tc>
          <w:tcPr/>
          <w:p>
            <w:pPr>
              <w:pStyle w:val="Compact"/>
              <w:jc w:val="left"/>
            </w:pPr>
            <w:r>
              <w:t xml:space="preserve">Cost &amp; financial</w:t>
            </w:r>
          </w:p>
        </w:tc>
        <w:tc>
          <w:tcPr/>
          <w:p>
            <w:pPr>
              <w:pStyle w:val="Compact"/>
              <w:jc w:val="left"/>
            </w:pPr>
            <w:r>
              <w:rPr>
                <w:rStyle w:val="VerbatimChar"/>
              </w:rPr>
              <w:t xml:space="preserve">COST.CostPerTonne</w:t>
            </w:r>
            <w:r>
              <w:t xml:space="preserve">, </w:t>
            </w:r>
            <w:r>
              <w:rPr>
                <w:rStyle w:val="VerbatimChar"/>
              </w:rPr>
              <w:t xml:space="preserve">COST.CostPerTonKm</w:t>
            </w:r>
          </w:p>
        </w:tc>
      </w:tr>
      <w:tr>
        <w:tc>
          <w:tcPr/>
          <w:p>
            <w:pPr>
              <w:pStyle w:val="Compact"/>
              <w:jc w:val="left"/>
            </w:pPr>
            <w:r>
              <w:rPr>
                <w:rStyle w:val="VerbatimChar"/>
              </w:rPr>
              <w:t xml:space="preserve">ENERGY</w:t>
            </w:r>
          </w:p>
        </w:tc>
        <w:tc>
          <w:tcPr/>
          <w:p>
            <w:pPr>
              <w:pStyle w:val="Compact"/>
              <w:jc w:val="left"/>
            </w:pPr>
            <w:r>
              <w:t xml:space="preserve">Energy</w:t>
            </w:r>
          </w:p>
        </w:tc>
        <w:tc>
          <w:tcPr/>
          <w:p>
            <w:pPr>
              <w:pStyle w:val="Compact"/>
              <w:jc w:val="left"/>
            </w:pPr>
            <w:r>
              <w:rPr>
                <w:rStyle w:val="VerbatimChar"/>
              </w:rPr>
              <w:t xml:space="preserve">ENERGY.FuelPerTonne</w:t>
            </w:r>
            <w:r>
              <w:t xml:space="preserve">, </w:t>
            </w:r>
            <w:r>
              <w:rPr>
                <w:rStyle w:val="VerbatimChar"/>
              </w:rPr>
              <w:t xml:space="preserve">ENERGY.IdleFuelRatio</w:t>
            </w:r>
          </w:p>
        </w:tc>
      </w:tr>
      <w:tr>
        <w:tc>
          <w:tcPr/>
          <w:p>
            <w:pPr>
              <w:pStyle w:val="Compact"/>
              <w:jc w:val="left"/>
            </w:pPr>
            <w:r>
              <w:rPr>
                <w:rStyle w:val="VerbatimChar"/>
              </w:rPr>
              <w:t xml:space="preserve">CARBON</w:t>
            </w:r>
          </w:p>
        </w:tc>
        <w:tc>
          <w:tcPr/>
          <w:p>
            <w:pPr>
              <w:pStyle w:val="Compact"/>
              <w:jc w:val="left"/>
            </w:pPr>
            <w:r>
              <w:t xml:space="preserve">Carbon</w:t>
            </w:r>
          </w:p>
        </w:tc>
        <w:tc>
          <w:tcPr/>
          <w:p>
            <w:pPr>
              <w:pStyle w:val="Compact"/>
              <w:jc w:val="left"/>
            </w:pPr>
            <w:r>
              <w:rPr>
                <w:rStyle w:val="VerbatimChar"/>
              </w:rPr>
              <w:t xml:space="preserve">CARBON.CO2PerTonne</w:t>
            </w:r>
          </w:p>
        </w:tc>
      </w:tr>
      <w:tr>
        <w:tc>
          <w:tcPr/>
          <w:p>
            <w:pPr>
              <w:pStyle w:val="Compact"/>
              <w:jc w:val="left"/>
            </w:pPr>
            <w:r>
              <w:rPr>
                <w:rStyle w:val="VerbatimChar"/>
              </w:rPr>
              <w:t xml:space="preserve">WATER</w:t>
            </w:r>
          </w:p>
        </w:tc>
        <w:tc>
          <w:tcPr/>
          <w:p>
            <w:pPr>
              <w:pStyle w:val="Compact"/>
              <w:jc w:val="left"/>
            </w:pPr>
            <w:r>
              <w:t xml:space="preserve">Water</w:t>
            </w:r>
          </w:p>
        </w:tc>
        <w:tc>
          <w:tcPr/>
          <w:p>
            <w:pPr>
              <w:pStyle w:val="Compact"/>
              <w:jc w:val="left"/>
            </w:pPr>
            <w:r>
              <w:rPr>
                <w:rStyle w:val="VerbatimChar"/>
              </w:rPr>
              <w:t xml:space="preserve">WATER.WaterPerTonne</w:t>
            </w:r>
          </w:p>
        </w:tc>
      </w:tr>
      <w:tr>
        <w:tc>
          <w:tcPr/>
          <w:p>
            <w:pPr>
              <w:pStyle w:val="Compact"/>
              <w:jc w:val="left"/>
            </w:pPr>
            <w:r>
              <w:rPr>
                <w:rStyle w:val="VerbatimChar"/>
              </w:rPr>
              <w:t xml:space="preserve">SAFE</w:t>
            </w:r>
          </w:p>
        </w:tc>
        <w:tc>
          <w:tcPr/>
          <w:p>
            <w:pPr>
              <w:pStyle w:val="Compact"/>
              <w:jc w:val="left"/>
            </w:pPr>
            <w:r>
              <w:t xml:space="preserve">Safety</w:t>
            </w:r>
          </w:p>
        </w:tc>
        <w:tc>
          <w:tcPr/>
          <w:p>
            <w:pPr>
              <w:pStyle w:val="Compact"/>
              <w:jc w:val="left"/>
            </w:pPr>
            <w:r>
              <w:rPr>
                <w:rStyle w:val="VerbatimChar"/>
              </w:rPr>
              <w:t xml:space="preserve">SAFE.SpeedViolationRate</w:t>
            </w:r>
          </w:p>
        </w:tc>
      </w:tr>
      <w:tr>
        <w:tc>
          <w:tcPr/>
          <w:p>
            <w:pPr>
              <w:pStyle w:val="Compact"/>
              <w:jc w:val="left"/>
            </w:pPr>
            <w:r>
              <w:rPr>
                <w:rStyle w:val="VerbatimChar"/>
              </w:rPr>
              <w:t xml:space="preserve">AUTO</w:t>
            </w:r>
          </w:p>
        </w:tc>
        <w:tc>
          <w:tcPr/>
          <w:p>
            <w:pPr>
              <w:pStyle w:val="Compact"/>
              <w:jc w:val="left"/>
            </w:pPr>
            <w:r>
              <w:t xml:space="preserve">Autonomous mining</w:t>
            </w:r>
          </w:p>
        </w:tc>
        <w:tc>
          <w:tcPr/>
          <w:p>
            <w:pPr>
              <w:pStyle w:val="Compact"/>
              <w:jc w:val="left"/>
            </w:pPr>
            <w:r>
              <w:rPr>
                <w:rStyle w:val="VerbatimChar"/>
              </w:rPr>
              <w:t xml:space="preserve">AUTO.InterventionRate</w:t>
            </w:r>
          </w:p>
        </w:tc>
      </w:tr>
    </w:tbl>
    <w:p>
      <w:pPr>
        <w:pStyle w:val="BodyText"/>
      </w:pPr>
      <w:r>
        <w:t xml:space="preserve">Further namespaces exist for </w:t>
      </w:r>
      <w:r>
        <w:rPr>
          <w:rStyle w:val="VerbatimChar"/>
        </w:rPr>
        <w:t xml:space="preserve">GRADE</w:t>
      </w:r>
      <w:r>
        <w:t xml:space="preserve">, </w:t>
      </w:r>
      <w:r>
        <w:rPr>
          <w:rStyle w:val="VerbatimChar"/>
        </w:rPr>
        <w:t xml:space="preserve">BLEND</w:t>
      </w:r>
      <w:r>
        <w:t xml:space="preserve">, </w:t>
      </w:r>
      <w:r>
        <w:rPr>
          <w:rStyle w:val="VerbatimChar"/>
        </w:rPr>
        <w:t xml:space="preserve">CRUSH</w:t>
      </w:r>
      <w:r>
        <w:t xml:space="preserve">, </w:t>
      </w:r>
      <w:r>
        <w:rPr>
          <w:rStyle w:val="VerbatimChar"/>
        </w:rPr>
        <w:t xml:space="preserve">PROC</w:t>
      </w:r>
      <w:r>
        <w:t xml:space="preserve">, </w:t>
      </w:r>
      <w:r>
        <w:rPr>
          <w:rStyle w:val="VerbatimChar"/>
        </w:rPr>
        <w:t xml:space="preserve">STOCK</w:t>
      </w:r>
      <w:r>
        <w:t xml:space="preserve">, </w:t>
      </w:r>
      <w:r>
        <w:rPr>
          <w:rStyle w:val="VerbatimChar"/>
        </w:rPr>
        <w:t xml:space="preserve">RAIL</w:t>
      </w:r>
      <w:r>
        <w:t xml:space="preserve">, </w:t>
      </w:r>
      <w:r>
        <w:rPr>
          <w:rStyle w:val="VerbatimChar"/>
        </w:rPr>
        <w:t xml:space="preserve">PORT</w:t>
      </w:r>
      <w:r>
        <w:t xml:space="preserve">, </w:t>
      </w:r>
      <w:r>
        <w:rPr>
          <w:rStyle w:val="VerbatimChar"/>
        </w:rPr>
        <w:t xml:space="preserve">TWIN</w:t>
      </w:r>
      <w:r>
        <w:t xml:space="preserve"> (Digital-Twin-derived), </w:t>
      </w:r>
      <w:r>
        <w:rPr>
          <w:rStyle w:val="VerbatimChar"/>
        </w:rPr>
        <w:t xml:space="preserve">DI</w:t>
      </w:r>
      <w:r>
        <w:t xml:space="preserve"> (Decision-Intelligence-derived), and </w:t>
      </w:r>
      <w:r>
        <w:rPr>
          <w:rStyle w:val="VerbatimChar"/>
        </w:rPr>
        <w:t xml:space="preserve">AI</w:t>
      </w:r>
      <w:r>
        <w:t xml:space="preserve"> (AI-derived) — all catalogued in Appendix A.</w:t>
      </w:r>
    </w:p>
    <w:bookmarkEnd w:id="46"/>
    <w:bookmarkStart w:id="47" w:name="X429041ad4413937ec97403d939943af875d3ee6"/>
    <w:p>
      <w:pPr>
        <w:pStyle w:val="Heading2"/>
      </w:pPr>
      <w:bookmarkStart w:id="900013" w:name="_TocMP900013"/>
      <w:r>
        <w:t xml:space="preserve">Aliases, deprecated names, and backward compatibility</w:t>
      </w:r>
      <w:bookmarkEnd w:id="900013"/>
    </w:p>
    <w:p>
      <w:pPr>
        <w:pStyle w:val="FirstParagraph"/>
      </w:pPr>
      <w:r>
        <w:t xml:space="preserve">A KPI may carry </w:t>
      </w:r>
      <w:r>
        <w:rPr>
          <w:bCs/>
          <w:b/>
        </w:rPr>
        <w:t xml:space="preserve">aliases</w:t>
      </w:r>
      <w:r>
        <w:t xml:space="preserve"> — alternative identifiers that resolve to the same canonical KPI. Aliases exist for two reasons: to accept familiar industry terms (an alias </w:t>
      </w:r>
      <w:r>
        <w:rPr>
          <w:rStyle w:val="VerbatimChar"/>
        </w:rPr>
        <w:t xml:space="preserve">UTIL.MechanicalAvailability</w:t>
      </w:r>
      <w:r>
        <w:t xml:space="preserve"> resolving to </w:t>
      </w:r>
      <w:r>
        <w:rPr>
          <w:rStyle w:val="VerbatimChar"/>
        </w:rPr>
        <w:t xml:space="preserve">UTIL.PA</w:t>
      </w:r>
      <w:r>
        <w:t xml:space="preserve">), and to preserve continuity when a KPI is renamed. A </w:t>
      </w:r>
      <w:r>
        <w:rPr>
          <w:bCs/>
          <w:b/>
        </w:rPr>
        <w:t xml:space="preserve">deprecated name</w:t>
      </w:r>
      <w:r>
        <w:t xml:space="preserve"> is a former canonical identifier kept as a resolvable alias after a rename, with a documented successor. </w:t>
      </w:r>
      <w:r>
        <w:rPr>
          <w:bCs/>
          <w:b/>
        </w:rPr>
        <w:t xml:space="preserve">Backward compatibility</w:t>
      </w:r>
      <w:r>
        <w:t xml:space="preserve"> is guaranteed for the life of a MAJOR version: within a MAJOR line, an identifier’s meaning never changes, and any rename leaves the old name working as an alias.</w:t>
      </w:r>
    </w:p>
    <w:p>
      <w:pPr>
        <w:pStyle w:val="Warning"/>
      </w:pPr>
      <w:r>
        <w:rPr>
          <w:bCs/>
          <w:b/>
        </w:rPr>
        <w:t xml:space="preserve">Warning.</w:t>
      </w:r>
      <w:r>
        <w:t xml:space="preserve"> Never reuse a retired identifier for a new meaning. If </w:t>
      </w:r>
      <w:r>
        <w:rPr>
          <w:rStyle w:val="VerbatimChar"/>
        </w:rPr>
        <w:t xml:space="preserve">PROD.Foo</w:t>
      </w:r>
      <w:r>
        <w:t xml:space="preserve"> is retired, </w:t>
      </w:r>
      <w:r>
        <w:rPr>
          <w:rStyle w:val="VerbatimChar"/>
        </w:rPr>
        <w:t xml:space="preserve">PROD.Foo</w:t>
      </w:r>
      <w:r>
        <w:t xml:space="preserve"> is gone forever — a new KPI takes a new name. Reusing a retired identifier silently corrupts every historical report that referenced the old one.</w:t>
      </w:r>
    </w:p>
    <w:bookmarkEnd w:id="47"/>
    <w:bookmarkStart w:id="48" w:name="semantic-versioning-of-identifiers"/>
    <w:p>
      <w:pPr>
        <w:pStyle w:val="Heading2"/>
      </w:pPr>
      <w:bookmarkStart w:id="900014" w:name="_TocMP900014"/>
      <w:r>
        <w:t xml:space="preserve">Semantic versioning of identifiers</w:t>
      </w:r>
      <w:bookmarkEnd w:id="900014"/>
    </w:p>
    <w:p>
      <w:pPr>
        <w:pStyle w:val="FirstParagraph"/>
      </w:pPr>
      <w:r>
        <w:t xml:space="preserve">Identifiers and their semantics evolve under </w:t>
      </w:r>
      <w:r>
        <w:rPr>
          <w:rStyle w:val="VerbatimChar"/>
        </w:rPr>
        <w:t xml:space="preserve">MAJOR.MINOR.PATCH</w:t>
      </w:r>
      <w:r>
        <w:t xml:space="preserve"> (Introduction). The naming consequence is strict: a </w:t>
      </w:r>
      <w:r>
        <w:rPr>
          <w:bCs/>
          <w:b/>
        </w:rPr>
        <w:t xml:space="preserve">MAJOR</w:t>
      </w:r>
      <w:r>
        <w:t xml:space="preserve"> change publishes the KPI under a new version and deprecates the prior one; it does </w:t>
      </w:r>
      <w:r>
        <w:rPr>
          <w:bCs/>
          <w:b/>
        </w:rPr>
        <w:t xml:space="preserve">not</w:t>
      </w:r>
      <w:r>
        <w:t xml:space="preserve"> repoint the existing identifier to a new formula. Consumers pin to a MAJOR line when reproducibility matters and opt into new majors deliberately. The registry records the current version of every identifier.</w:t>
      </w:r>
    </w:p>
    <w:p>
      <w:pPr>
        <w:pStyle w:val="BestPractice"/>
      </w:pPr>
      <w:r>
        <w:rPr>
          <w:bCs/>
          <w:b/>
        </w:rPr>
        <w:t xml:space="preserve">Best Practice.</w:t>
      </w:r>
      <w:r>
        <w:t xml:space="preserve"> Read an identifier before you trust a number: the namespace tells you the domain and the name tells you the exact metric. </w:t>
      </w:r>
      <w:r>
        <w:rPr>
          <w:rStyle w:val="VerbatimChar"/>
        </w:rPr>
        <w:t xml:space="preserve">UTIL.PA</w:t>
      </w:r>
      <w:r>
        <w:t xml:space="preserve"> and </w:t>
      </w:r>
      <w:r>
        <w:rPr>
          <w:rStyle w:val="VerbatimChar"/>
        </w:rPr>
        <w:t xml:space="preserve">MAINT.Ai</w:t>
      </w:r>
      <w:r>
        <w:t xml:space="preserve"> are both “availability” in English but are different KPIs with different denominators — the identifier removes the ambiguity that plain English cannot.</w:t>
      </w:r>
    </w:p>
    <w:bookmarkEnd w:id="48"/>
    <w:bookmarkStart w:id="49" w:name="summary-1"/>
    <w:p>
      <w:pPr>
        <w:pStyle w:val="Heading2"/>
      </w:pPr>
      <w:bookmarkStart w:id="900015" w:name="_TocMP900015"/>
      <w:r>
        <w:t xml:space="preserve">Summary</w:t>
      </w:r>
      <w:bookmarkEnd w:id="900015"/>
    </w:p>
    <w:p>
      <w:pPr>
        <w:pStyle w:val="FirstParagraph"/>
      </w:pPr>
      <w:r>
        <w:t xml:space="preserve">Every KPI is </w:t>
      </w:r>
      <w:r>
        <w:rPr>
          <w:rStyle w:val="VerbatimChar"/>
        </w:rPr>
        <w:t xml:space="preserve">NAMESPACE.Name</w:t>
      </w:r>
      <w:r>
        <w:t xml:space="preserve">: a controlled uppercase namespace and a PascalCase name, with optional dotted specialisations that inherit their parent’s meaning. Namespaces are stable; names are descriptive; aliases and deprecated names map forward to the canonical identifier; and semantic versioning guarantees that an identifier’s meaning is stable for the life of its MAJOR version.</w:t>
      </w:r>
    </w:p>
    <w:bookmarkEnd w:id="49"/>
    <w:bookmarkStart w:id="50" w:name="further-reading-1"/>
    <w:p>
      <w:pPr>
        <w:pStyle w:val="Heading2"/>
      </w:pPr>
      <w:bookmarkStart w:id="900016" w:name="_TocMP900016"/>
      <w:r>
        <w:t xml:space="preserve">Further Reading</w:t>
      </w:r>
      <w:bookmarkEnd w:id="900016"/>
    </w:p>
    <w:p>
      <w:pPr>
        <w:pStyle w:val="FirstParagraph"/>
      </w:pPr>
      <w:r>
        <w:t xml:space="preserve">Introduction (lifecycle and versioning); Appendix A (the full namespace catalogue). Next: </w:t>
      </w:r>
      <w:r>
        <w:rPr>
          <w:bCs/>
          <w:b/>
        </w:rPr>
        <w:t xml:space="preserve">Canonical Semantics</w:t>
      </w:r>
      <w:r>
        <w:t xml:space="preserve">.</w:t>
      </w:r>
    </w:p>
    <w:p>
      <w:r>
        <w:br w:type="page"/>
      </w:r>
    </w:p>
    <w:bookmarkEnd w:id="50"/>
    <w:bookmarkEnd w:id="51"/>
    <w:bookmarkStart w:id="69" w:name="canonical-semantics"/>
    <w:p>
      <w:pPr>
        <w:pStyle w:val="Heading1"/>
      </w:pPr>
      <w:bookmarkStart w:id="900017" w:name="_TocMP900017"/>
      <w:r>
        <w:t xml:space="preserve">Canonical Semantics</w:t>
      </w:r>
      <w:bookmarkEnd w:id="900017"/>
    </w:p>
    <w:p>
      <w:pPr>
        <w:pStyle w:val="LearningObjectives"/>
      </w:pPr>
      <w:r>
        <w:rPr>
          <w:bCs/>
          <w:b/>
        </w:rPr>
        <w:t xml:space="preserve">Learning Objectives.</w:t>
      </w:r>
      <w:r>
        <w:t xml:space="preserve"> After this chapter you will be able to: state the MineProductivity canonical definitions of availability, utilisation, OEE, and delay classification; explain why each was adopted over the alternatives; and describe how MineProductivity maps external systems (MineStar, DISPATCH, Wenco, OEM reports) onto its canonical semantics so numbers stay comparable.</w:t>
      </w:r>
    </w:p>
    <w:p>
      <w:pPr>
        <w:pStyle w:val="Warning"/>
      </w:pPr>
      <w:r>
        <w:rPr>
          <w:bCs/>
          <w:b/>
        </w:rPr>
        <w:t xml:space="preserve">This chapter is normative and load-bearing.</w:t>
      </w:r>
      <w:r>
        <w:t xml:space="preserve"> Where industry definitions differ — and for availability, utilisation, OEE, and delays they differ a great deal — MineProductivity adopts </w:t>
      </w:r>
      <w:r>
        <w:rPr>
          <w:bCs/>
          <w:b/>
        </w:rPr>
        <w:t xml:space="preserve">one</w:t>
      </w:r>
      <w:r>
        <w:t xml:space="preserve"> definition and treats all others as external representations to be mapped onto it. Downstream KPIs, the Digital Twin, and every report depend on these rulings. Do not substitute a local convention.</w:t>
      </w:r>
    </w:p>
    <w:bookmarkStart w:id="55" w:name="the-time-model"/>
    <w:p>
      <w:pPr>
        <w:pStyle w:val="Heading2"/>
      </w:pPr>
      <w:bookmarkStart w:id="900018" w:name="_TocMP900018"/>
      <w:r>
        <w:t xml:space="preserve">The time model</w:t>
      </w:r>
      <w:bookmarkEnd w:id="900018"/>
    </w:p>
    <w:p>
      <w:pPr>
        <w:pStyle w:val="FirstParagraph"/>
      </w:pPr>
      <w:r>
        <w:t xml:space="preserve">All utilisation and availability semantics derive from one shared decomposition of a machine’s time.</w:t>
      </w:r>
    </w:p>
    <w:p>
      <w:pPr>
        <w:pStyle w:val="CaptionedFigure"/>
      </w:pPr>
      <w:r>
        <w:drawing>
          <wp:inline>
            <wp:extent cx="5334000" cy="2553743"/>
            <wp:effectExtent b="0" l="0" r="0" t="0"/>
            <wp:docPr descr="The canonical MineProductivity time model: calendar time contains scheduled time (excluding planned non-production), which contains available time (not in breakdown/maintenance), which contains operating time (actually working). UTIL.PA = Available ÷ Scheduled (86.9%); UTIL.UA = Operating ÷ Available (89.0%); UTIL.EU = Operating ÷ Scheduled = PA×UA (77.4%)." title="" id="53" name="Picture"/>
            <a:graphic>
              <a:graphicData uri="http://schemas.openxmlformats.org/drawingml/2006/picture">
                <pic:pic>
                  <pic:nvPicPr>
                    <pic:cNvPr descr="/home/claude/p3figs/p3_canonical_model.png" id="54" name="Picture"/>
                    <pic:cNvPicPr>
                      <a:picLocks noChangeArrowheads="1" noChangeAspect="1"/>
                    </pic:cNvPicPr>
                  </pic:nvPicPr>
                  <pic:blipFill>
                    <a:blip r:embed="rId52"/>
                    <a:stretch>
                      <a:fillRect/>
                    </a:stretch>
                  </pic:blipFill>
                  <pic:spPr bwMode="auto">
                    <a:xfrm>
                      <a:off x="0" y="0"/>
                      <a:ext cx="5334000" cy="2553743"/>
                    </a:xfrm>
                    <a:prstGeom prst="rect">
                      <a:avLst/>
                    </a:prstGeom>
                    <a:noFill/>
                    <a:ln w="9525">
                      <a:noFill/>
                      <a:headEnd/>
                      <a:tailEnd/>
                    </a:ln>
                  </pic:spPr>
                </pic:pic>
              </a:graphicData>
            </a:graphic>
          </wp:inline>
        </w:drawing>
      </w:r>
    </w:p>
    <w:p>
      <w:pPr>
        <w:pStyle w:val="ImageCaption"/>
      </w:pPr>
      <w:r>
        <w:t xml:space="preserve">The canonical MineProductivity time model: calendar time contains scheduled time (excluding planned non-production), which contains available time (not in breakdown/maintenance), which contains operating time (actually working). UTIL.PA = Available ÷ Scheduled (86.9%); UTIL.UA = Operating ÷ Available (89.0%); UTIL.EU = Operating ÷ Scheduled = PA×UA (77.4%).</w:t>
      </w:r>
    </w:p>
    <w:p>
      <w:pPr>
        <w:pStyle w:val="BodyText"/>
      </w:pPr>
      <w:r>
        <w:rPr>
          <w:bCs/>
          <w:b/>
        </w:rPr>
        <w:t xml:space="preserve">Calendar time</w:t>
      </w:r>
      <w:r>
        <w:t xml:space="preserve"> is the whole period. </w:t>
      </w:r>
      <w:r>
        <w:rPr>
          <w:bCs/>
          <w:b/>
        </w:rPr>
        <w:t xml:space="preserve">Scheduled time</w:t>
      </w:r>
      <w:r>
        <w:t xml:space="preserve"> removes planned non-production (e.g. a mine not rostered on a public holiday). </w:t>
      </w:r>
      <w:r>
        <w:rPr>
          <w:bCs/>
          <w:b/>
        </w:rPr>
        <w:t xml:space="preserve">Available time</w:t>
      </w:r>
      <w:r>
        <w:t xml:space="preserve"> removes breakdown and maintenance. </w:t>
      </w:r>
      <w:r>
        <w:rPr>
          <w:bCs/>
          <w:b/>
        </w:rPr>
        <w:t xml:space="preserve">Operating time</w:t>
      </w:r>
      <w:r>
        <w:t xml:space="preserve"> is time actually working. Each canonical KPI is a ratio of two adjacent levels of this ladder — which is what makes them unambiguous and composable.</w:t>
      </w:r>
    </w:p>
    <w:bookmarkEnd w:id="55"/>
    <w:bookmarkStart w:id="56" w:name="availability-the-adopted-standard"/>
    <w:p>
      <w:pPr>
        <w:pStyle w:val="Heading2"/>
      </w:pPr>
      <w:bookmarkStart w:id="900019" w:name="_TocMP900019"/>
      <w:r>
        <w:t xml:space="preserve">Availability — the adopted standard</w:t>
      </w:r>
      <w:bookmarkEnd w:id="900019"/>
    </w:p>
    <w:p>
      <w:pPr>
        <w:pStyle w:val="KeyConcepts"/>
      </w:pPr>
      <w:r>
        <w:rPr>
          <w:bCs/>
          <w:b/>
        </w:rPr>
        <w:t xml:space="preserve">Ruling — </w:t>
      </w:r>
      <w:r>
        <w:rPr>
          <w:rStyle w:val="VerbatimChar"/>
          <w:bCs/>
          <w:b/>
        </w:rPr>
        <w:t xml:space="preserve">UTIL.PA</w:t>
      </w:r>
      <w:r>
        <w:rPr>
          <w:bCs/>
          <w:b/>
        </w:rPr>
        <w:t xml:space="preserve"> (Physical Availability).</w:t>
      </w:r>
      <w:r>
        <w:t xml:space="preserve"> MineProductivity’s canonical “availability” is </w:t>
      </w:r>
      <w:r>
        <w:rPr>
          <w:bCs/>
          <w:b/>
        </w:rPr>
        <w:t xml:space="preserve">Physical Availability = Available time ÷ Scheduled time</w:t>
      </w:r>
      <w:r>
        <w:t xml:space="preserve">, expressed as a percentage. It answers: </w:t>
      </w:r>
      <w:r>
        <w:rPr>
          <w:iCs/>
          <w:i/>
        </w:rPr>
        <w:t xml:space="preserve">of the time we intended to run, how much was the asset able to run?</w:t>
      </w:r>
    </w:p>
    <w:p>
      <w:pPr>
        <w:pStyle w:val="BodyText"/>
      </w:pPr>
      <w:r>
        <w:rPr>
          <w:bCs/>
          <w:b/>
        </w:rPr>
        <w:t xml:space="preserve">Why this definition.</w:t>
      </w:r>
      <w:r>
        <w:t xml:space="preserve"> Physical Availability measures what operations can influence and what maintenance is accountable for — it excludes planned non-production (which is a scheduling choice, not an equipment property) and isolates breakdown/maintenance loss. It is the definition most directly actionable by a maintenance organisation.</w:t>
      </w:r>
    </w:p>
    <w:p>
      <w:pPr>
        <w:pStyle w:val="BodyText"/>
      </w:pPr>
      <w:r>
        <w:rPr>
          <w:bCs/>
          <w:b/>
        </w:rPr>
        <w:t xml:space="preserve">Common alternatives (and why not canonical).</w:t>
      </w:r>
    </w:p>
    <w:tbl>
      <w:tblPr>
        <w:tblStyle w:val="Table"/>
        <w:tblW w:type="pct" w:w="5000"/>
        <w:tblLook w:firstRow="1" w:lastRow="0" w:firstColumn="0" w:lastColumn="0" w:noHBand="0" w:noVBand="0" w:val="0020"/>
        <w:jc w:val="start"/>
      </w:tblPr>
      <w:tblGrid>
        <w:gridCol w:w="2640"/>
        <w:gridCol w:w="2640"/>
        <w:gridCol w:w="2640"/>
      </w:tblGrid>
      <w:tr>
        <w:trPr>
          <w:tblHeader w:val="true"/>
        </w:trPr>
        <w:tc>
          <w:tcPr/>
          <w:p>
            <w:pPr>
              <w:pStyle w:val="Compact"/>
              <w:jc w:val="left"/>
            </w:pPr>
            <w:r>
              <w:t xml:space="preserve">Alternative</w:t>
            </w:r>
          </w:p>
        </w:tc>
        <w:tc>
          <w:tcPr/>
          <w:p>
            <w:pPr>
              <w:pStyle w:val="Compact"/>
              <w:jc w:val="left"/>
            </w:pPr>
            <w:r>
              <w:t xml:space="preserve">Denominator</w:t>
            </w:r>
          </w:p>
        </w:tc>
        <w:tc>
          <w:tcPr/>
          <w:p>
            <w:pPr>
              <w:pStyle w:val="Compact"/>
              <w:jc w:val="left"/>
            </w:pPr>
            <w:r>
              <w:t xml:space="preserve">Why not the canonical PA</w:t>
            </w:r>
          </w:p>
        </w:tc>
      </w:tr>
      <w:tr>
        <w:tc>
          <w:tcPr/>
          <w:p>
            <w:pPr>
              <w:pStyle w:val="Compact"/>
              <w:jc w:val="left"/>
            </w:pPr>
            <w:r>
              <w:t xml:space="preserve">Inherent Availability </w:t>
            </w:r>
            <w:r>
              <w:rPr>
                <w:rStyle w:val="VerbatimChar"/>
              </w:rPr>
              <w:t xml:space="preserve">MAINT.Ai</w:t>
            </w:r>
          </w:p>
        </w:tc>
        <w:tc>
          <w:tcPr/>
          <w:p>
            <w:pPr>
              <w:pStyle w:val="Compact"/>
              <w:jc w:val="left"/>
            </w:pPr>
            <w:r>
              <w:t xml:space="preserve">MTBF/(MTBF+MTTR)</w:t>
            </w:r>
          </w:p>
        </w:tc>
        <w:tc>
          <w:tcPr/>
          <w:p>
            <w:pPr>
              <w:pStyle w:val="Compact"/>
              <w:jc w:val="left"/>
            </w:pPr>
            <w:r>
              <w:t xml:space="preserve">a reliability property of the </w:t>
            </w:r>
            <w:r>
              <w:rPr>
                <w:iCs/>
                <w:i/>
              </w:rPr>
              <w:t xml:space="preserve">design</w:t>
            </w:r>
            <w:r>
              <w:t xml:space="preserve">, not of a period’s scheduled time; MineProductivity keeps it as a separate KPI</w:t>
            </w:r>
          </w:p>
        </w:tc>
      </w:tr>
      <w:tr>
        <w:tc>
          <w:tcPr/>
          <w:p>
            <w:pPr>
              <w:pStyle w:val="Compact"/>
              <w:jc w:val="left"/>
            </w:pPr>
            <w:r>
              <w:t xml:space="preserve">Calendar Availability</w:t>
            </w:r>
          </w:p>
        </w:tc>
        <w:tc>
          <w:tcPr/>
          <w:p>
            <w:pPr>
              <w:pStyle w:val="Compact"/>
              <w:jc w:val="left"/>
            </w:pPr>
            <w:r>
              <w:t xml:space="preserve">calendar time</w:t>
            </w:r>
          </w:p>
        </w:tc>
        <w:tc>
          <w:tcPr/>
          <w:p>
            <w:pPr>
              <w:pStyle w:val="Compact"/>
              <w:jc w:val="left"/>
            </w:pPr>
            <w:r>
              <w:t xml:space="preserve">penalises planned idleness the operation deliberately chose; useful for asset ROI, not for shift accountability</w:t>
            </w:r>
          </w:p>
        </w:tc>
      </w:tr>
      <w:tr>
        <w:tc>
          <w:tcPr/>
          <w:p>
            <w:pPr>
              <w:pStyle w:val="Compact"/>
              <w:jc w:val="left"/>
            </w:pPr>
            <w:r>
              <w:t xml:space="preserve">Operational Availability</w:t>
            </w:r>
          </w:p>
        </w:tc>
        <w:tc>
          <w:tcPr/>
          <w:p>
            <w:pPr>
              <w:pStyle w:val="Compact"/>
              <w:jc w:val="left"/>
            </w:pPr>
            <w:r>
              <w:t xml:space="preserve">includes logistic/admin delay</w:t>
            </w:r>
          </w:p>
        </w:tc>
        <w:tc>
          <w:tcPr/>
          <w:p>
            <w:pPr>
              <w:pStyle w:val="Compact"/>
              <w:jc w:val="left"/>
            </w:pPr>
            <w:r>
              <w:t xml:space="preserve">conflates supply-chain delay with equipment condition; MineProductivity separates these via delay classification</w:t>
            </w:r>
          </w:p>
        </w:tc>
      </w:tr>
    </w:tbl>
    <w:p>
      <w:pPr>
        <w:pStyle w:val="BodyText"/>
      </w:pPr>
      <w:r>
        <w:t xml:space="preserve">MineProductivity implements </w:t>
      </w:r>
      <w:r>
        <w:rPr>
          <w:rStyle w:val="VerbatimChar"/>
        </w:rPr>
        <w:t xml:space="preserve">MAINT.Ai</w:t>
      </w:r>
      <w:r>
        <w:t xml:space="preserve"> and calendar-based views as their own registered KPIs, so no information is lost — but the unqualified word “availability” resolves to </w:t>
      </w:r>
      <w:r>
        <w:rPr>
          <w:rStyle w:val="VerbatimChar"/>
        </w:rPr>
        <w:t xml:space="preserve">UTIL.PA</w:t>
      </w:r>
      <w:r>
        <w:t xml:space="preserve">.</w:t>
      </w:r>
    </w:p>
    <w:bookmarkEnd w:id="56"/>
    <w:bookmarkStart w:id="57" w:name="utilisation-the-adopted-standard"/>
    <w:p>
      <w:pPr>
        <w:pStyle w:val="Heading2"/>
      </w:pPr>
      <w:bookmarkStart w:id="900020" w:name="_TocMP900020"/>
      <w:r>
        <w:t xml:space="preserve">Utilisation — the adopted standard</w:t>
      </w:r>
      <w:bookmarkEnd w:id="900020"/>
    </w:p>
    <w:p>
      <w:pPr>
        <w:pStyle w:val="KeyConcepts"/>
      </w:pPr>
      <w:r>
        <w:rPr>
          <w:bCs/>
          <w:b/>
        </w:rPr>
        <w:t xml:space="preserve">Ruling — </w:t>
      </w:r>
      <w:r>
        <w:rPr>
          <w:rStyle w:val="VerbatimChar"/>
          <w:bCs/>
          <w:b/>
        </w:rPr>
        <w:t xml:space="preserve">UTIL.UA</w:t>
      </w:r>
      <w:r>
        <w:rPr>
          <w:bCs/>
          <w:b/>
        </w:rPr>
        <w:t xml:space="preserve"> (Use of Availability) and </w:t>
      </w:r>
      <w:r>
        <w:rPr>
          <w:rStyle w:val="VerbatimChar"/>
          <w:bCs/>
          <w:b/>
        </w:rPr>
        <w:t xml:space="preserve">UTIL.EU</w:t>
      </w:r>
      <w:r>
        <w:rPr>
          <w:bCs/>
          <w:b/>
        </w:rPr>
        <w:t xml:space="preserve"> (Effective Utilisation).</w:t>
      </w:r>
      <w:r>
        <w:t xml:space="preserve"> “Utilisation” is split into two canonical KPIs. </w:t>
      </w:r>
      <w:r>
        <w:rPr>
          <w:rStyle w:val="VerbatimChar"/>
          <w:bCs/>
          <w:b/>
        </w:rPr>
        <w:t xml:space="preserve">UTIL.UA</w:t>
      </w:r>
      <w:r>
        <w:rPr>
          <w:bCs/>
          <w:b/>
        </w:rPr>
        <w:t xml:space="preserve"> = Operating ÷ Available</w:t>
      </w:r>
      <w:r>
        <w:t xml:space="preserve"> answers </w:t>
      </w:r>
      <w:r>
        <w:rPr>
          <w:iCs/>
          <w:i/>
        </w:rPr>
        <w:t xml:space="preserve">when able to work, did we?</w:t>
      </w:r>
      <w:r>
        <w:t xml:space="preserve"> </w:t>
      </w:r>
      <w:r>
        <w:rPr>
          <w:rStyle w:val="VerbatimChar"/>
          <w:bCs/>
          <w:b/>
        </w:rPr>
        <w:t xml:space="preserve">UTIL.EU</w:t>
      </w:r>
      <w:r>
        <w:rPr>
          <w:bCs/>
          <w:b/>
        </w:rPr>
        <w:t xml:space="preserve"> = Operating ÷ Scheduled</w:t>
      </w:r>
      <w:r>
        <w:t xml:space="preserve"> answers </w:t>
      </w:r>
      <w:r>
        <w:rPr>
          <w:iCs/>
          <w:i/>
        </w:rPr>
        <w:t xml:space="preserve">of intended time, how much was productive?</w:t>
      </w:r>
      <w:r>
        <w:t xml:space="preserve"> By construction, </w:t>
      </w:r>
      <w:r>
        <w:rPr>
          <w:rStyle w:val="VerbatimChar"/>
        </w:rPr>
        <w:t xml:space="preserve">UTIL.EU = UTIL.PA × UTIL.UA</w:t>
      </w:r>
      <w:r>
        <w:t xml:space="preserve">.</w:t>
      </w:r>
    </w:p>
    <w:p>
      <w:pPr>
        <w:pStyle w:val="BodyText"/>
      </w:pPr>
      <w:r>
        <w:rPr>
          <w:bCs/>
          <w:b/>
        </w:rPr>
        <w:t xml:space="preserve">Why two.</w:t>
      </w:r>
      <w:r>
        <w:t xml:space="preserve"> A single “utilisation” number hides whether lost use was due to unavailability (a maintenance problem, captured by PA) or idle available time (an operations problem, captured by UA). Splitting them means every result points at an accountable cause — the central design principle of Part II, Chapter 18. The identity </w:t>
      </w:r>
      <w:r>
        <w:rPr>
          <w:rStyle w:val="VerbatimChar"/>
        </w:rPr>
        <w:t xml:space="preserve">EU = PA × UA</w:t>
      </w:r>
      <w:r>
        <w:t xml:space="preserve"> guarantees the two never contradict a combined figure.</w:t>
      </w:r>
    </w:p>
    <w:bookmarkEnd w:id="57"/>
    <w:bookmarkStart w:id="61" w:name="oee-the-adopted-standard"/>
    <w:p>
      <w:pPr>
        <w:pStyle w:val="Heading2"/>
      </w:pPr>
      <w:bookmarkStart w:id="900021" w:name="_TocMP900021"/>
      <w:r>
        <w:t xml:space="preserve">OEE — the adopted standard</w:t>
      </w:r>
      <w:bookmarkEnd w:id="900021"/>
    </w:p>
    <w:p>
      <w:pPr>
        <w:pStyle w:val="KeyConcepts"/>
      </w:pPr>
      <w:r>
        <w:rPr>
          <w:bCs/>
          <w:b/>
        </w:rPr>
        <w:t xml:space="preserve">Ruling — </w:t>
      </w:r>
      <w:r>
        <w:rPr>
          <w:rStyle w:val="VerbatimChar"/>
          <w:bCs/>
          <w:b/>
        </w:rPr>
        <w:t xml:space="preserve">UTIL.OEE</w:t>
      </w:r>
      <w:r>
        <w:rPr>
          <w:bCs/>
          <w:b/>
        </w:rPr>
        <w:t xml:space="preserve"> = Availability × Performance × Quality</w:t>
      </w:r>
      <w:r>
        <w:t xml:space="preserve">, each a fraction in [0, 1], reported as a percentage. MineProductivity’s OEE composes the availability factor (</w:t>
      </w:r>
      <w:r>
        <w:rPr>
          <w:rStyle w:val="VerbatimChar"/>
        </w:rPr>
        <w:t xml:space="preserve">UTIL.PA</w:t>
      </w:r>
      <w:r>
        <w:t xml:space="preserve">), a performance factor (operating rate ÷ capable rate), and a quality factor (in-spec output ÷ total output).</w:t>
      </w:r>
    </w:p>
    <w:p>
      <w:pPr>
        <w:pStyle w:val="BodyText"/>
      </w:pPr>
      <w:r>
        <w:rPr>
          <w:bCs/>
          <w:b/>
        </w:rPr>
        <w:t xml:space="preserve">Why this definition.</w:t>
      </w:r>
      <w:r>
        <w:t xml:space="preserve"> It is the widely recognised three-factor OEE, which keeps MineProductivity interoperable with the broader reliability world while binding each factor to a canonical MineProductivity KPI so the score is always decomposable. </w:t>
      </w:r>
      <w:r>
        <w:rPr>
          <w:bCs/>
          <w:b/>
        </w:rPr>
        <w:t xml:space="preserve">Alternatives</w:t>
      </w:r>
      <w:r>
        <w:t xml:space="preserve"> include TEEP (which uses calendar time instead of scheduled) and various two-factor “asset utilisation” scores; MineProductivity offers TEEP as a separate KPI and treats two-factor scores as non-canonical.</w:t>
      </w:r>
    </w:p>
    <w:p>
      <w:pPr>
        <w:pStyle w:val="CaptionedFigure"/>
      </w:pPr>
      <w:r>
        <w:drawing>
          <wp:inline>
            <wp:extent cx="5334000" cy="2438966"/>
            <wp:effectExtent b="0" l="0" r="0" t="0"/>
            <wp:docPr descr="OEE loss waterfall (example visualization): scheduled time is reduced by availability loss, then performance loss, yielding OEE — always decomposable back into its three factors." title="" id="59" name="Picture"/>
            <a:graphic>
              <a:graphicData uri="http://schemas.openxmlformats.org/drawingml/2006/picture">
                <pic:pic>
                  <pic:nvPicPr>
                    <pic:cNvPr descr="/home/claude/p3figs/p3_viz_oee.png" id="60" name="Picture"/>
                    <pic:cNvPicPr>
                      <a:picLocks noChangeArrowheads="1" noChangeAspect="1"/>
                    </pic:cNvPicPr>
                  </pic:nvPicPr>
                  <pic:blipFill>
                    <a:blip r:embed="rId58"/>
                    <a:stretch>
                      <a:fillRect/>
                    </a:stretch>
                  </pic:blipFill>
                  <pic:spPr bwMode="auto">
                    <a:xfrm>
                      <a:off x="0" y="0"/>
                      <a:ext cx="5334000" cy="2438966"/>
                    </a:xfrm>
                    <a:prstGeom prst="rect">
                      <a:avLst/>
                    </a:prstGeom>
                    <a:noFill/>
                    <a:ln w="9525">
                      <a:noFill/>
                      <a:headEnd/>
                      <a:tailEnd/>
                    </a:ln>
                  </pic:spPr>
                </pic:pic>
              </a:graphicData>
            </a:graphic>
          </wp:inline>
        </w:drawing>
      </w:r>
    </w:p>
    <w:p>
      <w:pPr>
        <w:pStyle w:val="ImageCaption"/>
      </w:pPr>
      <w:r>
        <w:t xml:space="preserve">OEE loss waterfall (example visualization): scheduled time is reduced by availability loss, then performance loss, yielding OEE — always decomposable back into its three factors.</w:t>
      </w:r>
    </w:p>
    <w:bookmarkEnd w:id="61"/>
    <w:bookmarkStart w:id="62" w:name="Xe261eb03fbc6d1cdd094d2004f2f712a45ec36e"/>
    <w:p>
      <w:pPr>
        <w:pStyle w:val="Heading2"/>
      </w:pPr>
      <w:bookmarkStart w:id="900022" w:name="_TocMP900022"/>
      <w:r>
        <w:t xml:space="preserve">Delay classification — the adopted standard</w:t>
      </w:r>
      <w:bookmarkEnd w:id="900022"/>
    </w:p>
    <w:p>
      <w:pPr>
        <w:pStyle w:val="KeyConcepts"/>
      </w:pPr>
      <w:r>
        <w:rPr>
          <w:bCs/>
          <w:b/>
        </w:rPr>
        <w:t xml:space="preserve">Ruling — canonical delay categories.</w:t>
      </w:r>
      <w:r>
        <w:t xml:space="preserve"> Every </w:t>
      </w:r>
      <w:r>
        <w:rPr>
          <w:rStyle w:val="VerbatimChar"/>
        </w:rPr>
        <w:t xml:space="preserve">DelayEvent</w:t>
      </w:r>
      <w:r>
        <w:t xml:space="preserve"> is classified into exactly one of six mutually-exclusive categories: </w:t>
      </w:r>
      <w:r>
        <w:rPr>
          <w:bCs/>
          <w:b/>
        </w:rPr>
        <w:t xml:space="preserve">Scheduled, Operational, Equipment, Process, External,</w:t>
      </w:r>
      <w:r>
        <w:t xml:space="preserve"> and </w:t>
      </w:r>
      <w:r>
        <w:rPr>
          <w:bCs/>
          <w:b/>
        </w:rPr>
        <w:t xml:space="preserve">Standby</w:t>
      </w:r>
      <w:r>
        <w:t xml:space="preserve">. The category taxonomy is reference data in the ontology (Part II, Chapter 17), and each category maps to a level of the time model.</w:t>
      </w:r>
    </w:p>
    <w:p>
      <w:pPr>
        <w:pStyle w:val="BodyText"/>
      </w:pPr>
      <w:r>
        <w:rPr>
          <w:bCs/>
          <w:b/>
        </w:rPr>
        <w:t xml:space="preserve">Why this taxonomy.</w:t>
      </w:r>
      <w:r>
        <w:t xml:space="preserve"> Mutually-exclusive, collectively-exhaustive categories are what make delay hours additive and cross-site comparable. A delay that could be double-counted (e.g. “refuelling during a breakdown”) is resolved by a documented precedence order (Equipment outranks Operational outranks Standby), so totals always reconcile.</w:t>
      </w:r>
    </w:p>
    <w:bookmarkEnd w:id="62"/>
    <w:bookmarkStart w:id="66" w:name="compatibility-with-external-systems"/>
    <w:p>
      <w:pPr>
        <w:pStyle w:val="Heading2"/>
      </w:pPr>
      <w:bookmarkStart w:id="900023" w:name="_TocMP900023"/>
      <w:r>
        <w:t xml:space="preserve">Compatibility with external systems</w:t>
      </w:r>
      <w:bookmarkEnd w:id="900023"/>
    </w:p>
    <w:p>
      <w:pPr>
        <w:pStyle w:val="FirstParagraph"/>
      </w:pPr>
      <w:r>
        <w:t xml:space="preserve">Real mines run MineStar, DISPATCH, Wenco, and OEM reporting — each with its own terms. MineProductivity does not adopt any of them; it </w:t>
      </w:r>
      <w:r>
        <w:rPr>
          <w:bCs/>
          <w:b/>
        </w:rPr>
        <w:t xml:space="preserve">maps</w:t>
      </w:r>
      <w:r>
        <w:t xml:space="preserve"> all of them onto its canonical semantics at the connector boundary.</w:t>
      </w:r>
    </w:p>
    <w:p>
      <w:pPr>
        <w:pStyle w:val="CaptionedFigure"/>
      </w:pPr>
      <w:r>
        <w:drawing>
          <wp:inline>
            <wp:extent cx="5334000" cy="2099911"/>
            <wp:effectExtent b="0" l="0" r="0" t="0"/>
            <wp:docPr descr="Availability semantics crosswalk: MineProductivity’s UTIL.PA / UTIL.UA / UTIL.EU are mapped to the corresponding (differently-named) concepts in MineStar, DISPATCH, Wenco, and OEM reports, so numbers are comparable across vendors." title="" id="64" name="Picture"/>
            <a:graphic>
              <a:graphicData uri="http://schemas.openxmlformats.org/drawingml/2006/picture">
                <pic:pic>
                  <pic:nvPicPr>
                    <pic:cNvPr descr="/home/claude/p3figs/p3_crosswalk.png" id="65" name="Picture"/>
                    <pic:cNvPicPr>
                      <a:picLocks noChangeArrowheads="1" noChangeAspect="1"/>
                    </pic:cNvPicPr>
                  </pic:nvPicPr>
                  <pic:blipFill>
                    <a:blip r:embed="rId63"/>
                    <a:stretch>
                      <a:fillRect/>
                    </a:stretch>
                  </pic:blipFill>
                  <pic:spPr bwMode="auto">
                    <a:xfrm>
                      <a:off x="0" y="0"/>
                      <a:ext cx="5334000" cy="2099911"/>
                    </a:xfrm>
                    <a:prstGeom prst="rect">
                      <a:avLst/>
                    </a:prstGeom>
                    <a:noFill/>
                    <a:ln w="9525">
                      <a:noFill/>
                      <a:headEnd/>
                      <a:tailEnd/>
                    </a:ln>
                  </pic:spPr>
                </pic:pic>
              </a:graphicData>
            </a:graphic>
          </wp:inline>
        </w:drawing>
      </w:r>
    </w:p>
    <w:p>
      <w:pPr>
        <w:pStyle w:val="ImageCaption"/>
      </w:pPr>
      <w:r>
        <w:t xml:space="preserve">Availability semantics crosswalk: MineProductivity’s UTIL.PA / UTIL.UA / UTIL.EU are mapped to the corresponding (differently-named) concepts in MineStar, DISPATCH, Wenco, and OEM reports, so numbers are comparable across vendors.</w:t>
      </w:r>
    </w:p>
    <w:tbl>
      <w:tblPr>
        <w:tblStyle w:val="Table"/>
        <w:tblW w:type="pct" w:w="5000"/>
        <w:tblLook w:firstRow="1" w:lastRow="0" w:firstColumn="0" w:lastColumn="0" w:noHBand="0" w:noVBand="0" w:val="0020"/>
        <w:jc w:val="start"/>
      </w:tblPr>
      <w:tblGrid>
        <w:gridCol w:w="1584"/>
        <w:gridCol w:w="1584"/>
        <w:gridCol w:w="1584"/>
        <w:gridCol w:w="1584"/>
        <w:gridCol w:w="1584"/>
      </w:tblGrid>
      <w:tr>
        <w:trPr>
          <w:tblHeader w:val="true"/>
        </w:trPr>
        <w:tc>
          <w:tcPr/>
          <w:p>
            <w:pPr>
              <w:pStyle w:val="Compact"/>
              <w:jc w:val="left"/>
            </w:pPr>
            <w:r>
              <w:t xml:space="preserve">MineProductivity</w:t>
            </w:r>
          </w:p>
        </w:tc>
        <w:tc>
          <w:tcPr/>
          <w:p>
            <w:pPr>
              <w:pStyle w:val="Compact"/>
              <w:jc w:val="left"/>
            </w:pPr>
            <w:r>
              <w:t xml:space="preserve">Typical MineStar term</w:t>
            </w:r>
          </w:p>
        </w:tc>
        <w:tc>
          <w:tcPr/>
          <w:p>
            <w:pPr>
              <w:pStyle w:val="Compact"/>
              <w:jc w:val="left"/>
            </w:pPr>
            <w:r>
              <w:t xml:space="preserve">Typical DISPATCH term</w:t>
            </w:r>
          </w:p>
        </w:tc>
        <w:tc>
          <w:tcPr/>
          <w:p>
            <w:pPr>
              <w:pStyle w:val="Compact"/>
              <w:jc w:val="left"/>
            </w:pPr>
            <w:r>
              <w:t xml:space="preserve">Typical Wenco term</w:t>
            </w:r>
          </w:p>
        </w:tc>
        <w:tc>
          <w:tcPr/>
          <w:p>
            <w:pPr>
              <w:pStyle w:val="Compact"/>
              <w:jc w:val="left"/>
            </w:pPr>
            <w:r>
              <w:t xml:space="preserve">Typical OEM report</w:t>
            </w:r>
          </w:p>
        </w:tc>
      </w:tr>
      <w:tr>
        <w:tc>
          <w:tcPr/>
          <w:p>
            <w:pPr>
              <w:pStyle w:val="Compact"/>
              <w:jc w:val="left"/>
            </w:pPr>
            <w:r>
              <w:rPr>
                <w:rStyle w:val="VerbatimChar"/>
              </w:rPr>
              <w:t xml:space="preserve">UTIL.PA</w:t>
            </w:r>
          </w:p>
        </w:tc>
        <w:tc>
          <w:tcPr/>
          <w:p>
            <w:pPr>
              <w:pStyle w:val="Compact"/>
              <w:jc w:val="left"/>
            </w:pPr>
            <w:r>
              <w:t xml:space="preserve">Mechanical Availability</w:t>
            </w:r>
          </w:p>
        </w:tc>
        <w:tc>
          <w:tcPr/>
          <w:p>
            <w:pPr>
              <w:pStyle w:val="Compact"/>
              <w:jc w:val="left"/>
            </w:pPr>
            <w:r>
              <w:t xml:space="preserve">Availability</w:t>
            </w:r>
          </w:p>
        </w:tc>
        <w:tc>
          <w:tcPr/>
          <w:p>
            <w:pPr>
              <w:pStyle w:val="Compact"/>
              <w:jc w:val="left"/>
            </w:pPr>
            <w:r>
              <w:t xml:space="preserve">Avail %</w:t>
            </w:r>
          </w:p>
        </w:tc>
        <w:tc>
          <w:tcPr/>
          <w:p>
            <w:pPr>
              <w:pStyle w:val="Compact"/>
              <w:jc w:val="left"/>
            </w:pPr>
            <w:r>
              <w:t xml:space="preserve">Availability</w:t>
            </w:r>
          </w:p>
        </w:tc>
      </w:tr>
      <w:tr>
        <w:tc>
          <w:tcPr/>
          <w:p>
            <w:pPr>
              <w:pStyle w:val="Compact"/>
              <w:jc w:val="left"/>
            </w:pPr>
            <w:r>
              <w:rPr>
                <w:rStyle w:val="VerbatimChar"/>
              </w:rPr>
              <w:t xml:space="preserve">UTIL.UA</w:t>
            </w:r>
          </w:p>
        </w:tc>
        <w:tc>
          <w:tcPr/>
          <w:p>
            <w:pPr>
              <w:pStyle w:val="Compact"/>
              <w:jc w:val="left"/>
            </w:pPr>
            <w:r>
              <w:t xml:space="preserve">Utilisation</w:t>
            </w:r>
          </w:p>
        </w:tc>
        <w:tc>
          <w:tcPr/>
          <w:p>
            <w:pPr>
              <w:pStyle w:val="Compact"/>
              <w:jc w:val="left"/>
            </w:pPr>
            <w:r>
              <w:t xml:space="preserve">Use of Availability</w:t>
            </w:r>
          </w:p>
        </w:tc>
        <w:tc>
          <w:tcPr/>
          <w:p>
            <w:pPr>
              <w:pStyle w:val="Compact"/>
              <w:jc w:val="left"/>
            </w:pPr>
            <w:r>
              <w:t xml:space="preserve">Util %</w:t>
            </w:r>
          </w:p>
        </w:tc>
        <w:tc>
          <w:tcPr/>
          <w:p>
            <w:pPr>
              <w:pStyle w:val="Compact"/>
              <w:jc w:val="left"/>
            </w:pPr>
            <w:r>
              <w:t xml:space="preserve">Utilisation</w:t>
            </w:r>
          </w:p>
        </w:tc>
      </w:tr>
      <w:tr>
        <w:tc>
          <w:tcPr/>
          <w:p>
            <w:pPr>
              <w:pStyle w:val="Compact"/>
              <w:jc w:val="left"/>
            </w:pPr>
            <w:r>
              <w:rPr>
                <w:rStyle w:val="VerbatimChar"/>
              </w:rPr>
              <w:t xml:space="preserve">UTIL.EU</w:t>
            </w:r>
          </w:p>
        </w:tc>
        <w:tc>
          <w:tcPr/>
          <w:p>
            <w:pPr>
              <w:pStyle w:val="Compact"/>
              <w:jc w:val="left"/>
            </w:pPr>
            <w:r>
              <w:t xml:space="preserve">Effective Utilisation</w:t>
            </w:r>
          </w:p>
        </w:tc>
        <w:tc>
          <w:tcPr/>
          <w:p>
            <w:pPr>
              <w:pStyle w:val="Compact"/>
              <w:jc w:val="left"/>
            </w:pPr>
            <w:r>
              <w:t xml:space="preserve">Effective Utilisation</w:t>
            </w:r>
          </w:p>
        </w:tc>
        <w:tc>
          <w:tcPr/>
          <w:p>
            <w:pPr>
              <w:pStyle w:val="Compact"/>
              <w:jc w:val="left"/>
            </w:pPr>
            <w:r>
              <w:t xml:space="preserve">Effective Util</w:t>
            </w:r>
          </w:p>
        </w:tc>
        <w:tc>
          <w:tcPr/>
          <w:p>
            <w:pPr>
              <w:pStyle w:val="Compact"/>
              <w:jc w:val="left"/>
            </w:pPr>
            <w:r>
              <w:t xml:space="preserve">OEE-time basis</w:t>
            </w:r>
          </w:p>
        </w:tc>
      </w:tr>
    </w:tbl>
    <w:p>
      <w:pPr>
        <w:pStyle w:val="BodyText"/>
      </w:pPr>
      <w:r>
        <w:t xml:space="preserve">The connector records the exact source term and its mapping, so an audit can always trace a canonical number back to the vendor field it came from. When a vendor’s definition genuinely differs in denominator (not just in name), the connector recomputes from the underlying time buckets rather than copying the vendor’s percentage — because a percentage on the wrong denominator is not convertible after the fact.</w:t>
      </w:r>
    </w:p>
    <w:p>
      <w:pPr>
        <w:pStyle w:val="ArchitectureInsight"/>
      </w:pPr>
      <w:r>
        <w:rPr>
          <w:bCs/>
          <w:b/>
        </w:rPr>
        <w:t xml:space="preserve">Architecture Insight.</w:t>
      </w:r>
      <w:r>
        <w:t xml:space="preserve"> This is the anti-corruption boundary (Handbook; Part II, Chapter 16) doing semantic, not just structural, work. The connector absorbs </w:t>
      </w:r>
      <w:r>
        <w:rPr>
          <w:iCs/>
          <w:i/>
        </w:rPr>
        <w:t xml:space="preserve">definitional</w:t>
      </w:r>
      <w:r>
        <w:t xml:space="preserve"> differences, not only format differences — which is the only way a corporation running three FMS vendors can compare sites at all.</w:t>
      </w:r>
    </w:p>
    <w:p>
      <w:pPr>
        <w:pStyle w:val="DigitalTwinInsight"/>
      </w:pPr>
      <w:r>
        <w:rPr>
          <w:bCs/>
          <w:b/>
        </w:rPr>
        <w:t xml:space="preserve">Digital Twin Insight.</w:t>
      </w:r>
      <w:r>
        <w:t xml:space="preserve"> Because the twin is built on canonical semantics, its availability and utilisation states mean the same thing at every site it mirrors. A cross-site twin would be meaningless if each site’s “availability” used a different denominator; the canonical rulings are what make a fleet-wide or company-wide twin coherent.</w:t>
      </w:r>
    </w:p>
    <w:p>
      <w:pPr>
        <w:pStyle w:val="AIContributorNote"/>
      </w:pPr>
      <w:r>
        <w:rPr>
          <w:bCs/>
          <w:b/>
        </w:rPr>
        <w:t xml:space="preserve">AI Contributor Note.</w:t>
      </w:r>
      <w:r>
        <w:t xml:space="preserve"> When you add a KPI touching time, availability, or delays, derive it from the canonical time model and the canonical delay categories — never from a vendor’s pre-computed percentage. State which time-model levels your denominator uses. An agent comparing sites relies on every KPI sharing this one model.</w:t>
      </w:r>
    </w:p>
    <w:bookmarkEnd w:id="66"/>
    <w:bookmarkStart w:id="67" w:name="summary-2"/>
    <w:p>
      <w:pPr>
        <w:pStyle w:val="Heading2"/>
      </w:pPr>
      <w:bookmarkStart w:id="900024" w:name="_TocMP900024"/>
      <w:r>
        <w:t xml:space="preserve">Summary</w:t>
      </w:r>
      <w:bookmarkEnd w:id="900024"/>
    </w:p>
    <w:p>
      <w:pPr>
        <w:pStyle w:val="FirstParagraph"/>
      </w:pPr>
      <w:r>
        <w:t xml:space="preserve">MineProductivity adopts one canonical time model and one canonical definition each for availability (</w:t>
      </w:r>
      <w:r>
        <w:rPr>
          <w:rStyle w:val="VerbatimChar"/>
        </w:rPr>
        <w:t xml:space="preserve">UTIL.PA</w:t>
      </w:r>
      <w:r>
        <w:t xml:space="preserve">), utilisation (</w:t>
      </w:r>
      <w:r>
        <w:rPr>
          <w:rStyle w:val="VerbatimChar"/>
        </w:rPr>
        <w:t xml:space="preserve">UTIL.UA</w:t>
      </w:r>
      <w:r>
        <w:t xml:space="preserve">, </w:t>
      </w:r>
      <w:r>
        <w:rPr>
          <w:rStyle w:val="VerbatimChar"/>
        </w:rPr>
        <w:t xml:space="preserve">UTIL.EU</w:t>
      </w:r>
      <w:r>
        <w:t xml:space="preserve">), OEE (</w:t>
      </w:r>
      <w:r>
        <w:rPr>
          <w:rStyle w:val="VerbatimChar"/>
        </w:rPr>
        <w:t xml:space="preserve">UTIL.OEE</w:t>
      </w:r>
      <w:r>
        <w:t xml:space="preserve">), and delay classification (six MECE categories). Alternatives are implemented as their own KPIs, not as silent substitutes. External systems are mapped onto these canonical semantics at the connector — recomputing from time buckets when denominators differ — so numbers remain comparable across MineStar, DISPATCH, Wenco, and OEM reports.</w:t>
      </w:r>
    </w:p>
    <w:bookmarkEnd w:id="67"/>
    <w:bookmarkStart w:id="68" w:name="further-reading-2"/>
    <w:p>
      <w:pPr>
        <w:pStyle w:val="Heading2"/>
      </w:pPr>
      <w:bookmarkStart w:id="900025" w:name="_TocMP900025"/>
      <w:r>
        <w:t xml:space="preserve">Further Reading</w:t>
      </w:r>
      <w:bookmarkEnd w:id="900025"/>
    </w:p>
    <w:p>
      <w:pPr>
        <w:pStyle w:val="FirstParagraph"/>
      </w:pPr>
      <w:r>
        <w:t xml:space="preserve">Part II, Chapters 16–18 (FMS, operations, productivity concepts); the </w:t>
      </w:r>
      <w:r>
        <w:rPr>
          <w:rStyle w:val="VerbatimChar"/>
        </w:rPr>
        <w:t xml:space="preserve">UTIL</w:t>
      </w:r>
      <w:r>
        <w:t xml:space="preserve"> and </w:t>
      </w:r>
      <w:r>
        <w:rPr>
          <w:rStyle w:val="VerbatimChar"/>
        </w:rPr>
        <w:t xml:space="preserve">MAINT</w:t>
      </w:r>
      <w:r>
        <w:t xml:space="preserve"> entries in the Standard Library. Next: </w:t>
      </w:r>
      <w:r>
        <w:rPr>
          <w:bCs/>
          <w:b/>
        </w:rPr>
        <w:t xml:space="preserve">How to Read a KPI Entry</w:t>
      </w:r>
      <w:r>
        <w:t xml:space="preserve">.</w:t>
      </w:r>
    </w:p>
    <w:p>
      <w:r>
        <w:br w:type="page"/>
      </w:r>
    </w:p>
    <w:bookmarkEnd w:id="68"/>
    <w:bookmarkEnd w:id="69"/>
    <w:bookmarkStart w:id="75" w:name="how-to-read-a-kpi-entry"/>
    <w:p>
      <w:pPr>
        <w:pStyle w:val="Heading1"/>
      </w:pPr>
      <w:bookmarkStart w:id="900026" w:name="_TocMP900026"/>
      <w:r>
        <w:t xml:space="preserve">How to Read a KPI Entry</w:t>
      </w:r>
      <w:bookmarkEnd w:id="900026"/>
    </w:p>
    <w:p>
      <w:pPr>
        <w:pStyle w:val="LearningObjectives"/>
      </w:pPr>
      <w:r>
        <w:rPr>
          <w:bCs/>
          <w:b/>
        </w:rPr>
        <w:t xml:space="preserve">Learning Objectives.</w:t>
      </w:r>
      <w:r>
        <w:t xml:space="preserve"> After this short chapter you will be able to: navigate any KPI entry in the Standard Library; understand what each mandatory field guarantees; and use the reusable template to author a new, conforming KPI.</w:t>
      </w:r>
    </w:p>
    <w:bookmarkStart w:id="73" w:name="the-mandatory-template"/>
    <w:p>
      <w:pPr>
        <w:pStyle w:val="Heading2"/>
      </w:pPr>
      <w:bookmarkStart w:id="900027" w:name="_TocMP900027"/>
      <w:r>
        <w:t xml:space="preserve">The mandatory template</w:t>
      </w:r>
      <w:bookmarkEnd w:id="900027"/>
    </w:p>
    <w:p>
      <w:pPr>
        <w:pStyle w:val="FirstParagraph"/>
      </w:pPr>
      <w:r>
        <w:t xml:space="preserve">Every KPI in the Standard Library is documented with the </w:t>
      </w:r>
      <w:r>
        <w:rPr>
          <w:bCs/>
          <w:b/>
        </w:rPr>
        <w:t xml:space="preserve">same</w:t>
      </w:r>
      <w:r>
        <w:t xml:space="preserve"> fields, in the same order. The template is mandatory and admits no deviation — its uniformity is what lets a reader (or an agent) find any fact about any KPI in a fixed place.</w:t>
      </w:r>
    </w:p>
    <w:p>
      <w:pPr>
        <w:pStyle w:val="CaptionedFigure"/>
      </w:pPr>
      <w:r>
        <w:drawing>
          <wp:inline>
            <wp:extent cx="5334000" cy="4049888"/>
            <wp:effectExtent b="0" l="0" r="0" t="0"/>
            <wp:docPr descr="The reusable KPI entry template card: a fixed header (identifier, official name, units badge) followed by the mandatory sections — purpose and meaning; formula, units, dimensions; required events, ontology, dependencies; mathematical properties and calculation logic; Python implementation and expected output; worked example, dataset, visualization; operational interpretation; common mistakes, validation rules, unit tests; performance, edge cases, AI notes; Digital Twin and Decision Intelligence mapping; related KPIs and references." title="" id="71" name="Picture"/>
            <a:graphic>
              <a:graphicData uri="http://schemas.openxmlformats.org/drawingml/2006/picture">
                <pic:pic>
                  <pic:nvPicPr>
                    <pic:cNvPr descr="/home/claude/p3figs/p3_template_card.png" id="72" name="Picture"/>
                    <pic:cNvPicPr>
                      <a:picLocks noChangeArrowheads="1" noChangeAspect="1"/>
                    </pic:cNvPicPr>
                  </pic:nvPicPr>
                  <pic:blipFill>
                    <a:blip r:embed="rId70"/>
                    <a:stretch>
                      <a:fillRect/>
                    </a:stretch>
                  </pic:blipFill>
                  <pic:spPr bwMode="auto">
                    <a:xfrm>
                      <a:off x="0" y="0"/>
                      <a:ext cx="5334000" cy="4049888"/>
                    </a:xfrm>
                    <a:prstGeom prst="rect">
                      <a:avLst/>
                    </a:prstGeom>
                    <a:noFill/>
                    <a:ln w="9525">
                      <a:noFill/>
                      <a:headEnd/>
                      <a:tailEnd/>
                    </a:ln>
                  </pic:spPr>
                </pic:pic>
              </a:graphicData>
            </a:graphic>
          </wp:inline>
        </w:drawing>
      </w:r>
    </w:p>
    <w:p>
      <w:pPr>
        <w:pStyle w:val="ImageCaption"/>
      </w:pPr>
      <w:r>
        <w:t xml:space="preserve">The reusable KPI entry template card: a fixed header (identifier, official name, units badge) followed by the mandatory sections — purpose and meaning; formula, units, dimensions; required events, ontology, dependencies; mathematical properties and calculation logic; Python implementation and expected output; worked example, dataset, visualization; operational interpretation; common mistakes, validation rules, unit tests; performance, edge cases, AI notes; Digital Twin and Decision Intelligence mapping; related KPIs and references.</w:t>
      </w:r>
    </w:p>
    <w:p>
      <w:pPr>
        <w:pStyle w:val="BodyText"/>
      </w:pPr>
      <w:r>
        <w:t xml:space="preserve">The fields, and what each guarantees:</w:t>
      </w:r>
    </w:p>
    <w:tbl>
      <w:tblPr>
        <w:tblStyle w:val="Table"/>
        <w:tblW w:type="pct" w:w="5000"/>
        <w:tblLook w:firstRow="1" w:lastRow="0" w:firstColumn="0" w:lastColumn="0" w:noHBand="0" w:noVBand="0" w:val="0020"/>
        <w:jc w:val="start"/>
      </w:tblPr>
      <w:tblGrid>
        <w:gridCol w:w="3960"/>
        <w:gridCol w:w="3960"/>
      </w:tblGrid>
      <w:tr>
        <w:trPr>
          <w:tblHeader w:val="true"/>
        </w:trPr>
        <w:tc>
          <w:tcPr/>
          <w:p>
            <w:pPr>
              <w:pStyle w:val="Compact"/>
              <w:jc w:val="left"/>
            </w:pPr>
            <w:r>
              <w:t xml:space="preserve">Field</w:t>
            </w:r>
          </w:p>
        </w:tc>
        <w:tc>
          <w:tcPr/>
          <w:p>
            <w:pPr>
              <w:pStyle w:val="Compact"/>
              <w:jc w:val="left"/>
            </w:pPr>
            <w:r>
              <w:t xml:space="preserve">What it guarantees</w:t>
            </w:r>
          </w:p>
        </w:tc>
      </w:tr>
      <w:tr>
        <w:tc>
          <w:tcPr/>
          <w:p>
            <w:pPr>
              <w:pStyle w:val="Compact"/>
              <w:jc w:val="left"/>
            </w:pPr>
            <w:r>
              <w:t xml:space="preserve">Identifier · Official Name</w:t>
            </w:r>
          </w:p>
        </w:tc>
        <w:tc>
          <w:tcPr/>
          <w:p>
            <w:pPr>
              <w:pStyle w:val="Compact"/>
              <w:jc w:val="left"/>
            </w:pPr>
            <w:r>
              <w:t xml:space="preserve">the canonical </w:t>
            </w:r>
            <w:r>
              <w:rPr>
                <w:rStyle w:val="VerbatimChar"/>
              </w:rPr>
              <w:t xml:space="preserve">NAMESPACE.Name</w:t>
            </w:r>
            <w:r>
              <w:t xml:space="preserve"> and its human name</w:t>
            </w:r>
          </w:p>
        </w:tc>
      </w:tr>
      <w:tr>
        <w:tc>
          <w:tcPr/>
          <w:p>
            <w:pPr>
              <w:pStyle w:val="Compact"/>
              <w:jc w:val="left"/>
            </w:pPr>
            <w:r>
              <w:t xml:space="preserve">Business Purpose · Operational Question · Business Meaning</w:t>
            </w:r>
          </w:p>
        </w:tc>
        <w:tc>
          <w:tcPr/>
          <w:p>
            <w:pPr>
              <w:pStyle w:val="Compact"/>
              <w:jc w:val="left"/>
            </w:pPr>
            <w:r>
              <w:rPr>
                <w:iCs/>
                <w:i/>
              </w:rPr>
              <w:t xml:space="preserve">why</w:t>
            </w:r>
            <w:r>
              <w:t xml:space="preserve"> it exists, </w:t>
            </w:r>
            <w:r>
              <w:rPr>
                <w:iCs/>
                <w:i/>
              </w:rPr>
              <w:t xml:space="preserve">what question</w:t>
            </w:r>
            <w:r>
              <w:t xml:space="preserve"> it answers, and how to </w:t>
            </w:r>
            <w:r>
              <w:rPr>
                <w:iCs/>
                <w:i/>
              </w:rPr>
              <w:t xml:space="preserve">interpret</w:t>
            </w:r>
            <w:r>
              <w:t xml:space="preserve"> it</w:t>
            </w:r>
          </w:p>
        </w:tc>
      </w:tr>
      <w:tr>
        <w:tc>
          <w:tcPr/>
          <w:p>
            <w:pPr>
              <w:pStyle w:val="Compact"/>
              <w:jc w:val="left"/>
            </w:pPr>
            <w:r>
              <w:t xml:space="preserve">Formula · Units · Dimensions</w:t>
            </w:r>
          </w:p>
        </w:tc>
        <w:tc>
          <w:tcPr/>
          <w:p>
            <w:pPr>
              <w:pStyle w:val="Compact"/>
              <w:jc w:val="left"/>
            </w:pPr>
            <w:r>
              <w:t xml:space="preserve">the exact calculation, its units, and the axes it can be sliced by</w:t>
            </w:r>
          </w:p>
        </w:tc>
      </w:tr>
      <w:tr>
        <w:tc>
          <w:tcPr/>
          <w:p>
            <w:pPr>
              <w:pStyle w:val="Compact"/>
              <w:jc w:val="left"/>
            </w:pPr>
            <w:r>
              <w:t xml:space="preserve">Required Events · Required Ontology · Dependencies</w:t>
            </w:r>
          </w:p>
        </w:tc>
        <w:tc>
          <w:tcPr/>
          <w:p>
            <w:pPr>
              <w:pStyle w:val="Compact"/>
              <w:jc w:val="left"/>
            </w:pPr>
            <w:r>
              <w:t xml:space="preserve">precisely which events, entities, and prior KPIs it needs</w:t>
            </w:r>
          </w:p>
        </w:tc>
      </w:tr>
      <w:tr>
        <w:tc>
          <w:tcPr/>
          <w:p>
            <w:pPr>
              <w:pStyle w:val="Compact"/>
              <w:jc w:val="left"/>
            </w:pPr>
            <w:r>
              <w:t xml:space="preserve">Mathematical Properties · Calculation Logic</w:t>
            </w:r>
          </w:p>
        </w:tc>
        <w:tc>
          <w:tcPr/>
          <w:p>
            <w:pPr>
              <w:pStyle w:val="Compact"/>
              <w:jc w:val="left"/>
            </w:pPr>
            <w:r>
              <w:t xml:space="preserve">how it aggregates (additive, ratio, weighted…) and every calculation step</w:t>
            </w:r>
          </w:p>
        </w:tc>
      </w:tr>
      <w:tr>
        <w:tc>
          <w:tcPr/>
          <w:p>
            <w:pPr>
              <w:pStyle w:val="Compact"/>
              <w:jc w:val="left"/>
            </w:pPr>
            <w:r>
              <w:t xml:space="preserve">Python Implementation · Expected Output</w:t>
            </w:r>
          </w:p>
        </w:tc>
        <w:tc>
          <w:tcPr/>
          <w:p>
            <w:pPr>
              <w:pStyle w:val="Compact"/>
              <w:jc w:val="left"/>
            </w:pPr>
            <w:r>
              <w:t xml:space="preserve">production-quality, type-hinted code and what it returns</w:t>
            </w:r>
          </w:p>
        </w:tc>
      </w:tr>
      <w:tr>
        <w:tc>
          <w:tcPr/>
          <w:p>
            <w:pPr>
              <w:pStyle w:val="Compact"/>
              <w:jc w:val="left"/>
            </w:pPr>
            <w:r>
              <w:t xml:space="preserve">Worked Example · Sample Dataset · Visualization</w:t>
            </w:r>
          </w:p>
        </w:tc>
        <w:tc>
          <w:tcPr/>
          <w:p>
            <w:pPr>
              <w:pStyle w:val="Compact"/>
              <w:jc w:val="left"/>
            </w:pPr>
            <w:r>
              <w:t xml:space="preserve">a real scenario, a small realistic dataset, and recommended charts</w:t>
            </w:r>
          </w:p>
        </w:tc>
      </w:tr>
      <w:tr>
        <w:tc>
          <w:tcPr/>
          <w:p>
            <w:pPr>
              <w:pStyle w:val="Compact"/>
              <w:jc w:val="left"/>
            </w:pPr>
            <w:r>
              <w:t xml:space="preserve">Operational Interpretation</w:t>
            </w:r>
          </w:p>
        </w:tc>
        <w:tc>
          <w:tcPr/>
          <w:p>
            <w:pPr>
              <w:pStyle w:val="Compact"/>
              <w:jc w:val="left"/>
            </w:pPr>
            <w:r>
              <w:t xml:space="preserve">Good / Poor / Excellent / Critical bands and benchmark ranges</w:t>
            </w:r>
          </w:p>
        </w:tc>
      </w:tr>
      <w:tr>
        <w:tc>
          <w:tcPr/>
          <w:p>
            <w:pPr>
              <w:pStyle w:val="Compact"/>
              <w:jc w:val="left"/>
            </w:pPr>
            <w:r>
              <w:t xml:space="preserve">Common Mistakes · Validation Rules · Unit Tests</w:t>
            </w:r>
          </w:p>
        </w:tc>
        <w:tc>
          <w:tcPr/>
          <w:p>
            <w:pPr>
              <w:pStyle w:val="Compact"/>
              <w:jc w:val="left"/>
            </w:pPr>
            <w:r>
              <w:t xml:space="preserve">traps to avoid, invariants to enforce, and runnable pytest</w:t>
            </w:r>
          </w:p>
        </w:tc>
      </w:tr>
      <w:tr>
        <w:tc>
          <w:tcPr/>
          <w:p>
            <w:pPr>
              <w:pStyle w:val="Compact"/>
              <w:jc w:val="left"/>
            </w:pPr>
            <w:r>
              <w:t xml:space="preserve">Performance · Edge Cases · AI Contributor Notes</w:t>
            </w:r>
          </w:p>
        </w:tc>
        <w:tc>
          <w:tcPr/>
          <w:p>
            <w:pPr>
              <w:pStyle w:val="Compact"/>
              <w:jc w:val="left"/>
            </w:pPr>
            <w:r>
              <w:t xml:space="preserve">scaling notes, boundary behaviour, and contributor guidance</w:t>
            </w:r>
          </w:p>
        </w:tc>
      </w:tr>
      <w:tr>
        <w:tc>
          <w:tcPr/>
          <w:p>
            <w:pPr>
              <w:pStyle w:val="Compact"/>
              <w:jc w:val="left"/>
            </w:pPr>
            <w:r>
              <w:t xml:space="preserve">Digital Twin Mapping · Decision Intelligence Mapping</w:t>
            </w:r>
          </w:p>
        </w:tc>
        <w:tc>
          <w:tcPr/>
          <w:p>
            <w:pPr>
              <w:pStyle w:val="Compact"/>
              <w:jc w:val="left"/>
            </w:pPr>
            <w:r>
              <w:t xml:space="preserve">how the twin uses it and what decisions it drives</w:t>
            </w:r>
          </w:p>
        </w:tc>
      </w:tr>
      <w:tr>
        <w:tc>
          <w:tcPr/>
          <w:p>
            <w:pPr>
              <w:pStyle w:val="Compact"/>
              <w:jc w:val="left"/>
            </w:pPr>
            <w:r>
              <w:t xml:space="preserve">Related KPIs · References</w:t>
            </w:r>
          </w:p>
        </w:tc>
        <w:tc>
          <w:tcPr/>
          <w:p>
            <w:pPr>
              <w:pStyle w:val="Compact"/>
              <w:jc w:val="left"/>
            </w:pPr>
            <w:r>
              <w:t xml:space="preserve">neighbours in the graph and industry sources</w:t>
            </w:r>
          </w:p>
        </w:tc>
      </w:tr>
    </w:tbl>
    <w:p>
      <w:pPr>
        <w:pStyle w:val="BestPractice"/>
      </w:pPr>
      <w:r>
        <w:rPr>
          <w:bCs/>
          <w:b/>
        </w:rPr>
        <w:t xml:space="preserve">Best Practice.</w:t>
      </w:r>
      <w:r>
        <w:t xml:space="preserve"> To author a new KPI, copy the blank template in </w:t>
      </w:r>
      <w:r>
        <w:rPr>
          <w:bCs/>
          <w:b/>
        </w:rPr>
        <w:t xml:space="preserve">Appendix B</w:t>
      </w:r>
      <w:r>
        <w:t xml:space="preserve">, fill </w:t>
      </w:r>
      <w:r>
        <w:rPr>
          <w:iCs/>
          <w:i/>
        </w:rPr>
        <w:t xml:space="preserve">every</w:t>
      </w:r>
      <w:r>
        <w:t xml:space="preserve"> field, register it (Appendix A format), and add validated code and tests. A KPI entry with an empty field is incomplete and fails governance — completeness is the contract.</w:t>
      </w:r>
    </w:p>
    <w:p>
      <w:pPr>
        <w:pStyle w:val="BodyText"/>
      </w:pPr>
      <w:r>
        <w:t xml:space="preserve">The worked KPIs that follow demonstrate the template in full. Read one entry end-to-end to internalise the shape; thereafter you can jump to any field of any KPI directly.</w:t>
      </w:r>
    </w:p>
    <w:bookmarkEnd w:id="73"/>
    <w:bookmarkStart w:id="74" w:name="further-reading-3"/>
    <w:p>
      <w:pPr>
        <w:pStyle w:val="Heading2"/>
      </w:pPr>
      <w:bookmarkStart w:id="900028" w:name="_TocMP900028"/>
      <w:r>
        <w:t xml:space="preserve">Further Reading</w:t>
      </w:r>
      <w:bookmarkEnd w:id="900028"/>
    </w:p>
    <w:p>
      <w:pPr>
        <w:pStyle w:val="FirstParagraph"/>
      </w:pPr>
      <w:r>
        <w:t xml:space="preserve">Appendix B (the blank template); the Standard Library (worked entries). Next: </w:t>
      </w:r>
      <w:r>
        <w:rPr>
          <w:bCs/>
          <w:b/>
        </w:rPr>
        <w:t xml:space="preserve">The Standard Library</w:t>
      </w:r>
      <w:r>
        <w:t xml:space="preserve">.</w:t>
      </w:r>
    </w:p>
    <w:p>
      <w:r>
        <w:br w:type="page"/>
      </w:r>
    </w:p>
    <w:bookmarkEnd w:id="74"/>
    <w:bookmarkEnd w:id="75"/>
    <w:bookmarkStart w:id="124" w:name="the-standard-library"/>
    <w:p>
      <w:pPr>
        <w:pStyle w:val="Heading1"/>
      </w:pPr>
      <w:bookmarkStart w:id="900029" w:name="_TocMP900029"/>
      <w:r>
        <w:t xml:space="preserve">The Standard Library</w:t>
      </w:r>
      <w:bookmarkEnd w:id="900029"/>
    </w:p>
    <w:p>
      <w:pPr>
        <w:pStyle w:val="FirstParagraph"/>
      </w:pPr>
      <w:r>
        <w:t xml:space="preserve">The remainder of this document is the Standard Library: the canonical KPI entries, grouped by category. Each category opens with a conceptual overview, then presents its KPIs in the mandatory template. In this First Edition, a flagship KPI from every major category is worked in full; the complete catalogue — including KPIs scheduled for full write-up in later editions — is in </w:t>
      </w:r>
      <w:r>
        <w:rPr>
          <w:bCs/>
          <w:b/>
        </w:rPr>
        <w:t xml:space="preserve">Appendix A</w:t>
      </w:r>
      <w:r>
        <w:t xml:space="preserve">.</w:t>
      </w:r>
    </w:p>
    <w:bookmarkStart w:id="79" w:name="production-kpis"/>
    <w:p>
      <w:pPr>
        <w:pStyle w:val="Heading2"/>
      </w:pPr>
      <w:bookmarkStart w:id="900030" w:name="_TocMP900030"/>
      <w:r>
        <w:t xml:space="preserve">Production KPIs</w:t>
      </w:r>
      <w:bookmarkEnd w:id="900030"/>
    </w:p>
    <w:p>
      <w:pPr>
        <w:pStyle w:val="LearningObjectives"/>
      </w:pPr>
      <w:r>
        <w:rPr>
          <w:bCs/>
          <w:b/>
        </w:rPr>
        <w:t xml:space="preserve">Learning Objectives.</w:t>
      </w:r>
      <w:r>
        <w:t xml:space="preserve"> Understand the </w:t>
      </w:r>
      <w:r>
        <w:rPr>
          <w:rStyle w:val="VerbatimChar"/>
        </w:rPr>
        <w:t xml:space="preserve">PROD</w:t>
      </w:r>
      <w:r>
        <w:t xml:space="preserve"> namespace — the KPIs that answer “how much are we producing, how fast, and per cycle” — and be able to compute and interpret throughput, cycle time, and payload from </w:t>
      </w:r>
      <w:r>
        <w:rPr>
          <w:rStyle w:val="VerbatimChar"/>
        </w:rPr>
        <w:t xml:space="preserve">CycleEvent</w:t>
      </w:r>
      <w:r>
        <w:t xml:space="preserve"> data.</w:t>
      </w:r>
    </w:p>
    <w:p>
      <w:pPr>
        <w:pStyle w:val="BodyText"/>
      </w:pPr>
      <w:r>
        <w:t xml:space="preserve">Production KPIs measure the primary output of the mine: material moved and the rate at which it is moved. They are mostly </w:t>
      </w:r>
      <w:r>
        <w:rPr>
          <w:iCs/>
          <w:i/>
        </w:rPr>
        <w:t xml:space="preserve">lagging</w:t>
      </w:r>
      <w:r>
        <w:t xml:space="preserve"> and </w:t>
      </w:r>
      <w:r>
        <w:rPr>
          <w:iCs/>
          <w:i/>
        </w:rPr>
        <w:t xml:space="preserve">operational</w:t>
      </w:r>
      <w:r>
        <w:t xml:space="preserve">, read directly from </w:t>
      </w:r>
      <w:r>
        <w:rPr>
          <w:rStyle w:val="VerbatimChar"/>
        </w:rPr>
        <w:t xml:space="preserve">CycleEvent</w:t>
      </w:r>
      <w:r>
        <w:t xml:space="preserve"> streams, and form the base of the dependency graph — most other KPIs contextualise or explain what the production KPIs report. The three flagship entries below (</w:t>
      </w:r>
      <w:r>
        <w:rPr>
          <w:rStyle w:val="VerbatimChar"/>
        </w:rPr>
        <w:t xml:space="preserve">PROD.TPH</w:t>
      </w:r>
      <w:r>
        <w:t xml:space="preserve">, </w:t>
      </w:r>
      <w:r>
        <w:rPr>
          <w:rStyle w:val="VerbatimChar"/>
        </w:rPr>
        <w:t xml:space="preserve">PROD.TruckCycleTime</w:t>
      </w:r>
      <w:r>
        <w:t xml:space="preserve">, </w:t>
      </w:r>
      <w:r>
        <w:rPr>
          <w:rStyle w:val="VerbatimChar"/>
        </w:rPr>
        <w:t xml:space="preserve">PROD.Payload</w:t>
      </w:r>
      <w:r>
        <w:t xml:space="preserve">) are the foundation of fleet productivity analysis.</w:t>
      </w:r>
    </w:p>
    <w:bookmarkStart w:id="76" w:name="prod.tph-tonnes-per-hour"/>
    <w:p>
      <w:pPr>
        <w:pStyle w:val="Heading3"/>
      </w:pPr>
      <w:bookmarkStart w:id="900031" w:name="_TocMP900031"/>
      <w:r>
        <w:t xml:space="preserve">PROD.TPH — Tonnes Per Hour</w:t>
      </w:r>
      <w:bookmarkEnd w:id="900031"/>
    </w:p>
    <w:p>
      <w:pPr>
        <w:pStyle w:val="FirstParagraph"/>
      </w:pPr>
      <w:r>
        <w:rPr>
          <w:iCs/>
          <w:i/>
        </w:rPr>
        <w:t xml:space="preserve">This entry is the fully-detailed exemplar of the mandatory template. Later entries follow the identical structure.</w:t>
      </w:r>
    </w:p>
    <w:p>
      <w:pPr>
        <w:pStyle w:val="BodyText"/>
      </w:pPr>
      <w:r>
        <w:rPr>
          <w:bCs/>
          <w:b/>
        </w:rPr>
        <w:t xml:space="preserve">Identifier.</w:t>
      </w:r>
      <w:r>
        <w:t xml:space="preserve"> </w:t>
      </w:r>
      <w:r>
        <w:rPr>
          <w:rStyle w:val="VerbatimChar"/>
        </w:rPr>
        <w:t xml:space="preserve">PROD.TPH</w:t>
      </w:r>
      <w:r>
        <w:t xml:space="preserve"> · </w:t>
      </w:r>
      <w:r>
        <w:rPr>
          <w:bCs/>
          <w:b/>
        </w:rPr>
        <w:t xml:space="preserve">Official Name.</w:t>
      </w:r>
      <w:r>
        <w:t xml:space="preserve"> Tonnes Per Hour · </w:t>
      </w:r>
      <w:r>
        <w:rPr>
          <w:bCs/>
          <w:b/>
        </w:rPr>
        <w:t xml:space="preserve">Status.</w:t>
      </w:r>
      <w:r>
        <w:t xml:space="preserve"> Active · </w:t>
      </w:r>
      <w:r>
        <w:rPr>
          <w:bCs/>
          <w:b/>
        </w:rPr>
        <w:t xml:space="preserve">Version.</w:t>
      </w:r>
      <w:r>
        <w:t xml:space="preserve"> 1.0.0</w:t>
      </w:r>
    </w:p>
    <w:p>
      <w:pPr>
        <w:pStyle w:val="BodyText"/>
      </w:pPr>
      <w:r>
        <w:rPr>
          <w:bCs/>
          <w:b/>
        </w:rPr>
        <w:t xml:space="preserve">Business Purpose.</w:t>
      </w:r>
      <w:r>
        <w:t xml:space="preserve"> Throughput rate is the single most-watched production number in mining: it is how a mine knows, hour by hour, whether it will meet the shift plan. </w:t>
      </w:r>
      <w:r>
        <w:rPr>
          <w:rStyle w:val="VerbatimChar"/>
        </w:rPr>
        <w:t xml:space="preserve">PROD.TPH</w:t>
      </w:r>
      <w:r>
        <w:t xml:space="preserve"> exists to express productive output as a rate that is comparable across equipment, fleets, pits, and time periods.</w:t>
      </w:r>
    </w:p>
    <w:p>
      <w:pPr>
        <w:pStyle w:val="BodyText"/>
      </w:pPr>
      <w:r>
        <w:rPr>
          <w:bCs/>
          <w:b/>
        </w:rPr>
        <w:t xml:space="preserve">Operational Question.</w:t>
      </w:r>
      <w:r>
        <w:t xml:space="preserve"> </w:t>
      </w:r>
      <w:r>
        <w:rPr>
          <w:iCs/>
          <w:i/>
        </w:rPr>
        <w:t xml:space="preserve">At what rate is this asset (or fleet, or pit) producing material?</w:t>
      </w:r>
    </w:p>
    <w:p>
      <w:pPr>
        <w:pStyle w:val="BodyText"/>
      </w:pPr>
      <w:r>
        <w:rPr>
          <w:bCs/>
          <w:b/>
        </w:rPr>
        <w:t xml:space="preserve">Business Meaning.</w:t>
      </w:r>
      <w:r>
        <w:t xml:space="preserve"> A higher, stable TPH means the production chain is converting operating time into output efficiently. A falling TPH signals a developing constraint — a queue, a plant slowdown, poor fragmentation — long before the shift total confirms a miss. It is read against a target rate derived from the plan.</w:t>
      </w:r>
    </w:p>
    <w:p>
      <w:pPr>
        <w:pStyle w:val="BodyText"/>
      </w:pPr>
      <w:r>
        <w:rPr>
          <w:bCs/>
          <w:b/>
        </w:rPr>
        <w:t xml:space="preserve">Formula.</w:t>
      </w:r>
    </w:p>
    <w:p>
      <w:pPr>
        <w:pStyle w:val="SourceCode"/>
      </w:pPr>
      <w:r>
        <w:rPr>
          <w:rStyle w:val="VerbatimChar"/>
        </w:rPr>
        <w:t xml:space="preserve">PROD.TPH  =  Tonnes produced  ÷  Operating hours          [t/h]</w:t>
      </w:r>
    </w:p>
    <w:p>
      <w:pPr>
        <w:pStyle w:val="FirstParagraph"/>
      </w:pPr>
      <w:r>
        <w:rPr>
          <w:bCs/>
          <w:b/>
        </w:rPr>
        <w:t xml:space="preserve">Units.</w:t>
      </w:r>
      <w:r>
        <w:t xml:space="preserve"> t/h (tonnes per hour). For volumetric operations a sibling </w:t>
      </w:r>
      <w:r>
        <w:rPr>
          <w:rStyle w:val="VerbatimChar"/>
        </w:rPr>
        <w:t xml:space="preserve">PROD.BCMPerHour</w:t>
      </w:r>
      <w:r>
        <w:t xml:space="preserve"> uses bank cubic metres per hour (BCM/h).</w:t>
      </w:r>
    </w:p>
    <w:p>
      <w:pPr>
        <w:pStyle w:val="BodyText"/>
      </w:pPr>
      <w:r>
        <w:rPr>
          <w:bCs/>
          <w:b/>
        </w:rPr>
        <w:t xml:space="preserve">Dimensions.</w:t>
      </w:r>
      <w:r>
        <w:t xml:space="preserve"> Shift · Day · Week · Month · Year · Equipment · Fleet · Pit · Bench · Operator · Mine · Commodity · Contractor.</w:t>
      </w:r>
    </w:p>
    <w:p>
      <w:pPr>
        <w:pStyle w:val="BodyText"/>
      </w:pPr>
      <w:r>
        <w:rPr>
          <w:bCs/>
          <w:b/>
        </w:rPr>
        <w:t xml:space="preserve">Required Events.</w:t>
      </w:r>
      <w:r>
        <w:t xml:space="preserve"> </w:t>
      </w:r>
      <w:r>
        <w:rPr>
          <w:rStyle w:val="VerbatimChar"/>
        </w:rPr>
        <w:t xml:space="preserve">CycleEvent</w:t>
      </w:r>
      <w:r>
        <w:t xml:space="preserve"> (supplies </w:t>
      </w:r>
      <w:r>
        <w:rPr>
          <w:rStyle w:val="VerbatimChar"/>
        </w:rPr>
        <w:t xml:space="preserve">payload_t</w:t>
      </w:r>
      <w:r>
        <w:t xml:space="preserve"> and the timing that yields operating hours). Optionally </w:t>
      </w:r>
      <w:r>
        <w:rPr>
          <w:rStyle w:val="VerbatimChar"/>
        </w:rPr>
        <w:t xml:space="preserve">DelayEvent</w:t>
      </w:r>
      <w:r>
        <w:t xml:space="preserve"> to separate operating from non-operating time.</w:t>
      </w:r>
    </w:p>
    <w:p>
      <w:pPr>
        <w:pStyle w:val="BodyText"/>
      </w:pPr>
      <w:r>
        <w:rPr>
          <w:bCs/>
          <w:b/>
        </w:rPr>
        <w:t xml:space="preserve">Required Ontology.</w:t>
      </w:r>
      <w:r>
        <w:t xml:space="preserve"> </w:t>
      </w:r>
      <w:r>
        <w:rPr>
          <w:rStyle w:val="VerbatimChar"/>
        </w:rPr>
        <w:t xml:space="preserve">Equipment</w:t>
      </w:r>
      <w:r>
        <w:t xml:space="preserve"> (and its roll-up to </w:t>
      </w:r>
      <w:r>
        <w:rPr>
          <w:rStyle w:val="VerbatimChar"/>
        </w:rPr>
        <w:t xml:space="preserve">Fleet</w:t>
      </w:r>
      <w:r>
        <w:t xml:space="preserve">, </w:t>
      </w:r>
      <w:r>
        <w:rPr>
          <w:rStyle w:val="VerbatimChar"/>
        </w:rPr>
        <w:t xml:space="preserve">Pit</w:t>
      </w:r>
      <w:r>
        <w:t xml:space="preserve">, </w:t>
      </w:r>
      <w:r>
        <w:rPr>
          <w:rStyle w:val="VerbatimChar"/>
        </w:rPr>
        <w:t xml:space="preserve">Mine</w:t>
      </w:r>
      <w:r>
        <w:t xml:space="preserve">); </w:t>
      </w:r>
      <w:r>
        <w:rPr>
          <w:rStyle w:val="VerbatimChar"/>
        </w:rPr>
        <w:t xml:space="preserve">Shift</w:t>
      </w:r>
      <w:r>
        <w:t xml:space="preserve"> for period scoping; </w:t>
      </w:r>
      <w:r>
        <w:rPr>
          <w:rStyle w:val="VerbatimChar"/>
        </w:rPr>
        <w:t xml:space="preserve">Material</w:t>
      </w:r>
      <w:r>
        <w:t xml:space="preserve">/</w:t>
      </w:r>
      <w:r>
        <w:rPr>
          <w:rStyle w:val="VerbatimChar"/>
        </w:rPr>
        <w:t xml:space="preserve">Destination</w:t>
      </w:r>
      <w:r>
        <w:t xml:space="preserve"> to distinguish ore from waste.</w:t>
      </w:r>
    </w:p>
    <w:p>
      <w:pPr>
        <w:pStyle w:val="BodyText"/>
      </w:pPr>
      <w:r>
        <w:rPr>
          <w:bCs/>
          <w:b/>
        </w:rPr>
        <w:t xml:space="preserve">Dependencies.</w:t>
      </w:r>
      <w:r>
        <w:t xml:space="preserve"> None (base KPI). It is, however, a dependency </w:t>
      </w:r>
      <w:r>
        <w:rPr>
          <w:iCs/>
          <w:i/>
        </w:rPr>
        <w:t xml:space="preserve">of</w:t>
      </w:r>
      <w:r>
        <w:t xml:space="preserve"> many contextual KPIs (plan attainment, cost per tonne).</w:t>
      </w:r>
    </w:p>
    <w:p>
      <w:pPr>
        <w:pStyle w:val="BodyText"/>
      </w:pPr>
      <w:r>
        <w:rPr>
          <w:bCs/>
          <w:b/>
        </w:rPr>
        <w:t xml:space="preserve">Mathematical Properties.</w:t>
      </w:r>
      <w:r>
        <w:t xml:space="preserve"> Ratio KPI. The numerator (tonnes) is additive; the denominator (operating hours) is additive; the ratio itself is </w:t>
      </w:r>
      <w:r>
        <w:rPr>
          <w:bCs/>
          <w:b/>
        </w:rPr>
        <w:t xml:space="preserve">not</w:t>
      </w:r>
      <w:r>
        <w:t xml:space="preserve"> additive and must be recomputed at each aggregation level (never averaged from sub-level TPHs). Supports rolling and cumulative windows.</w:t>
      </w:r>
    </w:p>
    <w:p>
      <w:pPr>
        <w:pStyle w:val="BodyText"/>
      </w:pPr>
      <w:r>
        <w:rPr>
          <w:bCs/>
          <w:b/>
        </w:rPr>
        <w:t xml:space="preserve">Calculation Logic.</w:t>
      </w:r>
      <w:r>
        <w:t xml:space="preserve"> (1) Select </w:t>
      </w:r>
      <w:r>
        <w:rPr>
          <w:rStyle w:val="VerbatimChar"/>
        </w:rPr>
        <w:t xml:space="preserve">CycleEvent</w:t>
      </w:r>
      <w:r>
        <w:t xml:space="preserve">s in scope (period, equipment, material). (2) Sum </w:t>
      </w:r>
      <w:r>
        <w:rPr>
          <w:rStyle w:val="VerbatimChar"/>
        </w:rPr>
        <w:t xml:space="preserve">payload_t</w:t>
      </w:r>
      <w:r>
        <w:t xml:space="preserve"> to get tonnes. (3) Determine operating hours for the same scope (from cycle timing, net of non-operating delay). (4) Divide tonnes by operating hours. (5) Attach scope metadata for slicing.</w:t>
      </w:r>
    </w:p>
    <w:p>
      <w:pPr>
        <w:pStyle w:val="BodyText"/>
      </w:pPr>
      <w:r>
        <w:rPr>
          <w:bCs/>
          <w:b/>
        </w:rPr>
        <w:t xml:space="preserve">Python Implementation.</w:t>
      </w:r>
    </w:p>
    <w:p>
      <w:pPr>
        <w:pStyle w:val="SourceCode"/>
      </w:pPr>
      <w:r>
        <w:rPr>
          <w:rStyle w:val="KeywordTok"/>
        </w:rPr>
        <w:t xml:space="preserve">def</w:t>
      </w:r>
      <w:r>
        <w:rPr>
          <w:rStyle w:val="NormalTok"/>
        </w:rPr>
        <w:t xml:space="preserve"> tonnes_per_hour(tonnes: </w:t>
      </w:r>
      <w:r>
        <w:rPr>
          <w:rStyle w:val="BuiltInTok"/>
        </w:rPr>
        <w:t xml:space="preserve">float</w:t>
      </w:r>
      <w:r>
        <w:rPr>
          <w:rStyle w:val="NormalTok"/>
        </w:rPr>
        <w:t xml:space="preserve">, operating_hours: </w:t>
      </w:r>
      <w:r>
        <w:rPr>
          <w:rStyle w:val="BuiltInTok"/>
        </w:rPr>
        <w:t xml:space="preserve">float</w:t>
      </w:r>
      <w:r>
        <w:rPr>
          <w:rStyle w:val="NormalTok"/>
        </w:rPr>
        <w:t xml:space="preserve">) </w:t>
      </w:r>
      <w:r>
        <w:rPr>
          <w:rStyle w:val="OperatorTok"/>
        </w:rPr>
        <w:t xml:space="preserve">-&gt;</w:t>
      </w:r>
      <w:r>
        <w:rPr>
          <w:rStyle w:val="NormalTok"/>
        </w:rPr>
        <w:t xml:space="preserve"> </w:t>
      </w:r>
      <w:r>
        <w:rPr>
          <w:rStyle w:val="BuiltInTok"/>
        </w:rPr>
        <w:t xml:space="preserve">float</w:t>
      </w:r>
      <w:r>
        <w:rPr>
          <w:rStyle w:val="NormalTok"/>
        </w:rPr>
        <w:t xml:space="preserve">:</w:t>
      </w:r>
      <w:r>
        <w:br/>
      </w:r>
      <w:r>
        <w:rPr>
          <w:rStyle w:val="NormalTok"/>
        </w:rPr>
        <w:t xml:space="preserve">    </w:t>
      </w:r>
      <w:r>
        <w:rPr>
          <w:rStyle w:val="CommentTok"/>
        </w:rPr>
        <w:t xml:space="preserve">"""PROD.TPH — productive throughput rate (t/h)."""</w:t>
      </w:r>
      <w:r>
        <w:br/>
      </w:r>
      <w:r>
        <w:rPr>
          <w:rStyle w:val="NormalTok"/>
        </w:rPr>
        <w:t xml:space="preserve">    </w:t>
      </w:r>
      <w:r>
        <w:rPr>
          <w:rStyle w:val="ControlFlowTok"/>
        </w:rPr>
        <w:t xml:space="preserve">if</w:t>
      </w:r>
      <w:r>
        <w:rPr>
          <w:rStyle w:val="NormalTok"/>
        </w:rPr>
        <w:t xml:space="preserve"> operating_hours </w:t>
      </w:r>
      <w:r>
        <w:rPr>
          <w:rStyle w:val="OperatorTok"/>
        </w:rPr>
        <w:t xml:space="preserve">&lt;=</w:t>
      </w:r>
      <w:r>
        <w:rPr>
          <w:rStyle w:val="NormalTok"/>
        </w:rPr>
        <w:t xml:space="preserve"> </w:t>
      </w:r>
      <w:r>
        <w:rPr>
          <w:rStyle w:val="DecValTok"/>
        </w:rPr>
        <w:t xml:space="preserve">0</w:t>
      </w:r>
      <w:r>
        <w:rPr>
          <w:rStyle w:val="NormalTok"/>
        </w:rPr>
        <w:t xml:space="preserve">:</w:t>
      </w:r>
      <w:r>
        <w:br/>
      </w:r>
      <w:r>
        <w:rPr>
          <w:rStyle w:val="NormalTok"/>
        </w:rPr>
        <w:t xml:space="preserve">        </w:t>
      </w:r>
      <w:r>
        <w:rPr>
          <w:rStyle w:val="ControlFlowTok"/>
        </w:rPr>
        <w:t xml:space="preserve">raise</w:t>
      </w:r>
      <w:r>
        <w:rPr>
          <w:rStyle w:val="NormalTok"/>
        </w:rPr>
        <w:t xml:space="preserve"> </w:t>
      </w:r>
      <w:r>
        <w:rPr>
          <w:rStyle w:val="PreprocessorTok"/>
        </w:rPr>
        <w:t xml:space="preserve">ValueError</w:t>
      </w:r>
      <w:r>
        <w:rPr>
          <w:rStyle w:val="NormalTok"/>
        </w:rPr>
        <w:t xml:space="preserve">(</w:t>
      </w:r>
      <w:r>
        <w:rPr>
          <w:rStyle w:val="StringTok"/>
        </w:rPr>
        <w:t xml:space="preserve">"operating_hours must be &gt; 0"</w:t>
      </w:r>
      <w:r>
        <w:rPr>
          <w:rStyle w:val="NormalTok"/>
        </w:rPr>
        <w:t xml:space="preserve">)</w:t>
      </w:r>
      <w:r>
        <w:br/>
      </w:r>
      <w:r>
        <w:rPr>
          <w:rStyle w:val="NormalTok"/>
        </w:rPr>
        <w:t xml:space="preserve">    </w:t>
      </w:r>
      <w:r>
        <w:rPr>
          <w:rStyle w:val="ControlFlowTok"/>
        </w:rPr>
        <w:t xml:space="preserve">return</w:t>
      </w:r>
      <w:r>
        <w:rPr>
          <w:rStyle w:val="NormalTok"/>
        </w:rPr>
        <w:t xml:space="preserve"> tonnes </w:t>
      </w:r>
      <w:r>
        <w:rPr>
          <w:rStyle w:val="OperatorTok"/>
        </w:rPr>
        <w:t xml:space="preserve">/</w:t>
      </w:r>
      <w:r>
        <w:rPr>
          <w:rStyle w:val="NormalTok"/>
        </w:rPr>
        <w:t xml:space="preserve"> operating_hours</w:t>
      </w:r>
    </w:p>
    <w:p>
      <w:pPr>
        <w:pStyle w:val="FirstParagraph"/>
      </w:pPr>
      <w:r>
        <w:rPr>
          <w:bCs/>
          <w:b/>
        </w:rPr>
        <w:t xml:space="preserve">Expected Output.</w:t>
      </w:r>
      <w:r>
        <w:t xml:space="preserve"> A non-negative float in t/h. For the worked example below: </w:t>
      </w:r>
      <w:r>
        <w:rPr>
          <w:rStyle w:val="VerbatimChar"/>
        </w:rPr>
        <w:t xml:space="preserve">1212.12</w:t>
      </w:r>
      <w:r>
        <w:t xml:space="preserve">.</w:t>
      </w:r>
    </w:p>
    <w:p>
      <w:pPr>
        <w:pStyle w:val="BodyText"/>
      </w:pPr>
      <w:r>
        <w:rPr>
          <w:bCs/>
          <w:b/>
        </w:rPr>
        <w:t xml:space="preserve">Worked Example.</w:t>
      </w:r>
      <w:r>
        <w:t xml:space="preserve"> Bingham West, Bench 7 night shift: a fleet moves </w:t>
      </w:r>
      <w:r>
        <w:rPr>
          <w:bCs/>
          <w:b/>
        </w:rPr>
        <w:t xml:space="preserve">36,000 t</w:t>
      </w:r>
      <w:r>
        <w:t xml:space="preserve"> of ore in </w:t>
      </w:r>
      <w:r>
        <w:rPr>
          <w:bCs/>
          <w:b/>
        </w:rPr>
        <w:t xml:space="preserve">29.7 operating hours</w:t>
      </w:r>
      <w:r>
        <w:t xml:space="preserve"> (30.0 scheduled hours less 0.3 h of non-operating delay). </w:t>
      </w:r>
      <w:r>
        <w:rPr>
          <w:rStyle w:val="VerbatimChar"/>
        </w:rPr>
        <w:t xml:space="preserve">tonnes_per_hour(36000, 29.7)</w:t>
      </w:r>
      <w:r>
        <w:t xml:space="preserve"> → </w:t>
      </w:r>
      <w:r>
        <w:rPr>
          <w:bCs/>
          <w:b/>
        </w:rPr>
        <w:t xml:space="preserve">1212.1 t/h</w:t>
      </w:r>
      <w:r>
        <w:t xml:space="preserve">, against a plan rate of 1,250 t/h — a ~3% shortfall consistent with the mid-shift crusher trip recorded that night.</w:t>
      </w:r>
    </w:p>
    <w:p>
      <w:pPr>
        <w:pStyle w:val="BodyText"/>
      </w:pPr>
      <w:r>
        <w:rPr>
          <w:bCs/>
          <w:b/>
        </w:rPr>
        <w:t xml:space="preserve">Sample Dataset.</w:t>
      </w:r>
    </w:p>
    <w:tbl>
      <w:tblPr>
        <w:tblStyle w:val="Table"/>
        <w:tblW w:type="auto" w:w="0"/>
        <w:tblLook w:firstRow="1" w:lastRow="0" w:firstColumn="0" w:lastColumn="0" w:noHBand="0" w:noVBand="0" w:val="0020"/>
        <w:jc w:val="start"/>
      </w:tblPr>
      <w:tblGrid>
        <w:gridCol w:w="1980"/>
        <w:gridCol w:w="1980"/>
        <w:gridCol w:w="1980"/>
        <w:gridCol w:w="1980"/>
      </w:tblGrid>
      <w:tr>
        <w:trPr>
          <w:tblHeader w:val="true"/>
        </w:trPr>
        <w:tc>
          <w:tcPr/>
          <w:p>
            <w:pPr>
              <w:pStyle w:val="Compact"/>
              <w:jc w:val="left"/>
            </w:pPr>
            <w:r>
              <w:t xml:space="preserve">shift</w:t>
            </w:r>
          </w:p>
        </w:tc>
        <w:tc>
          <w:tcPr/>
          <w:p>
            <w:pPr>
              <w:pStyle w:val="Compact"/>
              <w:jc w:val="left"/>
            </w:pPr>
            <w:r>
              <w:t xml:space="preserve">equipment</w:t>
            </w:r>
          </w:p>
        </w:tc>
        <w:tc>
          <w:tcPr/>
          <w:p>
            <w:pPr>
              <w:pStyle w:val="Compact"/>
              <w:jc w:val="left"/>
            </w:pPr>
            <w:r>
              <w:t xml:space="preserve">payload_t</w:t>
            </w:r>
          </w:p>
        </w:tc>
        <w:tc>
          <w:tcPr/>
          <w:p>
            <w:pPr>
              <w:pStyle w:val="Compact"/>
              <w:jc w:val="left"/>
            </w:pPr>
            <w:r>
              <w:t xml:space="preserve">operating_h</w:t>
            </w:r>
          </w:p>
        </w:tc>
      </w:tr>
      <w:tr>
        <w:tc>
          <w:tcPr/>
          <w:p>
            <w:pPr>
              <w:pStyle w:val="Compact"/>
              <w:jc w:val="left"/>
            </w:pPr>
            <w:r>
              <w:t xml:space="preserve">N-07-01</w:t>
            </w:r>
          </w:p>
        </w:tc>
        <w:tc>
          <w:tcPr/>
          <w:p>
            <w:pPr>
              <w:pStyle w:val="Compact"/>
              <w:jc w:val="left"/>
            </w:pPr>
            <w:r>
              <w:t xml:space="preserve">fleet (Bench 7)</w:t>
            </w:r>
          </w:p>
        </w:tc>
        <w:tc>
          <w:tcPr/>
          <w:p>
            <w:pPr>
              <w:pStyle w:val="Compact"/>
              <w:jc w:val="left"/>
            </w:pPr>
            <w:r>
              <w:t xml:space="preserve">36000</w:t>
            </w:r>
          </w:p>
        </w:tc>
        <w:tc>
          <w:tcPr/>
          <w:p>
            <w:pPr>
              <w:pStyle w:val="Compact"/>
              <w:jc w:val="left"/>
            </w:pPr>
            <w:r>
              <w:t xml:space="preserve">29.7</w:t>
            </w:r>
          </w:p>
        </w:tc>
      </w:tr>
      <w:tr>
        <w:tc>
          <w:tcPr/>
          <w:p>
            <w:pPr>
              <w:pStyle w:val="Compact"/>
              <w:jc w:val="left"/>
            </w:pPr>
            <w:r>
              <w:t xml:space="preserve">D-07-02</w:t>
            </w:r>
          </w:p>
        </w:tc>
        <w:tc>
          <w:tcPr/>
          <w:p>
            <w:pPr>
              <w:pStyle w:val="Compact"/>
              <w:jc w:val="left"/>
            </w:pPr>
            <w:r>
              <w:t xml:space="preserve">fleet (Bench 7)</w:t>
            </w:r>
          </w:p>
        </w:tc>
        <w:tc>
          <w:tcPr/>
          <w:p>
            <w:pPr>
              <w:pStyle w:val="Compact"/>
              <w:jc w:val="left"/>
            </w:pPr>
            <w:r>
              <w:t xml:space="preserve">39100</w:t>
            </w:r>
          </w:p>
        </w:tc>
        <w:tc>
          <w:tcPr/>
          <w:p>
            <w:pPr>
              <w:pStyle w:val="Compact"/>
              <w:jc w:val="left"/>
            </w:pPr>
            <w:r>
              <w:t xml:space="preserve">30.0</w:t>
            </w:r>
          </w:p>
        </w:tc>
      </w:tr>
      <w:tr>
        <w:tc>
          <w:tcPr/>
          <w:p>
            <w:pPr>
              <w:pStyle w:val="Compact"/>
              <w:jc w:val="left"/>
            </w:pPr>
            <w:r>
              <w:t xml:space="preserve">N-07-02</w:t>
            </w:r>
          </w:p>
        </w:tc>
        <w:tc>
          <w:tcPr/>
          <w:p>
            <w:pPr>
              <w:pStyle w:val="Compact"/>
              <w:jc w:val="left"/>
            </w:pPr>
            <w:r>
              <w:t xml:space="preserve">fleet (Bench 7)</w:t>
            </w:r>
          </w:p>
        </w:tc>
        <w:tc>
          <w:tcPr/>
          <w:p>
            <w:pPr>
              <w:pStyle w:val="Compact"/>
              <w:jc w:val="left"/>
            </w:pPr>
            <w:r>
              <w:t xml:space="preserve">34250</w:t>
            </w:r>
          </w:p>
        </w:tc>
        <w:tc>
          <w:tcPr/>
          <w:p>
            <w:pPr>
              <w:pStyle w:val="Compact"/>
              <w:jc w:val="left"/>
            </w:pPr>
            <w:r>
              <w:t xml:space="preserve">28.4</w:t>
            </w:r>
          </w:p>
        </w:tc>
      </w:tr>
    </w:tbl>
    <w:p>
      <w:pPr>
        <w:pStyle w:val="BodyText"/>
      </w:pPr>
      <w:r>
        <w:rPr>
          <w:bCs/>
          <w:b/>
        </w:rPr>
        <w:t xml:space="preserve">Visualization.</w:t>
      </w:r>
      <w:r>
        <w:t xml:space="preserve"> A time-series of TPH per shift with the plan rate as a reference line (spot developing shortfalls); a bar chart of TPH by equipment for a shift (spot under-performers). Never a pie chart — TPH is a rate, not a share.</w:t>
      </w:r>
    </w:p>
    <w:p>
      <w:pPr>
        <w:pStyle w:val="BodyText"/>
      </w:pPr>
      <w:r>
        <w:rPr>
          <w:bCs/>
          <w:b/>
        </w:rPr>
        <w:t xml:space="preserve">Operational Interpretation.</w:t>
      </w:r>
    </w:p>
    <w:tbl>
      <w:tblPr>
        <w:tblStyle w:val="Table"/>
        <w:tblW w:type="auto" w:w="0"/>
        <w:tblLook w:firstRow="1" w:lastRow="0" w:firstColumn="0" w:lastColumn="0" w:noHBand="0" w:noVBand="0" w:val="0020"/>
        <w:jc w:val="start"/>
      </w:tblPr>
      <w:tblGrid>
        <w:gridCol w:w="3960"/>
        <w:gridCol w:w="3960"/>
      </w:tblGrid>
      <w:tr>
        <w:trPr>
          <w:tblHeader w:val="true"/>
        </w:trPr>
        <w:tc>
          <w:tcPr/>
          <w:p>
            <w:pPr>
              <w:pStyle w:val="Compact"/>
              <w:jc w:val="left"/>
            </w:pPr>
            <w:r>
              <w:t xml:space="preserve">Band</w:t>
            </w:r>
          </w:p>
        </w:tc>
        <w:tc>
          <w:tcPr/>
          <w:p>
            <w:pPr>
              <w:pStyle w:val="Compact"/>
              <w:jc w:val="left"/>
            </w:pPr>
            <w:r>
              <w:t xml:space="preserve">Guidance (relative to planned rate)</w:t>
            </w:r>
          </w:p>
        </w:tc>
      </w:tr>
      <w:tr>
        <w:tc>
          <w:tcPr/>
          <w:p>
            <w:pPr>
              <w:pStyle w:val="Compact"/>
              <w:jc w:val="left"/>
            </w:pPr>
            <w:r>
              <w:t xml:space="preserve">Excellent</w:t>
            </w:r>
          </w:p>
        </w:tc>
        <w:tc>
          <w:tcPr/>
          <w:p>
            <w:pPr>
              <w:pStyle w:val="Compact"/>
              <w:jc w:val="left"/>
            </w:pPr>
            <w:r>
              <w:t xml:space="preserve">≥ 100% of plan rate, sustained</w:t>
            </w:r>
          </w:p>
        </w:tc>
      </w:tr>
      <w:tr>
        <w:tc>
          <w:tcPr/>
          <w:p>
            <w:pPr>
              <w:pStyle w:val="Compact"/>
              <w:jc w:val="left"/>
            </w:pPr>
            <w:r>
              <w:t xml:space="preserve">Good</w:t>
            </w:r>
          </w:p>
        </w:tc>
        <w:tc>
          <w:tcPr/>
          <w:p>
            <w:pPr>
              <w:pStyle w:val="Compact"/>
              <w:jc w:val="left"/>
            </w:pPr>
            <w:r>
              <w:t xml:space="preserve">95–100% of plan rate</w:t>
            </w:r>
          </w:p>
        </w:tc>
      </w:tr>
      <w:tr>
        <w:tc>
          <w:tcPr/>
          <w:p>
            <w:pPr>
              <w:pStyle w:val="Compact"/>
              <w:jc w:val="left"/>
            </w:pPr>
            <w:r>
              <w:t xml:space="preserve">Poor</w:t>
            </w:r>
          </w:p>
        </w:tc>
        <w:tc>
          <w:tcPr/>
          <w:p>
            <w:pPr>
              <w:pStyle w:val="Compact"/>
              <w:jc w:val="left"/>
            </w:pPr>
            <w:r>
              <w:t xml:space="preserve">85–95% — investigate the binding constraint</w:t>
            </w:r>
          </w:p>
        </w:tc>
      </w:tr>
      <w:tr>
        <w:tc>
          <w:tcPr/>
          <w:p>
            <w:pPr>
              <w:pStyle w:val="Compact"/>
              <w:jc w:val="left"/>
            </w:pPr>
            <w:r>
              <w:t xml:space="preserve">Critical</w:t>
            </w:r>
          </w:p>
        </w:tc>
        <w:tc>
          <w:tcPr/>
          <w:p>
            <w:pPr>
              <w:pStyle w:val="Compact"/>
              <w:jc w:val="left"/>
            </w:pPr>
            <w:r>
              <w:t xml:space="preserve">&lt; 85% — active loss; escalate this shift</w:t>
            </w:r>
          </w:p>
        </w:tc>
      </w:tr>
    </w:tbl>
    <w:p>
      <w:pPr>
        <w:pStyle w:val="BodyText"/>
      </w:pPr>
      <w:r>
        <w:t xml:space="preserve">Benchmark ranges are commodity- and equipment-specific (a 240 t iron-ore truck fleet and a 100 t gold-mine fleet have very different absolute TPH); always interpret against the site’s own plan rate, not another mine’s.</w:t>
      </w:r>
    </w:p>
    <w:p>
      <w:pPr>
        <w:pStyle w:val="BodyText"/>
      </w:pPr>
      <w:r>
        <w:rPr>
          <w:bCs/>
          <w:b/>
        </w:rPr>
        <w:t xml:space="preserve">Common Mistakes.</w:t>
      </w:r>
      <w:r>
        <w:t xml:space="preserve"> Averaging sub-level TPHs to get a higher-level TPH (wrong — recompute from summed tonnes and hours). Mixing scheduled and operating hours in the denominator (that is utilisation, not throughput). Combining ore and waste tonnes when the target is ore TPH.</w:t>
      </w:r>
    </w:p>
    <w:p>
      <w:pPr>
        <w:pStyle w:val="BodyText"/>
      </w:pPr>
      <w:r>
        <w:rPr>
          <w:bCs/>
          <w:b/>
        </w:rPr>
        <w:t xml:space="preserve">Validation Rules.</w:t>
      </w:r>
      <w:r>
        <w:t xml:space="preserve"> </w:t>
      </w:r>
      <w:r>
        <w:rPr>
          <w:rStyle w:val="VerbatimChar"/>
        </w:rPr>
        <w:t xml:space="preserve">operating_hours &gt; 0</w:t>
      </w:r>
      <w:r>
        <w:t xml:space="preserve">; </w:t>
      </w:r>
      <w:r>
        <w:rPr>
          <w:rStyle w:val="VerbatimChar"/>
        </w:rPr>
        <w:t xml:space="preserve">tonnes ≥ 0</w:t>
      </w:r>
      <w:r>
        <w:t xml:space="preserve">; result finite; scope of numerator and denominator identical (same equipment, period, material).</w:t>
      </w:r>
    </w:p>
    <w:p>
      <w:pPr>
        <w:pStyle w:val="BodyText"/>
      </w:pPr>
      <w:r>
        <w:rPr>
          <w:bCs/>
          <w:b/>
        </w:rPr>
        <w:t xml:space="preserve">Unit Tests.</w:t>
      </w:r>
    </w:p>
    <w:p>
      <w:pPr>
        <w:pStyle w:val="SourceCode"/>
      </w:pPr>
      <w:r>
        <w:rPr>
          <w:rStyle w:val="ImportTok"/>
        </w:rPr>
        <w:t xml:space="preserve">import</w:t>
      </w:r>
      <w:r>
        <w:rPr>
          <w:rStyle w:val="NormalTok"/>
        </w:rPr>
        <w:t xml:space="preserve"> pytest</w:t>
      </w:r>
      <w:r>
        <w:br/>
      </w:r>
      <w:r>
        <w:rPr>
          <w:rStyle w:val="ImportTok"/>
        </w:rPr>
        <w:t xml:space="preserve">from</w:t>
      </w:r>
      <w:r>
        <w:rPr>
          <w:rStyle w:val="NormalTok"/>
        </w:rPr>
        <w:t xml:space="preserve"> mp_kpis_p3 </w:t>
      </w:r>
      <w:r>
        <w:rPr>
          <w:rStyle w:val="ImportTok"/>
        </w:rPr>
        <w:t xml:space="preserve">import</w:t>
      </w:r>
      <w:r>
        <w:rPr>
          <w:rStyle w:val="NormalTok"/>
        </w:rPr>
        <w:t xml:space="preserve"> tonnes_per_hour</w:t>
      </w:r>
      <w:r>
        <w:br/>
        <w:br/>
      </w:r>
      <w:r>
        <w:rPr>
          <w:rStyle w:val="KeywordTok"/>
        </w:rPr>
        <w:t xml:space="preserve">def</w:t>
      </w:r>
      <w:r>
        <w:rPr>
          <w:rStyle w:val="NormalTok"/>
        </w:rPr>
        <w:t xml:space="preserve"> test_tph_canonical():</w:t>
      </w:r>
      <w:r>
        <w:br/>
      </w:r>
      <w:r>
        <w:rPr>
          <w:rStyle w:val="NormalTok"/>
        </w:rPr>
        <w:t xml:space="preserve">    </w:t>
      </w:r>
      <w:r>
        <w:rPr>
          <w:rStyle w:val="ControlFlowTok"/>
        </w:rPr>
        <w:t xml:space="preserve">assert</w:t>
      </w:r>
      <w:r>
        <w:rPr>
          <w:rStyle w:val="NormalTok"/>
        </w:rPr>
        <w:t xml:space="preserve"> </w:t>
      </w:r>
      <w:r>
        <w:rPr>
          <w:rStyle w:val="BuiltInTok"/>
        </w:rPr>
        <w:t xml:space="preserve">round</w:t>
      </w:r>
      <w:r>
        <w:rPr>
          <w:rStyle w:val="NormalTok"/>
        </w:rPr>
        <w:t xml:space="preserve">(tonnes_per_hour(</w:t>
      </w:r>
      <w:r>
        <w:rPr>
          <w:rStyle w:val="DecValTok"/>
        </w:rPr>
        <w:t xml:space="preserve">36000</w:t>
      </w:r>
      <w:r>
        <w:rPr>
          <w:rStyle w:val="NormalTok"/>
        </w:rPr>
        <w:t xml:space="preserve">, </w:t>
      </w:r>
      <w:r>
        <w:rPr>
          <w:rStyle w:val="FloatTok"/>
        </w:rPr>
        <w:t xml:space="preserve">29.7</w:t>
      </w:r>
      <w:r>
        <w:rPr>
          <w:rStyle w:val="NormalTok"/>
        </w:rPr>
        <w:t xml:space="preserve">), </w:t>
      </w:r>
      <w:r>
        <w:rPr>
          <w:rStyle w:val="DecValTok"/>
        </w:rPr>
        <w:t xml:space="preserve">1</w:t>
      </w:r>
      <w:r>
        <w:rPr>
          <w:rStyle w:val="NormalTok"/>
        </w:rPr>
        <w:t xml:space="preserve">) </w:t>
      </w:r>
      <w:r>
        <w:rPr>
          <w:rStyle w:val="OperatorTok"/>
        </w:rPr>
        <w:t xml:space="preserve">==</w:t>
      </w:r>
      <w:r>
        <w:rPr>
          <w:rStyle w:val="NormalTok"/>
        </w:rPr>
        <w:t xml:space="preserve"> </w:t>
      </w:r>
      <w:r>
        <w:rPr>
          <w:rStyle w:val="FloatTok"/>
        </w:rPr>
        <w:t xml:space="preserve">1212.1</w:t>
      </w:r>
      <w:r>
        <w:br/>
        <w:br/>
      </w:r>
      <w:r>
        <w:rPr>
          <w:rStyle w:val="KeywordTok"/>
        </w:rPr>
        <w:t xml:space="preserve">def</w:t>
      </w:r>
      <w:r>
        <w:rPr>
          <w:rStyle w:val="NormalTok"/>
        </w:rPr>
        <w:t xml:space="preserve"> test_tph_zero_hours_raises():</w:t>
      </w:r>
      <w:r>
        <w:br/>
      </w:r>
      <w:r>
        <w:rPr>
          <w:rStyle w:val="NormalTok"/>
        </w:rPr>
        <w:t xml:space="preserve">    </w:t>
      </w:r>
      <w:r>
        <w:rPr>
          <w:rStyle w:val="ControlFlowTok"/>
        </w:rPr>
        <w:t xml:space="preserve">with</w:t>
      </w:r>
      <w:r>
        <w:rPr>
          <w:rStyle w:val="NormalTok"/>
        </w:rPr>
        <w:t xml:space="preserve"> pytest.raises(</w:t>
      </w:r>
      <w:r>
        <w:rPr>
          <w:rStyle w:val="PreprocessorTok"/>
        </w:rPr>
        <w:t xml:space="preserve">ValueError</w:t>
      </w:r>
      <w:r>
        <w:rPr>
          <w:rStyle w:val="NormalTok"/>
        </w:rPr>
        <w:t xml:space="preserve">):</w:t>
      </w:r>
      <w:r>
        <w:br/>
      </w:r>
      <w:r>
        <w:rPr>
          <w:rStyle w:val="NormalTok"/>
        </w:rPr>
        <w:t xml:space="preserve">        tonnes_per_hour(</w:t>
      </w:r>
      <w:r>
        <w:rPr>
          <w:rStyle w:val="DecValTok"/>
        </w:rPr>
        <w:t xml:space="preserve">36000</w:t>
      </w:r>
      <w:r>
        <w:rPr>
          <w:rStyle w:val="NormalTok"/>
        </w:rPr>
        <w:t xml:space="preserve">, </w:t>
      </w:r>
      <w:r>
        <w:rPr>
          <w:rStyle w:val="DecValTok"/>
        </w:rPr>
        <w:t xml:space="preserve">0</w:t>
      </w:r>
      <w:r>
        <w:rPr>
          <w:rStyle w:val="NormalTok"/>
        </w:rPr>
        <w:t xml:space="preserve">)</w:t>
      </w:r>
    </w:p>
    <w:p>
      <w:pPr>
        <w:pStyle w:val="FirstParagraph"/>
      </w:pPr>
      <w:r>
        <w:rPr>
          <w:bCs/>
          <w:b/>
        </w:rPr>
        <w:t xml:space="preserve">Performance Considerations.</w:t>
      </w:r>
      <w:r>
        <w:t xml:space="preserve"> O(n) over cycles for the tonnage sum; pre-aggregate tonnes and operating hours per (scope, period) so TPH is an O(1) division at query time. For millions of cycles, aggregate at ingest.</w:t>
      </w:r>
    </w:p>
    <w:p>
      <w:pPr>
        <w:pStyle w:val="BodyText"/>
      </w:pPr>
      <w:r>
        <w:rPr>
          <w:bCs/>
          <w:b/>
        </w:rPr>
        <w:t xml:space="preserve">Edge Cases.</w:t>
      </w:r>
      <w:r>
        <w:t xml:space="preserve"> Zero operating hours (asset never ran) → undefined; report “n/a”, never zero. Negative or missing payloads → reject at the connector (Part II, Chapter 19). A period with tonnes but no recorded operating time indicates a data-lineage fault, not infinite TPH.</w:t>
      </w:r>
    </w:p>
    <w:p>
      <w:pPr>
        <w:pStyle w:val="BodyText"/>
      </w:pPr>
      <w:r>
        <w:rPr>
          <w:bCs/>
          <w:b/>
        </w:rPr>
        <w:t xml:space="preserve">AI Contributor Notes.</w:t>
      </w:r>
      <w:r>
        <w:t xml:space="preserve"> TPH is the canonical throughput anchor; new throughput-like KPIs should inherit from it rather than redefine rate. Tag it lagging/operational. When an agent explains a TPH drop, it should walk to operating hours and delays (the dependency graph), not to payload alone.</w:t>
      </w:r>
    </w:p>
    <w:p>
      <w:pPr>
        <w:pStyle w:val="BodyText"/>
      </w:pPr>
      <w:r>
        <w:rPr>
          <w:bCs/>
          <w:b/>
        </w:rPr>
        <w:t xml:space="preserve">Digital Twin Mapping.</w:t>
      </w:r>
      <w:r>
        <w:t xml:space="preserve"> The twin holds live cumulative tonnes and operating time per asset, exposing current-shift TPH and a projected end-of-shift total at the current rate — the number the dispatch room watches.</w:t>
      </w:r>
    </w:p>
    <w:p>
      <w:pPr>
        <w:pStyle w:val="BodyText"/>
      </w:pPr>
      <w:r>
        <w:rPr>
          <w:bCs/>
          <w:b/>
        </w:rPr>
        <w:t xml:space="preserve">Decision Intelligence Mapping.</w:t>
      </w:r>
      <w:r>
        <w:t xml:space="preserve"> A sustained TPH shortfall triggers constraint analysis (which stage is binding?) and, downstream, dispatch or feed-control recommendations. TPH is the trigger; the explanation comes from its dependencies.</w:t>
      </w:r>
    </w:p>
    <w:p>
      <w:pPr>
        <w:pStyle w:val="BodyText"/>
      </w:pPr>
      <w:r>
        <w:rPr>
          <w:bCs/>
          <w:b/>
        </w:rPr>
        <w:t xml:space="preserve">Related KPIs.</w:t>
      </w:r>
      <w:r>
        <w:t xml:space="preserve"> </w:t>
      </w:r>
      <w:r>
        <w:rPr>
          <w:rStyle w:val="VerbatimChar"/>
        </w:rPr>
        <w:t xml:space="preserve">PROD.TruckCycleTime</w:t>
      </w:r>
      <w:r>
        <w:t xml:space="preserve">, </w:t>
      </w:r>
      <w:r>
        <w:rPr>
          <w:rStyle w:val="VerbatimChar"/>
        </w:rPr>
        <w:t xml:space="preserve">PROD.Payload</w:t>
      </w:r>
      <w:r>
        <w:t xml:space="preserve">, </w:t>
      </w:r>
      <w:r>
        <w:rPr>
          <w:rStyle w:val="VerbatimChar"/>
        </w:rPr>
        <w:t xml:space="preserve">HAUL.MatchFactor</w:t>
      </w:r>
      <w:r>
        <w:t xml:space="preserve"> (explain TPH); </w:t>
      </w:r>
      <w:r>
        <w:rPr>
          <w:rStyle w:val="VerbatimChar"/>
        </w:rPr>
        <w:t xml:space="preserve">UTIL.EU</w:t>
      </w:r>
      <w:r>
        <w:t xml:space="preserve"> (time context); </w:t>
      </w:r>
      <w:r>
        <w:rPr>
          <w:rStyle w:val="VerbatimChar"/>
        </w:rPr>
        <w:t xml:space="preserve">COST.CostPerTonne</w:t>
      </w:r>
      <w:r>
        <w:t xml:space="preserve"> (consumes TPH); </w:t>
      </w:r>
      <w:r>
        <w:rPr>
          <w:rStyle w:val="VerbatimChar"/>
        </w:rPr>
        <w:t xml:space="preserve">PROD.PlanAttainment</w:t>
      </w:r>
      <w:r>
        <w:t xml:space="preserve"> (TPH vs plan).</w:t>
      </w:r>
    </w:p>
    <w:p>
      <w:pPr>
        <w:pStyle w:val="BodyText"/>
      </w:pPr>
      <w:r>
        <w:rPr>
          <w:bCs/>
          <w:b/>
        </w:rPr>
        <w:t xml:space="preserve">References.</w:t>
      </w:r>
      <w:r>
        <w:t xml:space="preserve"> Standard mining productivity practice; Master Architecture Handbook (KPI layer); Part II, Chapters 13 and 17.</w:t>
      </w:r>
    </w:p>
    <w:bookmarkEnd w:id="76"/>
    <w:bookmarkStart w:id="77" w:name="X748b60ba962b00cc35a7aeb3eb33deb03967f57"/>
    <w:p>
      <w:pPr>
        <w:pStyle w:val="Heading3"/>
      </w:pPr>
      <w:bookmarkStart w:id="900032" w:name="_TocMP900032"/>
      <w:r>
        <w:t xml:space="preserve">PROD.TruckCycleTime — Mean Haul-Cycle Duration</w:t>
      </w:r>
      <w:bookmarkEnd w:id="900032"/>
    </w:p>
    <w:p>
      <w:pPr>
        <w:pStyle w:val="FirstParagraph"/>
      </w:pPr>
      <w:r>
        <w:rPr>
          <w:bCs/>
          <w:b/>
        </w:rPr>
        <w:t xml:space="preserve">Identifier.</w:t>
      </w:r>
      <w:r>
        <w:t xml:space="preserve"> </w:t>
      </w:r>
      <w:r>
        <w:rPr>
          <w:rStyle w:val="VerbatimChar"/>
        </w:rPr>
        <w:t xml:space="preserve">PROD.TruckCycleTime</w:t>
      </w:r>
      <w:r>
        <w:t xml:space="preserve"> · </w:t>
      </w:r>
      <w:r>
        <w:rPr>
          <w:bCs/>
          <w:b/>
        </w:rPr>
        <w:t xml:space="preserve">Official Name.</w:t>
      </w:r>
      <w:r>
        <w:t xml:space="preserve"> Truck Cycle Time · </w:t>
      </w:r>
      <w:r>
        <w:rPr>
          <w:bCs/>
          <w:b/>
        </w:rPr>
        <w:t xml:space="preserve">Status.</w:t>
      </w:r>
      <w:r>
        <w:t xml:space="preserve"> Active · </w:t>
      </w:r>
      <w:r>
        <w:rPr>
          <w:bCs/>
          <w:b/>
        </w:rPr>
        <w:t xml:space="preserve">Version.</w:t>
      </w:r>
      <w:r>
        <w:t xml:space="preserve"> 1.0.0</w:t>
      </w:r>
    </w:p>
    <w:p>
      <w:pPr>
        <w:pStyle w:val="BodyText"/>
      </w:pPr>
      <w:r>
        <w:rPr>
          <w:bCs/>
          <w:b/>
        </w:rPr>
        <w:t xml:space="preserve">Business Purpose.</w:t>
      </w:r>
      <w:r>
        <w:t xml:space="preserve"> Cycle time is the heartbeat of a truck–shovel operation (Part II, Chapter 13); it is the lever behind TPH and the earliest place a haulage problem shows up. </w:t>
      </w:r>
      <w:r>
        <w:rPr>
          <w:bCs/>
          <w:b/>
        </w:rPr>
        <w:t xml:space="preserve">Operational Question.</w:t>
      </w:r>
      <w:r>
        <w:t xml:space="preserve"> </w:t>
      </w:r>
      <w:r>
        <w:rPr>
          <w:iCs/>
          <w:i/>
        </w:rPr>
        <w:t xml:space="preserve">How long does one full haul cycle take, on average?</w:t>
      </w:r>
      <w:r>
        <w:t xml:space="preserve"> </w:t>
      </w:r>
      <w:r>
        <w:rPr>
          <w:bCs/>
          <w:b/>
        </w:rPr>
        <w:t xml:space="preserve">Business Meaning.</w:t>
      </w:r>
      <w:r>
        <w:t xml:space="preserve"> Rising cycle time at stable haul distance means the road, queue, or loading is degrading; it is a </w:t>
      </w:r>
      <w:r>
        <w:rPr>
          <w:iCs/>
          <w:i/>
        </w:rPr>
        <w:t xml:space="preserve">leading</w:t>
      </w:r>
      <w:r>
        <w:t xml:space="preserve"> signal for TPH.</w:t>
      </w:r>
    </w:p>
    <w:p>
      <w:pPr>
        <w:pStyle w:val="BodyText"/>
      </w:pPr>
      <w:r>
        <w:rPr>
          <w:bCs/>
          <w:b/>
        </w:rPr>
        <w:t xml:space="preserve">Formula.</w:t>
      </w:r>
    </w:p>
    <w:p>
      <w:pPr>
        <w:pStyle w:val="SourceCode"/>
      </w:pPr>
      <w:r>
        <w:rPr>
          <w:rStyle w:val="VerbatimChar"/>
        </w:rPr>
        <w:t xml:space="preserve">PROD.TruckCycleTime  =  mean( cycle_minutes )              [min]</w:t>
      </w:r>
    </w:p>
    <w:p>
      <w:pPr>
        <w:pStyle w:val="FirstParagraph"/>
      </w:pPr>
      <w:r>
        <w:rPr>
          <w:bCs/>
          <w:b/>
        </w:rPr>
        <w:t xml:space="preserve">Units.</w:t>
      </w:r>
      <w:r>
        <w:t xml:space="preserve"> minutes. </w:t>
      </w:r>
      <w:r>
        <w:rPr>
          <w:bCs/>
          <w:b/>
        </w:rPr>
        <w:t xml:space="preserve">Dimensions.</w:t>
      </w:r>
      <w:r>
        <w:t xml:space="preserve"> Shift · Day · Equipment · Fleet · Pit · Bench · Operator · Route. </w:t>
      </w:r>
      <w:r>
        <w:rPr>
          <w:bCs/>
          <w:b/>
        </w:rPr>
        <w:t xml:space="preserve">Required Events.</w:t>
      </w:r>
      <w:r>
        <w:t xml:space="preserve"> </w:t>
      </w:r>
      <w:r>
        <w:rPr>
          <w:rStyle w:val="VerbatimChar"/>
        </w:rPr>
        <w:t xml:space="preserve">CycleEvent</w:t>
      </w:r>
      <w:r>
        <w:t xml:space="preserve"> (its six segment-minute legs sum to the cycle). </w:t>
      </w:r>
      <w:r>
        <w:rPr>
          <w:bCs/>
          <w:b/>
        </w:rPr>
        <w:t xml:space="preserve">Required Ontology.</w:t>
      </w:r>
      <w:r>
        <w:t xml:space="preserve"> </w:t>
      </w:r>
      <w:r>
        <w:rPr>
          <w:rStyle w:val="VerbatimChar"/>
        </w:rPr>
        <w:t xml:space="preserve">Equipment</w:t>
      </w:r>
      <w:r>
        <w:t xml:space="preserve">, </w:t>
      </w:r>
      <w:r>
        <w:rPr>
          <w:rStyle w:val="VerbatimChar"/>
        </w:rPr>
        <w:t xml:space="preserve">Route</w:t>
      </w:r>
      <w:r>
        <w:t xml:space="preserve">/</w:t>
      </w:r>
      <w:r>
        <w:rPr>
          <w:rStyle w:val="VerbatimChar"/>
        </w:rPr>
        <w:t xml:space="preserve">Bench</w:t>
      </w:r>
      <w:r>
        <w:t xml:space="preserve">, </w:t>
      </w:r>
      <w:r>
        <w:rPr>
          <w:rStyle w:val="VerbatimChar"/>
        </w:rPr>
        <w:t xml:space="preserve">Shift</w:t>
      </w:r>
      <w:r>
        <w:t xml:space="preserve">. </w:t>
      </w:r>
      <w:r>
        <w:rPr>
          <w:bCs/>
          <w:b/>
        </w:rPr>
        <w:t xml:space="preserve">Dependencies.</w:t>
      </w:r>
      <w:r>
        <w:t xml:space="preserve"> None (base). </w:t>
      </w:r>
      <w:r>
        <w:rPr>
          <w:bCs/>
          <w:b/>
        </w:rPr>
        <w:t xml:space="preserve">Mathematical Properties.</w:t>
      </w:r>
      <w:r>
        <w:t xml:space="preserve"> Average KPI (mean of per-cycle durations); aggregate as a payload- or count-weighted mean, never a mean-of-means across uneven groups.</w:t>
      </w:r>
    </w:p>
    <w:p>
      <w:pPr>
        <w:pStyle w:val="BodyText"/>
      </w:pPr>
      <w:r>
        <w:rPr>
          <w:bCs/>
          <w:b/>
        </w:rPr>
        <w:t xml:space="preserve">Calculation Logic.</w:t>
      </w:r>
      <w:r>
        <w:t xml:space="preserve"> Select in-scope cycles; take each cycle’s total duration (sum of its legs or its end−start); average them.</w:t>
      </w:r>
    </w:p>
    <w:p>
      <w:pPr>
        <w:pStyle w:val="BodyText"/>
      </w:pPr>
      <w:r>
        <w:rPr>
          <w:bCs/>
          <w:b/>
        </w:rPr>
        <w:t xml:space="preserve">Python Implementation.</w:t>
      </w:r>
    </w:p>
    <w:p>
      <w:pPr>
        <w:pStyle w:val="SourceCode"/>
      </w:pPr>
      <w:r>
        <w:rPr>
          <w:rStyle w:val="ImportTok"/>
        </w:rPr>
        <w:t xml:space="preserve">from</w:t>
      </w:r>
      <w:r>
        <w:rPr>
          <w:rStyle w:val="NormalTok"/>
        </w:rPr>
        <w:t xml:space="preserve"> statistics </w:t>
      </w:r>
      <w:r>
        <w:rPr>
          <w:rStyle w:val="ImportTok"/>
        </w:rPr>
        <w:t xml:space="preserve">import</w:t>
      </w:r>
      <w:r>
        <w:rPr>
          <w:rStyle w:val="NormalTok"/>
        </w:rPr>
        <w:t xml:space="preserve"> mean</w:t>
      </w:r>
      <w:r>
        <w:br/>
      </w:r>
      <w:r>
        <w:rPr>
          <w:rStyle w:val="ImportTok"/>
        </w:rPr>
        <w:t xml:space="preserve">from</w:t>
      </w:r>
      <w:r>
        <w:rPr>
          <w:rStyle w:val="NormalTok"/>
        </w:rPr>
        <w:t xml:space="preserve"> typing </w:t>
      </w:r>
      <w:r>
        <w:rPr>
          <w:rStyle w:val="ImportTok"/>
        </w:rPr>
        <w:t xml:space="preserve">import</w:t>
      </w:r>
      <w:r>
        <w:rPr>
          <w:rStyle w:val="NormalTok"/>
        </w:rPr>
        <w:t xml:space="preserve"> Sequence</w:t>
      </w:r>
      <w:r>
        <w:br/>
        <w:br/>
      </w:r>
      <w:r>
        <w:rPr>
          <w:rStyle w:val="KeywordTok"/>
        </w:rPr>
        <w:t xml:space="preserve">def</w:t>
      </w:r>
      <w:r>
        <w:rPr>
          <w:rStyle w:val="NormalTok"/>
        </w:rPr>
        <w:t xml:space="preserve"> truck_cycle_time(cycle_minutes: Sequence[</w:t>
      </w:r>
      <w:r>
        <w:rPr>
          <w:rStyle w:val="BuiltInTok"/>
        </w:rPr>
        <w:t xml:space="preserve">float</w:t>
      </w:r>
      <w:r>
        <w:rPr>
          <w:rStyle w:val="NormalTok"/>
        </w:rPr>
        <w:t xml:space="preserve">]) </w:t>
      </w:r>
      <w:r>
        <w:rPr>
          <w:rStyle w:val="OperatorTok"/>
        </w:rPr>
        <w:t xml:space="preserve">-&gt;</w:t>
      </w:r>
      <w:r>
        <w:rPr>
          <w:rStyle w:val="NormalTok"/>
        </w:rPr>
        <w:t xml:space="preserve"> </w:t>
      </w:r>
      <w:r>
        <w:rPr>
          <w:rStyle w:val="BuiltInTok"/>
        </w:rPr>
        <w:t xml:space="preserve">float</w:t>
      </w:r>
      <w:r>
        <w:rPr>
          <w:rStyle w:val="NormalTok"/>
        </w:rPr>
        <w:t xml:space="preserve">:</w:t>
      </w:r>
      <w:r>
        <w:br/>
      </w:r>
      <w:r>
        <w:rPr>
          <w:rStyle w:val="NormalTok"/>
        </w:rPr>
        <w:t xml:space="preserve">    </w:t>
      </w:r>
      <w:r>
        <w:rPr>
          <w:rStyle w:val="CommentTok"/>
        </w:rPr>
        <w:t xml:space="preserve">"""PROD.TruckCycleTime — mean haul-cycle duration (min)."""</w:t>
      </w:r>
      <w:r>
        <w:br/>
      </w:r>
      <w:r>
        <w:rPr>
          <w:rStyle w:val="NormalTok"/>
        </w:rPr>
        <w:t xml:space="preserve">    </w:t>
      </w:r>
      <w:r>
        <w:rPr>
          <w:rStyle w:val="ControlFlowTok"/>
        </w:rPr>
        <w:t xml:space="preserve">if</w:t>
      </w:r>
      <w:r>
        <w:rPr>
          <w:rStyle w:val="NormalTok"/>
        </w:rPr>
        <w:t xml:space="preserve"> </w:t>
      </w:r>
      <w:r>
        <w:rPr>
          <w:rStyle w:val="KeywordTok"/>
        </w:rPr>
        <w:t xml:space="preserve">not</w:t>
      </w:r>
      <w:r>
        <w:rPr>
          <w:rStyle w:val="NormalTok"/>
        </w:rPr>
        <w:t xml:space="preserve"> cycle_minutes:</w:t>
      </w:r>
      <w:r>
        <w:br/>
      </w:r>
      <w:r>
        <w:rPr>
          <w:rStyle w:val="NormalTok"/>
        </w:rPr>
        <w:t xml:space="preserve">        </w:t>
      </w:r>
      <w:r>
        <w:rPr>
          <w:rStyle w:val="ControlFlowTok"/>
        </w:rPr>
        <w:t xml:space="preserve">raise</w:t>
      </w:r>
      <w:r>
        <w:rPr>
          <w:rStyle w:val="NormalTok"/>
        </w:rPr>
        <w:t xml:space="preserve"> </w:t>
      </w:r>
      <w:r>
        <w:rPr>
          <w:rStyle w:val="PreprocessorTok"/>
        </w:rPr>
        <w:t xml:space="preserve">ValueError</w:t>
      </w:r>
      <w:r>
        <w:rPr>
          <w:rStyle w:val="NormalTok"/>
        </w:rPr>
        <w:t xml:space="preserve">(</w:t>
      </w:r>
      <w:r>
        <w:rPr>
          <w:rStyle w:val="StringTok"/>
        </w:rPr>
        <w:t xml:space="preserve">"no cycles"</w:t>
      </w:r>
      <w:r>
        <w:rPr>
          <w:rStyle w:val="NormalTok"/>
        </w:rPr>
        <w:t xml:space="preserve">)</w:t>
      </w:r>
      <w:r>
        <w:br/>
      </w:r>
      <w:r>
        <w:rPr>
          <w:rStyle w:val="NormalTok"/>
        </w:rPr>
        <w:t xml:space="preserve">    </w:t>
      </w:r>
      <w:r>
        <w:rPr>
          <w:rStyle w:val="ControlFlowTok"/>
        </w:rPr>
        <w:t xml:space="preserve">return</w:t>
      </w:r>
      <w:r>
        <w:rPr>
          <w:rStyle w:val="NormalTok"/>
        </w:rPr>
        <w:t xml:space="preserve"> mean(cycle_minutes)</w:t>
      </w:r>
    </w:p>
    <w:p>
      <w:pPr>
        <w:pStyle w:val="FirstParagraph"/>
      </w:pPr>
      <w:r>
        <w:rPr>
          <w:bCs/>
          <w:b/>
        </w:rPr>
        <w:t xml:space="preserve">Expected Output.</w:t>
      </w:r>
      <w:r>
        <w:t xml:space="preserve"> A positive float in minutes. Worked example → </w:t>
      </w:r>
      <w:r>
        <w:rPr>
          <w:rStyle w:val="VerbatimChar"/>
        </w:rPr>
        <w:t xml:space="preserve">19.47</w:t>
      </w:r>
      <w:r>
        <w:t xml:space="preserve">.</w:t>
      </w:r>
    </w:p>
    <w:p>
      <w:pPr>
        <w:pStyle w:val="BodyText"/>
      </w:pPr>
      <w:r>
        <w:rPr>
          <w:bCs/>
          <w:b/>
        </w:rPr>
        <w:t xml:space="preserve">Worked Example.</w:t>
      </w:r>
      <w:r>
        <w:t xml:space="preserve"> Truck T-114 over three cycles records </w:t>
      </w:r>
      <w:r>
        <w:rPr>
          <w:bCs/>
          <w:b/>
        </w:rPr>
        <w:t xml:space="preserve">18.90, 19.80, 19.72</w:t>
      </w:r>
      <w:r>
        <w:t xml:space="preserve"> minutes. </w:t>
      </w:r>
      <w:r>
        <w:rPr>
          <w:rStyle w:val="VerbatimChar"/>
        </w:rPr>
        <w:t xml:space="preserve">truck_cycle_time([18.90, 19.80, 19.72])</w:t>
      </w:r>
      <w:r>
        <w:t xml:space="preserve"> → </w:t>
      </w:r>
      <w:r>
        <w:rPr>
          <w:bCs/>
          <w:b/>
        </w:rPr>
        <w:t xml:space="preserve">19.47 min</w:t>
      </w:r>
      <w:r>
        <w:t xml:space="preserve"> — the canonical fleet planning cycle used elsewhere in this guide.</w:t>
      </w:r>
    </w:p>
    <w:p>
      <w:pPr>
        <w:pStyle w:val="BodyText"/>
      </w:pPr>
      <w:r>
        <w:rPr>
          <w:bCs/>
          <w:b/>
        </w:rPr>
        <w:t xml:space="preserve">Sample Dataset.</w:t>
      </w:r>
    </w:p>
    <w:tbl>
      <w:tblPr>
        <w:tblStyle w:val="Table"/>
        <w:tblW w:type="pct" w:w="5000"/>
        <w:tblLook w:firstRow="1" w:lastRow="0" w:firstColumn="0" w:lastColumn="0" w:noHBand="0" w:noVBand="0" w:val="0020"/>
        <w:jc w:val="start"/>
      </w:tblPr>
      <w:tblGrid>
        <w:gridCol w:w="879"/>
        <w:gridCol w:w="879"/>
        <w:gridCol w:w="879"/>
        <w:gridCol w:w="879"/>
        <w:gridCol w:w="879"/>
        <w:gridCol w:w="879"/>
        <w:gridCol w:w="879"/>
        <w:gridCol w:w="879"/>
        <w:gridCol w:w="879"/>
      </w:tblGrid>
      <w:tr>
        <w:trPr>
          <w:tblHeader w:val="true"/>
        </w:trPr>
        <w:tc>
          <w:tcPr/>
          <w:p>
            <w:pPr>
              <w:pStyle w:val="Compact"/>
              <w:jc w:val="left"/>
            </w:pPr>
            <w:r>
              <w:t xml:space="preserve">cycle</w:t>
            </w:r>
          </w:p>
        </w:tc>
        <w:tc>
          <w:tcPr/>
          <w:p>
            <w:pPr>
              <w:pStyle w:val="Compact"/>
              <w:jc w:val="left"/>
            </w:pPr>
            <w:r>
              <w:t xml:space="preserve">truck</w:t>
            </w:r>
          </w:p>
        </w:tc>
        <w:tc>
          <w:tcPr/>
          <w:p>
            <w:pPr>
              <w:pStyle w:val="Compact"/>
              <w:jc w:val="left"/>
            </w:pPr>
            <w:r>
              <w:t xml:space="preserve">queue</w:t>
            </w:r>
          </w:p>
        </w:tc>
        <w:tc>
          <w:tcPr/>
          <w:p>
            <w:pPr>
              <w:pStyle w:val="Compact"/>
              <w:jc w:val="left"/>
            </w:pPr>
            <w:r>
              <w:t xml:space="preserve">spot</w:t>
            </w:r>
          </w:p>
        </w:tc>
        <w:tc>
          <w:tcPr/>
          <w:p>
            <w:pPr>
              <w:pStyle w:val="Compact"/>
              <w:jc w:val="left"/>
            </w:pPr>
            <w:r>
              <w:t xml:space="preserve">load</w:t>
            </w:r>
          </w:p>
        </w:tc>
        <w:tc>
          <w:tcPr/>
          <w:p>
            <w:pPr>
              <w:pStyle w:val="Compact"/>
              <w:jc w:val="left"/>
            </w:pPr>
            <w:r>
              <w:t xml:space="preserve">haul</w:t>
            </w:r>
          </w:p>
        </w:tc>
        <w:tc>
          <w:tcPr/>
          <w:p>
            <w:pPr>
              <w:pStyle w:val="Compact"/>
              <w:jc w:val="left"/>
            </w:pPr>
            <w:r>
              <w:t xml:space="preserve">dump</w:t>
            </w:r>
          </w:p>
        </w:tc>
        <w:tc>
          <w:tcPr/>
          <w:p>
            <w:pPr>
              <w:pStyle w:val="Compact"/>
              <w:jc w:val="left"/>
            </w:pPr>
            <w:r>
              <w:t xml:space="preserve">return</w:t>
            </w:r>
          </w:p>
        </w:tc>
        <w:tc>
          <w:tcPr/>
          <w:p>
            <w:pPr>
              <w:pStyle w:val="Compact"/>
              <w:jc w:val="left"/>
            </w:pPr>
            <w:r>
              <w:t xml:space="preserve">total_min</w:t>
            </w:r>
          </w:p>
        </w:tc>
      </w:tr>
      <w:tr>
        <w:tc>
          <w:tcPr/>
          <w:p>
            <w:pPr>
              <w:pStyle w:val="Compact"/>
              <w:jc w:val="left"/>
            </w:pPr>
            <w:r>
              <w:t xml:space="preserve">1</w:t>
            </w:r>
          </w:p>
        </w:tc>
        <w:tc>
          <w:tcPr/>
          <w:p>
            <w:pPr>
              <w:pStyle w:val="Compact"/>
              <w:jc w:val="left"/>
            </w:pPr>
            <w:r>
              <w:t xml:space="preserve">T-114</w:t>
            </w:r>
          </w:p>
        </w:tc>
        <w:tc>
          <w:tcPr/>
          <w:p>
            <w:pPr>
              <w:pStyle w:val="Compact"/>
              <w:jc w:val="left"/>
            </w:pPr>
            <w:r>
              <w:t xml:space="preserve">1.2</w:t>
            </w:r>
          </w:p>
        </w:tc>
        <w:tc>
          <w:tcPr/>
          <w:p>
            <w:pPr>
              <w:pStyle w:val="Compact"/>
              <w:jc w:val="left"/>
            </w:pPr>
            <w:r>
              <w:t xml:space="preserve">0.8</w:t>
            </w:r>
          </w:p>
        </w:tc>
        <w:tc>
          <w:tcPr/>
          <w:p>
            <w:pPr>
              <w:pStyle w:val="Compact"/>
              <w:jc w:val="left"/>
            </w:pPr>
            <w:r>
              <w:t xml:space="preserve">3.0</w:t>
            </w:r>
          </w:p>
        </w:tc>
        <w:tc>
          <w:tcPr/>
          <w:p>
            <w:pPr>
              <w:pStyle w:val="Compact"/>
              <w:jc w:val="left"/>
            </w:pPr>
            <w:r>
              <w:t xml:space="preserve">8.1</w:t>
            </w:r>
          </w:p>
        </w:tc>
        <w:tc>
          <w:tcPr/>
          <w:p>
            <w:pPr>
              <w:pStyle w:val="Compact"/>
              <w:jc w:val="left"/>
            </w:pPr>
            <w:r>
              <w:t xml:space="preserve">1.1</w:t>
            </w:r>
          </w:p>
        </w:tc>
        <w:tc>
          <w:tcPr/>
          <w:p>
            <w:pPr>
              <w:pStyle w:val="Compact"/>
              <w:jc w:val="left"/>
            </w:pPr>
            <w:r>
              <w:t xml:space="preserve">4.7</w:t>
            </w:r>
          </w:p>
        </w:tc>
        <w:tc>
          <w:tcPr/>
          <w:p>
            <w:pPr>
              <w:pStyle w:val="Compact"/>
              <w:jc w:val="left"/>
            </w:pPr>
            <w:r>
              <w:t xml:space="preserve">18.90</w:t>
            </w:r>
          </w:p>
        </w:tc>
      </w:tr>
      <w:tr>
        <w:tc>
          <w:tcPr/>
          <w:p>
            <w:pPr>
              <w:pStyle w:val="Compact"/>
              <w:jc w:val="left"/>
            </w:pPr>
            <w:r>
              <w:t xml:space="preserve">2</w:t>
            </w:r>
          </w:p>
        </w:tc>
        <w:tc>
          <w:tcPr/>
          <w:p>
            <w:pPr>
              <w:pStyle w:val="Compact"/>
              <w:jc w:val="left"/>
            </w:pPr>
            <w:r>
              <w:t xml:space="preserve">T-114</w:t>
            </w:r>
          </w:p>
        </w:tc>
        <w:tc>
          <w:tcPr/>
          <w:p>
            <w:pPr>
              <w:pStyle w:val="Compact"/>
              <w:jc w:val="left"/>
            </w:pPr>
            <w:r>
              <w:t xml:space="preserve">1.9</w:t>
            </w:r>
          </w:p>
        </w:tc>
        <w:tc>
          <w:tcPr/>
          <w:p>
            <w:pPr>
              <w:pStyle w:val="Compact"/>
              <w:jc w:val="left"/>
            </w:pPr>
            <w:r>
              <w:t xml:space="preserve">0.7</w:t>
            </w:r>
          </w:p>
        </w:tc>
        <w:tc>
          <w:tcPr/>
          <w:p>
            <w:pPr>
              <w:pStyle w:val="Compact"/>
              <w:jc w:val="left"/>
            </w:pPr>
            <w:r>
              <w:t xml:space="preserve">3.1</w:t>
            </w:r>
          </w:p>
        </w:tc>
        <w:tc>
          <w:tcPr/>
          <w:p>
            <w:pPr>
              <w:pStyle w:val="Compact"/>
              <w:jc w:val="left"/>
            </w:pPr>
            <w:r>
              <w:t xml:space="preserve">8.4</w:t>
            </w:r>
          </w:p>
        </w:tc>
        <w:tc>
          <w:tcPr/>
          <w:p>
            <w:pPr>
              <w:pStyle w:val="Compact"/>
              <w:jc w:val="left"/>
            </w:pPr>
            <w:r>
              <w:t xml:space="preserve">1.0</w:t>
            </w:r>
          </w:p>
        </w:tc>
        <w:tc>
          <w:tcPr/>
          <w:p>
            <w:pPr>
              <w:pStyle w:val="Compact"/>
              <w:jc w:val="left"/>
            </w:pPr>
            <w:r>
              <w:t xml:space="preserve">4.7</w:t>
            </w:r>
          </w:p>
        </w:tc>
        <w:tc>
          <w:tcPr/>
          <w:p>
            <w:pPr>
              <w:pStyle w:val="Compact"/>
              <w:jc w:val="left"/>
            </w:pPr>
            <w:r>
              <w:t xml:space="preserve">19.80</w:t>
            </w:r>
          </w:p>
        </w:tc>
      </w:tr>
      <w:tr>
        <w:tc>
          <w:tcPr/>
          <w:p>
            <w:pPr>
              <w:pStyle w:val="Compact"/>
              <w:jc w:val="left"/>
            </w:pPr>
            <w:r>
              <w:t xml:space="preserve">3</w:t>
            </w:r>
          </w:p>
        </w:tc>
        <w:tc>
          <w:tcPr/>
          <w:p>
            <w:pPr>
              <w:pStyle w:val="Compact"/>
              <w:jc w:val="left"/>
            </w:pPr>
            <w:r>
              <w:t xml:space="preserve">T-114</w:t>
            </w:r>
          </w:p>
        </w:tc>
        <w:tc>
          <w:tcPr/>
          <w:p>
            <w:pPr>
              <w:pStyle w:val="Compact"/>
              <w:jc w:val="left"/>
            </w:pPr>
            <w:r>
              <w:t xml:space="preserve">1.6</w:t>
            </w:r>
          </w:p>
        </w:tc>
        <w:tc>
          <w:tcPr/>
          <w:p>
            <w:pPr>
              <w:pStyle w:val="Compact"/>
              <w:jc w:val="left"/>
            </w:pPr>
            <w:r>
              <w:t xml:space="preserve">0.8</w:t>
            </w:r>
          </w:p>
        </w:tc>
        <w:tc>
          <w:tcPr/>
          <w:p>
            <w:pPr>
              <w:pStyle w:val="Compact"/>
              <w:jc w:val="left"/>
            </w:pPr>
            <w:r>
              <w:t xml:space="preserve">2.9</w:t>
            </w:r>
          </w:p>
        </w:tc>
        <w:tc>
          <w:tcPr/>
          <w:p>
            <w:pPr>
              <w:pStyle w:val="Compact"/>
              <w:jc w:val="left"/>
            </w:pPr>
            <w:r>
              <w:t xml:space="preserve">8.6</w:t>
            </w:r>
          </w:p>
        </w:tc>
        <w:tc>
          <w:tcPr/>
          <w:p>
            <w:pPr>
              <w:pStyle w:val="Compact"/>
              <w:jc w:val="left"/>
            </w:pPr>
            <w:r>
              <w:t xml:space="preserve">1.1</w:t>
            </w:r>
          </w:p>
        </w:tc>
        <w:tc>
          <w:tcPr/>
          <w:p>
            <w:pPr>
              <w:pStyle w:val="Compact"/>
              <w:jc w:val="left"/>
            </w:pPr>
            <w:r>
              <w:t xml:space="preserve">4.72</w:t>
            </w:r>
          </w:p>
        </w:tc>
        <w:tc>
          <w:tcPr/>
          <w:p>
            <w:pPr>
              <w:pStyle w:val="Compact"/>
              <w:jc w:val="left"/>
            </w:pPr>
            <w:r>
              <w:t xml:space="preserve">19.72</w:t>
            </w:r>
          </w:p>
        </w:tc>
      </w:tr>
    </w:tbl>
    <w:p>
      <w:pPr>
        <w:pStyle w:val="BodyText"/>
      </w:pPr>
      <w:r>
        <w:rPr>
          <w:bCs/>
          <w:b/>
        </w:rPr>
        <w:t xml:space="preserve">Visualization.</w:t>
      </w:r>
      <w:r>
        <w:t xml:space="preserve"> A stacked bar of the six legs per period (see which leg is growing); a control chart of cycle time (spot drift and variability). </w:t>
      </w:r>
      <w:r>
        <w:rPr>
          <w:bCs/>
          <w:b/>
        </w:rPr>
        <w:t xml:space="preserve">Operational Interpretation.</w:t>
      </w:r>
      <w:r>
        <w:t xml:space="preserve"> Interpret against the route’s planned cycle; a rising trend at constant distance is the actionable signal, more than any absolute value.</w:t>
      </w:r>
    </w:p>
    <w:p>
      <w:pPr>
        <w:pStyle w:val="BodyText"/>
      </w:pPr>
      <w:r>
        <w:rPr>
          <w:bCs/>
          <w:b/>
        </w:rPr>
        <w:t xml:space="preserve">Common Mistakes.</w:t>
      </w:r>
      <w:r>
        <w:t xml:space="preserve"> Averaging cycle times across different routes/distances as if comparable. Ignoring the leg breakdown — the </w:t>
      </w:r>
      <w:r>
        <w:rPr>
          <w:iCs/>
          <w:i/>
        </w:rPr>
        <w:t xml:space="preserve">mean</w:t>
      </w:r>
      <w:r>
        <w:t xml:space="preserve"> hides which segment (queue vs haul) is the problem. </w:t>
      </w:r>
      <w:r>
        <w:rPr>
          <w:bCs/>
          <w:b/>
        </w:rPr>
        <w:t xml:space="preserve">Validation Rules.</w:t>
      </w:r>
      <w:r>
        <w:t xml:space="preserve"> Each cycle duration &gt; 0 and equals the sum of its legs within tolerance; non-empty sample. </w:t>
      </w:r>
      <w:r>
        <w:rPr>
          <w:bCs/>
          <w:b/>
        </w:rPr>
        <w:t xml:space="preserve">Unit Tests.</w:t>
      </w:r>
    </w:p>
    <w:p>
      <w:pPr>
        <w:pStyle w:val="SourceCode"/>
      </w:pPr>
      <w:r>
        <w:rPr>
          <w:rStyle w:val="ImportTok"/>
        </w:rPr>
        <w:t xml:space="preserve">from</w:t>
      </w:r>
      <w:r>
        <w:rPr>
          <w:rStyle w:val="NormalTok"/>
        </w:rPr>
        <w:t xml:space="preserve"> mp_kpis_p3 </w:t>
      </w:r>
      <w:r>
        <w:rPr>
          <w:rStyle w:val="ImportTok"/>
        </w:rPr>
        <w:t xml:space="preserve">import</w:t>
      </w:r>
      <w:r>
        <w:rPr>
          <w:rStyle w:val="NormalTok"/>
        </w:rPr>
        <w:t xml:space="preserve"> truck_cycle_time</w:t>
      </w:r>
      <w:r>
        <w:br/>
        <w:br/>
      </w:r>
      <w:r>
        <w:rPr>
          <w:rStyle w:val="KeywordTok"/>
        </w:rPr>
        <w:t xml:space="preserve">def</w:t>
      </w:r>
      <w:r>
        <w:rPr>
          <w:rStyle w:val="NormalTok"/>
        </w:rPr>
        <w:t xml:space="preserve"> test_cycle_time_canonical():</w:t>
      </w:r>
      <w:r>
        <w:br/>
      </w:r>
      <w:r>
        <w:rPr>
          <w:rStyle w:val="NormalTok"/>
        </w:rPr>
        <w:t xml:space="preserve">    </w:t>
      </w:r>
      <w:r>
        <w:rPr>
          <w:rStyle w:val="ControlFlowTok"/>
        </w:rPr>
        <w:t xml:space="preserve">assert</w:t>
      </w:r>
      <w:r>
        <w:rPr>
          <w:rStyle w:val="NormalTok"/>
        </w:rPr>
        <w:t xml:space="preserve"> </w:t>
      </w:r>
      <w:r>
        <w:rPr>
          <w:rStyle w:val="BuiltInTok"/>
        </w:rPr>
        <w:t xml:space="preserve">round</w:t>
      </w:r>
      <w:r>
        <w:rPr>
          <w:rStyle w:val="NormalTok"/>
        </w:rPr>
        <w:t xml:space="preserve">(truck_cycle_time([</w:t>
      </w:r>
      <w:r>
        <w:rPr>
          <w:rStyle w:val="FloatTok"/>
        </w:rPr>
        <w:t xml:space="preserve">18.90</w:t>
      </w:r>
      <w:r>
        <w:rPr>
          <w:rStyle w:val="NormalTok"/>
        </w:rPr>
        <w:t xml:space="preserve">, </w:t>
      </w:r>
      <w:r>
        <w:rPr>
          <w:rStyle w:val="FloatTok"/>
        </w:rPr>
        <w:t xml:space="preserve">19.80</w:t>
      </w:r>
      <w:r>
        <w:rPr>
          <w:rStyle w:val="NormalTok"/>
        </w:rPr>
        <w:t xml:space="preserve">, </w:t>
      </w:r>
      <w:r>
        <w:rPr>
          <w:rStyle w:val="FloatTok"/>
        </w:rPr>
        <w:t xml:space="preserve">19.72</w:t>
      </w:r>
      <w:r>
        <w:rPr>
          <w:rStyle w:val="NormalTok"/>
        </w:rPr>
        <w:t xml:space="preserve">]), </w:t>
      </w:r>
      <w:r>
        <w:rPr>
          <w:rStyle w:val="DecValTok"/>
        </w:rPr>
        <w:t xml:space="preserve">2</w:t>
      </w:r>
      <w:r>
        <w:rPr>
          <w:rStyle w:val="NormalTok"/>
        </w:rPr>
        <w:t xml:space="preserve">) </w:t>
      </w:r>
      <w:r>
        <w:rPr>
          <w:rStyle w:val="OperatorTok"/>
        </w:rPr>
        <w:t xml:space="preserve">==</w:t>
      </w:r>
      <w:r>
        <w:rPr>
          <w:rStyle w:val="NormalTok"/>
        </w:rPr>
        <w:t xml:space="preserve"> </w:t>
      </w:r>
      <w:r>
        <w:rPr>
          <w:rStyle w:val="FloatTok"/>
        </w:rPr>
        <w:t xml:space="preserve">19.47</w:t>
      </w:r>
    </w:p>
    <w:p>
      <w:pPr>
        <w:pStyle w:val="FirstParagraph"/>
      </w:pPr>
      <w:r>
        <w:rPr>
          <w:bCs/>
          <w:b/>
        </w:rPr>
        <w:t xml:space="preserve">Performance Considerations.</w:t>
      </w:r>
      <w:r>
        <w:t xml:space="preserve"> O(n); maintain a running sum and count per scope. </w:t>
      </w:r>
      <w:r>
        <w:rPr>
          <w:bCs/>
          <w:b/>
        </w:rPr>
        <w:t xml:space="preserve">Edge Cases.</w:t>
      </w:r>
      <w:r>
        <w:t xml:space="preserve"> A single very long cycle (breakdown mid-haul) skews the mean — pair with a median or exclude cycles overlapping an equipment </w:t>
      </w:r>
      <w:r>
        <w:rPr>
          <w:rStyle w:val="VerbatimChar"/>
        </w:rPr>
        <w:t xml:space="preserve">DelayEvent</w:t>
      </w:r>
      <w:r>
        <w:t xml:space="preserve">. </w:t>
      </w:r>
      <w:r>
        <w:rPr>
          <w:bCs/>
          <w:b/>
        </w:rPr>
        <w:t xml:space="preserve">AI Contributor Notes.</w:t>
      </w:r>
      <w:r>
        <w:t xml:space="preserve"> Treat as leading/operational; when explaining a TPH drop, decompose cycle time into legs before concluding. </w:t>
      </w:r>
      <w:r>
        <w:rPr>
          <w:bCs/>
          <w:b/>
        </w:rPr>
        <w:t xml:space="preserve">Digital Twin Mapping.</w:t>
      </w:r>
      <w:r>
        <w:t xml:space="preserve"> The twin exposes rolling mean cycle time per route, feeding the projected TPH. </w:t>
      </w:r>
      <w:r>
        <w:rPr>
          <w:bCs/>
          <w:b/>
        </w:rPr>
        <w:t xml:space="preserve">Decision Intelligence Mapping.</w:t>
      </w:r>
      <w:r>
        <w:t xml:space="preserve"> A rising-cycle-time alert routes to road maintenance, queue rebalancing, or loading review depending on which leg grew. </w:t>
      </w:r>
      <w:r>
        <w:rPr>
          <w:bCs/>
          <w:b/>
        </w:rPr>
        <w:t xml:space="preserve">Related KPIs.</w:t>
      </w:r>
      <w:r>
        <w:t xml:space="preserve"> </w:t>
      </w:r>
      <w:r>
        <w:rPr>
          <w:rStyle w:val="VerbatimChar"/>
        </w:rPr>
        <w:t xml:space="preserve">PROD.TPH</w:t>
      </w:r>
      <w:r>
        <w:t xml:space="preserve">, </w:t>
      </w:r>
      <w:r>
        <w:rPr>
          <w:rStyle w:val="VerbatimChar"/>
        </w:rPr>
        <w:t xml:space="preserve">PROD.Payload</w:t>
      </w:r>
      <w:r>
        <w:t xml:space="preserve">, </w:t>
      </w:r>
      <w:r>
        <w:rPr>
          <w:rStyle w:val="VerbatimChar"/>
        </w:rPr>
        <w:t xml:space="preserve">HAUL.MatchFactor</w:t>
      </w:r>
      <w:r>
        <w:t xml:space="preserve">, </w:t>
      </w:r>
      <w:r>
        <w:rPr>
          <w:rStyle w:val="VerbatimChar"/>
        </w:rPr>
        <w:t xml:space="preserve">DISP.QueueTime</w:t>
      </w:r>
      <w:r>
        <w:t xml:space="preserve">. </w:t>
      </w:r>
      <w:r>
        <w:rPr>
          <w:bCs/>
          <w:b/>
        </w:rPr>
        <w:t xml:space="preserve">References.</w:t>
      </w:r>
      <w:r>
        <w:t xml:space="preserve"> Part II, Chapter 13 (the truck cycle).</w:t>
      </w:r>
    </w:p>
    <w:bookmarkEnd w:id="77"/>
    <w:bookmarkStart w:id="78" w:name="prod.payload-mean-payload-per-cycle"/>
    <w:p>
      <w:pPr>
        <w:pStyle w:val="Heading3"/>
      </w:pPr>
      <w:bookmarkStart w:id="900033" w:name="_TocMP900033"/>
      <w:r>
        <w:t xml:space="preserve">PROD.Payload — Mean Payload per Cycle</w:t>
      </w:r>
      <w:bookmarkEnd w:id="900033"/>
    </w:p>
    <w:p>
      <w:pPr>
        <w:pStyle w:val="FirstParagraph"/>
      </w:pPr>
      <w:r>
        <w:rPr>
          <w:bCs/>
          <w:b/>
        </w:rPr>
        <w:t xml:space="preserve">Identifier.</w:t>
      </w:r>
      <w:r>
        <w:t xml:space="preserve"> </w:t>
      </w:r>
      <w:r>
        <w:rPr>
          <w:rStyle w:val="VerbatimChar"/>
        </w:rPr>
        <w:t xml:space="preserve">PROD.Payload</w:t>
      </w:r>
      <w:r>
        <w:t xml:space="preserve"> · </w:t>
      </w:r>
      <w:r>
        <w:rPr>
          <w:bCs/>
          <w:b/>
        </w:rPr>
        <w:t xml:space="preserve">Official Name.</w:t>
      </w:r>
      <w:r>
        <w:t xml:space="preserve"> Mean Payload · </w:t>
      </w:r>
      <w:r>
        <w:rPr>
          <w:bCs/>
          <w:b/>
        </w:rPr>
        <w:t xml:space="preserve">Status.</w:t>
      </w:r>
      <w:r>
        <w:t xml:space="preserve"> Active · </w:t>
      </w:r>
      <w:r>
        <w:rPr>
          <w:bCs/>
          <w:b/>
        </w:rPr>
        <w:t xml:space="preserve">Version.</w:t>
      </w:r>
      <w:r>
        <w:t xml:space="preserve"> 1.0.0</w:t>
      </w:r>
    </w:p>
    <w:p>
      <w:pPr>
        <w:pStyle w:val="BodyText"/>
      </w:pPr>
      <w:r>
        <w:rPr>
          <w:bCs/>
          <w:b/>
        </w:rPr>
        <w:t xml:space="preserve">Business Purpose.</w:t>
      </w:r>
      <w:r>
        <w:t xml:space="preserve"> Payload is the other half of TPH (tonnes = payload × cycles). Chronic under-loading silently caps throughput and inflates cost per tonne; over-loading damages tyres and frames and is a safety and compliance issue. </w:t>
      </w:r>
      <w:r>
        <w:rPr>
          <w:bCs/>
          <w:b/>
        </w:rPr>
        <w:t xml:space="preserve">Operational Question.</w:t>
      </w:r>
      <w:r>
        <w:t xml:space="preserve"> </w:t>
      </w:r>
      <w:r>
        <w:rPr>
          <w:iCs/>
          <w:i/>
        </w:rPr>
        <w:t xml:space="preserve">How many tonnes are we carrying per cycle, on average, versus the truck’s rated capacity?</w:t>
      </w:r>
      <w:r>
        <w:t xml:space="preserve"> </w:t>
      </w:r>
      <w:r>
        <w:rPr>
          <w:bCs/>
          <w:b/>
        </w:rPr>
        <w:t xml:space="preserve">Business Meaning.</w:t>
      </w:r>
      <w:r>
        <w:t xml:space="preserve"> Payload near (not above) rated capacity, with low variance, indicates good loading discipline.</w:t>
      </w:r>
    </w:p>
    <w:p>
      <w:pPr>
        <w:pStyle w:val="BodyText"/>
      </w:pPr>
      <w:r>
        <w:rPr>
          <w:bCs/>
          <w:b/>
        </w:rPr>
        <w:t xml:space="preserve">Formula.</w:t>
      </w:r>
    </w:p>
    <w:p>
      <w:pPr>
        <w:pStyle w:val="SourceCode"/>
      </w:pPr>
      <w:r>
        <w:rPr>
          <w:rStyle w:val="VerbatimChar"/>
        </w:rPr>
        <w:t xml:space="preserve">PROD.Payload  =  mean( payload_t )                         [t]</w:t>
      </w:r>
    </w:p>
    <w:p>
      <w:pPr>
        <w:pStyle w:val="FirstParagraph"/>
      </w:pPr>
      <w:r>
        <w:rPr>
          <w:bCs/>
          <w:b/>
        </w:rPr>
        <w:t xml:space="preserve">Units.</w:t>
      </w:r>
      <w:r>
        <w:t xml:space="preserve"> t. </w:t>
      </w:r>
      <w:r>
        <w:rPr>
          <w:bCs/>
          <w:b/>
        </w:rPr>
        <w:t xml:space="preserve">Dimensions.</w:t>
      </w:r>
      <w:r>
        <w:t xml:space="preserve"> Shift · Equipment · Fleet · Operator · Loading unit · Material. </w:t>
      </w:r>
      <w:r>
        <w:rPr>
          <w:bCs/>
          <w:b/>
        </w:rPr>
        <w:t xml:space="preserve">Required Events.</w:t>
      </w:r>
      <w:r>
        <w:t xml:space="preserve"> </w:t>
      </w:r>
      <w:r>
        <w:rPr>
          <w:rStyle w:val="VerbatimChar"/>
        </w:rPr>
        <w:t xml:space="preserve">CycleEvent</w:t>
      </w:r>
      <w:r>
        <w:t xml:space="preserve"> (</w:t>
      </w:r>
      <w:r>
        <w:rPr>
          <w:rStyle w:val="VerbatimChar"/>
        </w:rPr>
        <w:t xml:space="preserve">payload_t</w:t>
      </w:r>
      <w:r>
        <w:t xml:space="preserve">). </w:t>
      </w:r>
      <w:r>
        <w:rPr>
          <w:bCs/>
          <w:b/>
        </w:rPr>
        <w:t xml:space="preserve">Required Ontology.</w:t>
      </w:r>
      <w:r>
        <w:t xml:space="preserve"> </w:t>
      </w:r>
      <w:r>
        <w:rPr>
          <w:rStyle w:val="VerbatimChar"/>
        </w:rPr>
        <w:t xml:space="preserve">Equipment</w:t>
      </w:r>
      <w:r>
        <w:t xml:space="preserve"> (rated capacity), </w:t>
      </w:r>
      <w:r>
        <w:rPr>
          <w:rStyle w:val="VerbatimChar"/>
        </w:rPr>
        <w:t xml:space="preserve">Shift</w:t>
      </w:r>
      <w:r>
        <w:t xml:space="preserve">, </w:t>
      </w:r>
      <w:r>
        <w:rPr>
          <w:rStyle w:val="VerbatimChar"/>
        </w:rPr>
        <w:t xml:space="preserve">Operator</w:t>
      </w:r>
      <w:r>
        <w:t xml:space="preserve">, </w:t>
      </w:r>
      <w:r>
        <w:rPr>
          <w:rStyle w:val="VerbatimChar"/>
        </w:rPr>
        <w:t xml:space="preserve">Material</w:t>
      </w:r>
      <w:r>
        <w:t xml:space="preserve">. </w:t>
      </w:r>
      <w:r>
        <w:rPr>
          <w:bCs/>
          <w:b/>
        </w:rPr>
        <w:t xml:space="preserve">Dependencies.</w:t>
      </w:r>
      <w:r>
        <w:t xml:space="preserve"> None (base). </w:t>
      </w:r>
      <w:r>
        <w:rPr>
          <w:bCs/>
          <w:b/>
        </w:rPr>
        <w:t xml:space="preserve">Mathematical Properties.</w:t>
      </w:r>
      <w:r>
        <w:t xml:space="preserve"> Average KPI; aggregate as a cycle-count-weighted mean. Also report payload </w:t>
      </w:r>
      <w:r>
        <w:rPr>
          <w:iCs/>
          <w:i/>
        </w:rPr>
        <w:t xml:space="preserve">variance</w:t>
      </w:r>
      <w:r>
        <w:t xml:space="preserve"> as a companion quality-of-loading signal.</w:t>
      </w:r>
    </w:p>
    <w:p>
      <w:pPr>
        <w:pStyle w:val="BodyText"/>
      </w:pPr>
      <w:r>
        <w:rPr>
          <w:bCs/>
          <w:b/>
        </w:rPr>
        <w:t xml:space="preserve">Calculation Logic.</w:t>
      </w:r>
      <w:r>
        <w:t xml:space="preserve"> Select in-scope cycles; average </w:t>
      </w:r>
      <w:r>
        <w:rPr>
          <w:rStyle w:val="VerbatimChar"/>
        </w:rPr>
        <w:t xml:space="preserve">payload_t</w:t>
      </w:r>
      <w:r>
        <w:t xml:space="preserve">; compare to rated capacity to derive a fill factor.</w:t>
      </w:r>
    </w:p>
    <w:p>
      <w:pPr>
        <w:pStyle w:val="BodyText"/>
      </w:pPr>
      <w:r>
        <w:rPr>
          <w:bCs/>
          <w:b/>
        </w:rPr>
        <w:t xml:space="preserve">Python Implementation.</w:t>
      </w:r>
    </w:p>
    <w:p>
      <w:pPr>
        <w:pStyle w:val="SourceCode"/>
      </w:pPr>
      <w:r>
        <w:rPr>
          <w:rStyle w:val="ImportTok"/>
        </w:rPr>
        <w:t xml:space="preserve">from</w:t>
      </w:r>
      <w:r>
        <w:rPr>
          <w:rStyle w:val="NormalTok"/>
        </w:rPr>
        <w:t xml:space="preserve"> statistics </w:t>
      </w:r>
      <w:r>
        <w:rPr>
          <w:rStyle w:val="ImportTok"/>
        </w:rPr>
        <w:t xml:space="preserve">import</w:t>
      </w:r>
      <w:r>
        <w:rPr>
          <w:rStyle w:val="NormalTok"/>
        </w:rPr>
        <w:t xml:space="preserve"> mean</w:t>
      </w:r>
      <w:r>
        <w:br/>
      </w:r>
      <w:r>
        <w:rPr>
          <w:rStyle w:val="ImportTok"/>
        </w:rPr>
        <w:t xml:space="preserve">from</w:t>
      </w:r>
      <w:r>
        <w:rPr>
          <w:rStyle w:val="NormalTok"/>
        </w:rPr>
        <w:t xml:space="preserve"> typing </w:t>
      </w:r>
      <w:r>
        <w:rPr>
          <w:rStyle w:val="ImportTok"/>
        </w:rPr>
        <w:t xml:space="preserve">import</w:t>
      </w:r>
      <w:r>
        <w:rPr>
          <w:rStyle w:val="NormalTok"/>
        </w:rPr>
        <w:t xml:space="preserve"> Sequence</w:t>
      </w:r>
      <w:r>
        <w:br/>
        <w:br/>
      </w:r>
      <w:r>
        <w:rPr>
          <w:rStyle w:val="KeywordTok"/>
        </w:rPr>
        <w:t xml:space="preserve">def</w:t>
      </w:r>
      <w:r>
        <w:rPr>
          <w:rStyle w:val="NormalTok"/>
        </w:rPr>
        <w:t xml:space="preserve"> mean_payload(payloads_t: Sequence[</w:t>
      </w:r>
      <w:r>
        <w:rPr>
          <w:rStyle w:val="BuiltInTok"/>
        </w:rPr>
        <w:t xml:space="preserve">float</w:t>
      </w:r>
      <w:r>
        <w:rPr>
          <w:rStyle w:val="NormalTok"/>
        </w:rPr>
        <w:t xml:space="preserve">]) </w:t>
      </w:r>
      <w:r>
        <w:rPr>
          <w:rStyle w:val="OperatorTok"/>
        </w:rPr>
        <w:t xml:space="preserve">-&gt;</w:t>
      </w:r>
      <w:r>
        <w:rPr>
          <w:rStyle w:val="NormalTok"/>
        </w:rPr>
        <w:t xml:space="preserve"> </w:t>
      </w:r>
      <w:r>
        <w:rPr>
          <w:rStyle w:val="BuiltInTok"/>
        </w:rPr>
        <w:t xml:space="preserve">float</w:t>
      </w:r>
      <w:r>
        <w:rPr>
          <w:rStyle w:val="NormalTok"/>
        </w:rPr>
        <w:t xml:space="preserve">:</w:t>
      </w:r>
      <w:r>
        <w:br/>
      </w:r>
      <w:r>
        <w:rPr>
          <w:rStyle w:val="NormalTok"/>
        </w:rPr>
        <w:t xml:space="preserve">    </w:t>
      </w:r>
      <w:r>
        <w:rPr>
          <w:rStyle w:val="CommentTok"/>
        </w:rPr>
        <w:t xml:space="preserve">"""PROD.Payload — mean tonnes carried per cycle (t)."""</w:t>
      </w:r>
      <w:r>
        <w:br/>
      </w:r>
      <w:r>
        <w:rPr>
          <w:rStyle w:val="NormalTok"/>
        </w:rPr>
        <w:t xml:space="preserve">    </w:t>
      </w:r>
      <w:r>
        <w:rPr>
          <w:rStyle w:val="ControlFlowTok"/>
        </w:rPr>
        <w:t xml:space="preserve">if</w:t>
      </w:r>
      <w:r>
        <w:rPr>
          <w:rStyle w:val="NormalTok"/>
        </w:rPr>
        <w:t xml:space="preserve"> </w:t>
      </w:r>
      <w:r>
        <w:rPr>
          <w:rStyle w:val="KeywordTok"/>
        </w:rPr>
        <w:t xml:space="preserve">not</w:t>
      </w:r>
      <w:r>
        <w:rPr>
          <w:rStyle w:val="NormalTok"/>
        </w:rPr>
        <w:t xml:space="preserve"> payloads_t:</w:t>
      </w:r>
      <w:r>
        <w:br/>
      </w:r>
      <w:r>
        <w:rPr>
          <w:rStyle w:val="NormalTok"/>
        </w:rPr>
        <w:t xml:space="preserve">        </w:t>
      </w:r>
      <w:r>
        <w:rPr>
          <w:rStyle w:val="ControlFlowTok"/>
        </w:rPr>
        <w:t xml:space="preserve">raise</w:t>
      </w:r>
      <w:r>
        <w:rPr>
          <w:rStyle w:val="NormalTok"/>
        </w:rPr>
        <w:t xml:space="preserve"> </w:t>
      </w:r>
      <w:r>
        <w:rPr>
          <w:rStyle w:val="PreprocessorTok"/>
        </w:rPr>
        <w:t xml:space="preserve">ValueError</w:t>
      </w:r>
      <w:r>
        <w:rPr>
          <w:rStyle w:val="NormalTok"/>
        </w:rPr>
        <w:t xml:space="preserve">(</w:t>
      </w:r>
      <w:r>
        <w:rPr>
          <w:rStyle w:val="StringTok"/>
        </w:rPr>
        <w:t xml:space="preserve">"no payloads"</w:t>
      </w:r>
      <w:r>
        <w:rPr>
          <w:rStyle w:val="NormalTok"/>
        </w:rPr>
        <w:t xml:space="preserve">)</w:t>
      </w:r>
      <w:r>
        <w:br/>
      </w:r>
      <w:r>
        <w:rPr>
          <w:rStyle w:val="NormalTok"/>
        </w:rPr>
        <w:t xml:space="preserve">    </w:t>
      </w:r>
      <w:r>
        <w:rPr>
          <w:rStyle w:val="ControlFlowTok"/>
        </w:rPr>
        <w:t xml:space="preserve">return</w:t>
      </w:r>
      <w:r>
        <w:rPr>
          <w:rStyle w:val="NormalTok"/>
        </w:rPr>
        <w:t xml:space="preserve"> mean(payloads_t)</w:t>
      </w:r>
    </w:p>
    <w:p>
      <w:pPr>
        <w:pStyle w:val="FirstParagraph"/>
      </w:pPr>
      <w:r>
        <w:rPr>
          <w:bCs/>
          <w:b/>
        </w:rPr>
        <w:t xml:space="preserve">Expected Output.</w:t>
      </w:r>
      <w:r>
        <w:t xml:space="preserve"> A positive float in tonnes. Worked example → </w:t>
      </w:r>
      <w:r>
        <w:rPr>
          <w:rStyle w:val="VerbatimChar"/>
        </w:rPr>
        <w:t xml:space="preserve">220.5</w:t>
      </w:r>
      <w:r>
        <w:t xml:space="preserve">.</w:t>
      </w:r>
    </w:p>
    <w:p>
      <w:pPr>
        <w:pStyle w:val="BodyText"/>
      </w:pPr>
      <w:r>
        <w:rPr>
          <w:bCs/>
          <w:b/>
        </w:rPr>
        <w:t xml:space="preserve">Worked Example.</w:t>
      </w:r>
      <w:r>
        <w:t xml:space="preserve"> A 220 t-rated truck records payloads </w:t>
      </w:r>
      <w:r>
        <w:rPr>
          <w:bCs/>
          <w:b/>
        </w:rPr>
        <w:t xml:space="preserve">221, 219, 224, 218 t</w:t>
      </w:r>
      <w:r>
        <w:t xml:space="preserve"> over four cycles. </w:t>
      </w:r>
      <w:r>
        <w:rPr>
          <w:rStyle w:val="VerbatimChar"/>
        </w:rPr>
        <w:t xml:space="preserve">mean_payload([221, 219, 224, 218])</w:t>
      </w:r>
      <w:r>
        <w:t xml:space="preserve"> → </w:t>
      </w:r>
      <w:r>
        <w:rPr>
          <w:bCs/>
          <w:b/>
        </w:rPr>
        <w:t xml:space="preserve">220.5 t</w:t>
      </w:r>
      <w:r>
        <w:t xml:space="preserve">, a fill factor of ~100% of rated capacity with low spread — healthy loading.</w:t>
      </w:r>
    </w:p>
    <w:p>
      <w:pPr>
        <w:pStyle w:val="BodyText"/>
      </w:pPr>
      <w:r>
        <w:rPr>
          <w:bCs/>
          <w:b/>
        </w:rPr>
        <w:t xml:space="preserve">Sample Dataset.</w:t>
      </w:r>
    </w:p>
    <w:tbl>
      <w:tblPr>
        <w:tblStyle w:val="Table"/>
        <w:tblW w:type="auto" w:w="0"/>
        <w:tblLook w:firstRow="1" w:lastRow="0" w:firstColumn="0" w:lastColumn="0" w:noHBand="0" w:noVBand="0" w:val="0020"/>
        <w:jc w:val="start"/>
      </w:tblPr>
      <w:tblGrid>
        <w:gridCol w:w="1980"/>
        <w:gridCol w:w="1980"/>
        <w:gridCol w:w="1980"/>
        <w:gridCol w:w="1980"/>
      </w:tblGrid>
      <w:tr>
        <w:trPr>
          <w:tblHeader w:val="true"/>
        </w:trPr>
        <w:tc>
          <w:tcPr/>
          <w:p>
            <w:pPr>
              <w:pStyle w:val="Compact"/>
              <w:jc w:val="left"/>
            </w:pPr>
            <w:r>
              <w:t xml:space="preserve">cycle</w:t>
            </w:r>
          </w:p>
        </w:tc>
        <w:tc>
          <w:tcPr/>
          <w:p>
            <w:pPr>
              <w:pStyle w:val="Compact"/>
              <w:jc w:val="left"/>
            </w:pPr>
            <w:r>
              <w:t xml:space="preserve">truck</w:t>
            </w:r>
          </w:p>
        </w:tc>
        <w:tc>
          <w:tcPr/>
          <w:p>
            <w:pPr>
              <w:pStyle w:val="Compact"/>
              <w:jc w:val="left"/>
            </w:pPr>
            <w:r>
              <w:t xml:space="preserve">rated_t</w:t>
            </w:r>
          </w:p>
        </w:tc>
        <w:tc>
          <w:tcPr/>
          <w:p>
            <w:pPr>
              <w:pStyle w:val="Compact"/>
              <w:jc w:val="left"/>
            </w:pPr>
            <w:r>
              <w:t xml:space="preserve">payload_t</w:t>
            </w:r>
          </w:p>
        </w:tc>
      </w:tr>
      <w:tr>
        <w:tc>
          <w:tcPr/>
          <w:p>
            <w:pPr>
              <w:pStyle w:val="Compact"/>
              <w:jc w:val="left"/>
            </w:pPr>
            <w:r>
              <w:t xml:space="preserve">1</w:t>
            </w:r>
          </w:p>
        </w:tc>
        <w:tc>
          <w:tcPr/>
          <w:p>
            <w:pPr>
              <w:pStyle w:val="Compact"/>
              <w:jc w:val="left"/>
            </w:pPr>
            <w:r>
              <w:t xml:space="preserve">T-114</w:t>
            </w:r>
          </w:p>
        </w:tc>
        <w:tc>
          <w:tcPr/>
          <w:p>
            <w:pPr>
              <w:pStyle w:val="Compact"/>
              <w:jc w:val="left"/>
            </w:pPr>
            <w:r>
              <w:t xml:space="preserve">220</w:t>
            </w:r>
          </w:p>
        </w:tc>
        <w:tc>
          <w:tcPr/>
          <w:p>
            <w:pPr>
              <w:pStyle w:val="Compact"/>
              <w:jc w:val="left"/>
            </w:pPr>
            <w:r>
              <w:t xml:space="preserve">221</w:t>
            </w:r>
          </w:p>
        </w:tc>
      </w:tr>
      <w:tr>
        <w:tc>
          <w:tcPr/>
          <w:p>
            <w:pPr>
              <w:pStyle w:val="Compact"/>
              <w:jc w:val="left"/>
            </w:pPr>
            <w:r>
              <w:t xml:space="preserve">2</w:t>
            </w:r>
          </w:p>
        </w:tc>
        <w:tc>
          <w:tcPr/>
          <w:p>
            <w:pPr>
              <w:pStyle w:val="Compact"/>
              <w:jc w:val="left"/>
            </w:pPr>
            <w:r>
              <w:t xml:space="preserve">T-114</w:t>
            </w:r>
          </w:p>
        </w:tc>
        <w:tc>
          <w:tcPr/>
          <w:p>
            <w:pPr>
              <w:pStyle w:val="Compact"/>
              <w:jc w:val="left"/>
            </w:pPr>
            <w:r>
              <w:t xml:space="preserve">220</w:t>
            </w:r>
          </w:p>
        </w:tc>
        <w:tc>
          <w:tcPr/>
          <w:p>
            <w:pPr>
              <w:pStyle w:val="Compact"/>
              <w:jc w:val="left"/>
            </w:pPr>
            <w:r>
              <w:t xml:space="preserve">219</w:t>
            </w:r>
          </w:p>
        </w:tc>
      </w:tr>
      <w:tr>
        <w:tc>
          <w:tcPr/>
          <w:p>
            <w:pPr>
              <w:pStyle w:val="Compact"/>
              <w:jc w:val="left"/>
            </w:pPr>
            <w:r>
              <w:t xml:space="preserve">3</w:t>
            </w:r>
          </w:p>
        </w:tc>
        <w:tc>
          <w:tcPr/>
          <w:p>
            <w:pPr>
              <w:pStyle w:val="Compact"/>
              <w:jc w:val="left"/>
            </w:pPr>
            <w:r>
              <w:t xml:space="preserve">T-114</w:t>
            </w:r>
          </w:p>
        </w:tc>
        <w:tc>
          <w:tcPr/>
          <w:p>
            <w:pPr>
              <w:pStyle w:val="Compact"/>
              <w:jc w:val="left"/>
            </w:pPr>
            <w:r>
              <w:t xml:space="preserve">220</w:t>
            </w:r>
          </w:p>
        </w:tc>
        <w:tc>
          <w:tcPr/>
          <w:p>
            <w:pPr>
              <w:pStyle w:val="Compact"/>
              <w:jc w:val="left"/>
            </w:pPr>
            <w:r>
              <w:t xml:space="preserve">224</w:t>
            </w:r>
          </w:p>
        </w:tc>
      </w:tr>
      <w:tr>
        <w:tc>
          <w:tcPr/>
          <w:p>
            <w:pPr>
              <w:pStyle w:val="Compact"/>
              <w:jc w:val="left"/>
            </w:pPr>
            <w:r>
              <w:t xml:space="preserve">4</w:t>
            </w:r>
          </w:p>
        </w:tc>
        <w:tc>
          <w:tcPr/>
          <w:p>
            <w:pPr>
              <w:pStyle w:val="Compact"/>
              <w:jc w:val="left"/>
            </w:pPr>
            <w:r>
              <w:t xml:space="preserve">T-114</w:t>
            </w:r>
          </w:p>
        </w:tc>
        <w:tc>
          <w:tcPr/>
          <w:p>
            <w:pPr>
              <w:pStyle w:val="Compact"/>
              <w:jc w:val="left"/>
            </w:pPr>
            <w:r>
              <w:t xml:space="preserve">220</w:t>
            </w:r>
          </w:p>
        </w:tc>
        <w:tc>
          <w:tcPr/>
          <w:p>
            <w:pPr>
              <w:pStyle w:val="Compact"/>
              <w:jc w:val="left"/>
            </w:pPr>
            <w:r>
              <w:t xml:space="preserve">218</w:t>
            </w:r>
          </w:p>
        </w:tc>
      </w:tr>
    </w:tbl>
    <w:p>
      <w:pPr>
        <w:pStyle w:val="BodyText"/>
      </w:pPr>
      <w:r>
        <w:rPr>
          <w:bCs/>
          <w:b/>
        </w:rPr>
        <w:t xml:space="preserve">Visualization.</w:t>
      </w:r>
      <w:r>
        <w:t xml:space="preserve"> A histogram of payloads with the rated capacity marked (see the distribution and outliers); a payload-variance trend by operator/loading unit. </w:t>
      </w:r>
      <w:r>
        <w:rPr>
          <w:bCs/>
          <w:b/>
        </w:rPr>
        <w:t xml:space="preserve">Operational Interpretation.</w:t>
      </w:r>
      <w:r>
        <w:t xml:space="preserve"> Target ~95–105% of rated with low variance; persistent &lt; 90% is lost throughput; &gt; 110% risks equipment and compliance. </w:t>
      </w:r>
      <w:r>
        <w:rPr>
          <w:bCs/>
          <w:b/>
        </w:rPr>
        <w:t xml:space="preserve">Common Mistakes.</w:t>
      </w:r>
      <w:r>
        <w:t xml:space="preserve"> Reporting only the mean and missing high variance; comparing payloads across differently-rated trucks without normalising to fill factor. </w:t>
      </w:r>
      <w:r>
        <w:rPr>
          <w:bCs/>
          <w:b/>
        </w:rPr>
        <w:t xml:space="preserve">Validation Rules.</w:t>
      </w:r>
      <w:r>
        <w:t xml:space="preserve"> </w:t>
      </w:r>
      <w:r>
        <w:rPr>
          <w:rStyle w:val="VerbatimChar"/>
        </w:rPr>
        <w:t xml:space="preserve">payload_t ≥ 0</w:t>
      </w:r>
      <w:r>
        <w:t xml:space="preserve">; flag payloads implausibly above rated capacity; non-empty sample. </w:t>
      </w:r>
      <w:r>
        <w:rPr>
          <w:bCs/>
          <w:b/>
        </w:rPr>
        <w:t xml:space="preserve">Unit Tests.</w:t>
      </w:r>
    </w:p>
    <w:p>
      <w:pPr>
        <w:pStyle w:val="SourceCode"/>
      </w:pPr>
      <w:r>
        <w:rPr>
          <w:rStyle w:val="ImportTok"/>
        </w:rPr>
        <w:t xml:space="preserve">from</w:t>
      </w:r>
      <w:r>
        <w:rPr>
          <w:rStyle w:val="NormalTok"/>
        </w:rPr>
        <w:t xml:space="preserve"> mp_kpis_p3 </w:t>
      </w:r>
      <w:r>
        <w:rPr>
          <w:rStyle w:val="ImportTok"/>
        </w:rPr>
        <w:t xml:space="preserve">import</w:t>
      </w:r>
      <w:r>
        <w:rPr>
          <w:rStyle w:val="NormalTok"/>
        </w:rPr>
        <w:t xml:space="preserve"> mean_payload</w:t>
      </w:r>
      <w:r>
        <w:br/>
        <w:br/>
      </w:r>
      <w:r>
        <w:rPr>
          <w:rStyle w:val="KeywordTok"/>
        </w:rPr>
        <w:t xml:space="preserve">def</w:t>
      </w:r>
      <w:r>
        <w:rPr>
          <w:rStyle w:val="NormalTok"/>
        </w:rPr>
        <w:t xml:space="preserve"> test_payload_canonical():</w:t>
      </w:r>
      <w:r>
        <w:br/>
      </w:r>
      <w:r>
        <w:rPr>
          <w:rStyle w:val="NormalTok"/>
        </w:rPr>
        <w:t xml:space="preserve">    </w:t>
      </w:r>
      <w:r>
        <w:rPr>
          <w:rStyle w:val="ControlFlowTok"/>
        </w:rPr>
        <w:t xml:space="preserve">assert</w:t>
      </w:r>
      <w:r>
        <w:rPr>
          <w:rStyle w:val="NormalTok"/>
        </w:rPr>
        <w:t xml:space="preserve"> </w:t>
      </w:r>
      <w:r>
        <w:rPr>
          <w:rStyle w:val="BuiltInTok"/>
        </w:rPr>
        <w:t xml:space="preserve">round</w:t>
      </w:r>
      <w:r>
        <w:rPr>
          <w:rStyle w:val="NormalTok"/>
        </w:rPr>
        <w:t xml:space="preserve">(mean_payload([</w:t>
      </w:r>
      <w:r>
        <w:rPr>
          <w:rStyle w:val="DecValTok"/>
        </w:rPr>
        <w:t xml:space="preserve">221</w:t>
      </w:r>
      <w:r>
        <w:rPr>
          <w:rStyle w:val="NormalTok"/>
        </w:rPr>
        <w:t xml:space="preserve">, </w:t>
      </w:r>
      <w:r>
        <w:rPr>
          <w:rStyle w:val="DecValTok"/>
        </w:rPr>
        <w:t xml:space="preserve">219</w:t>
      </w:r>
      <w:r>
        <w:rPr>
          <w:rStyle w:val="NormalTok"/>
        </w:rPr>
        <w:t xml:space="preserve">, </w:t>
      </w:r>
      <w:r>
        <w:rPr>
          <w:rStyle w:val="DecValTok"/>
        </w:rPr>
        <w:t xml:space="preserve">224</w:t>
      </w:r>
      <w:r>
        <w:rPr>
          <w:rStyle w:val="NormalTok"/>
        </w:rPr>
        <w:t xml:space="preserve">, </w:t>
      </w:r>
      <w:r>
        <w:rPr>
          <w:rStyle w:val="DecValTok"/>
        </w:rPr>
        <w:t xml:space="preserve">218</w:t>
      </w:r>
      <w:r>
        <w:rPr>
          <w:rStyle w:val="NormalTok"/>
        </w:rPr>
        <w:t xml:space="preserve">]), </w:t>
      </w:r>
      <w:r>
        <w:rPr>
          <w:rStyle w:val="DecValTok"/>
        </w:rPr>
        <w:t xml:space="preserve">1</w:t>
      </w:r>
      <w:r>
        <w:rPr>
          <w:rStyle w:val="NormalTok"/>
        </w:rPr>
        <w:t xml:space="preserve">) </w:t>
      </w:r>
      <w:r>
        <w:rPr>
          <w:rStyle w:val="OperatorTok"/>
        </w:rPr>
        <w:t xml:space="preserve">==</w:t>
      </w:r>
      <w:r>
        <w:rPr>
          <w:rStyle w:val="NormalTok"/>
        </w:rPr>
        <w:t xml:space="preserve"> </w:t>
      </w:r>
      <w:r>
        <w:rPr>
          <w:rStyle w:val="FloatTok"/>
        </w:rPr>
        <w:t xml:space="preserve">220.5</w:t>
      </w:r>
    </w:p>
    <w:p>
      <w:pPr>
        <w:pStyle w:val="FirstParagraph"/>
      </w:pPr>
      <w:r>
        <w:rPr>
          <w:bCs/>
          <w:b/>
        </w:rPr>
        <w:t xml:space="preserve">Performance Considerations.</w:t>
      </w:r>
      <w:r>
        <w:t xml:space="preserve"> O(n); maintain running mean and variance per scope. </w:t>
      </w:r>
      <w:r>
        <w:rPr>
          <w:bCs/>
          <w:b/>
        </w:rPr>
        <w:t xml:space="preserve">Edge Cases.</w:t>
      </w:r>
      <w:r>
        <w:t xml:space="preserve"> Sensor-spiked payloads (strut-pressure faults) must be filtered at the connector or they inflate both payload and TPH. </w:t>
      </w:r>
      <w:r>
        <w:rPr>
          <w:bCs/>
          <w:b/>
        </w:rPr>
        <w:t xml:space="preserve">AI Contributor Notes.</w:t>
      </w:r>
      <w:r>
        <w:t xml:space="preserve"> Lagging/operational; pair mean with variance in any agent narrative about loading. </w:t>
      </w:r>
      <w:r>
        <w:rPr>
          <w:bCs/>
          <w:b/>
        </w:rPr>
        <w:t xml:space="preserve">Digital Twin Mapping.</w:t>
      </w:r>
      <w:r>
        <w:t xml:space="preserve"> The twin tracks per-fleet fill factor, a lever on projected TPH. </w:t>
      </w:r>
      <w:r>
        <w:rPr>
          <w:bCs/>
          <w:b/>
        </w:rPr>
        <w:t xml:space="preserve">Decision Intelligence Mapping.</w:t>
      </w:r>
      <w:r>
        <w:t xml:space="preserve"> Low fill factor → loading-practice or bucket-match recommendation; high variance → operator coaching or scale-calibration check. </w:t>
      </w:r>
      <w:r>
        <w:rPr>
          <w:bCs/>
          <w:b/>
        </w:rPr>
        <w:t xml:space="preserve">Related KPIs.</w:t>
      </w:r>
      <w:r>
        <w:t xml:space="preserve"> </w:t>
      </w:r>
      <w:r>
        <w:rPr>
          <w:rStyle w:val="VerbatimChar"/>
        </w:rPr>
        <w:t xml:space="preserve">PROD.TPH</w:t>
      </w:r>
      <w:r>
        <w:t xml:space="preserve">, </w:t>
      </w:r>
      <w:r>
        <w:rPr>
          <w:rStyle w:val="VerbatimChar"/>
        </w:rPr>
        <w:t xml:space="preserve">PROD.TruckCycleTime</w:t>
      </w:r>
      <w:r>
        <w:t xml:space="preserve">, </w:t>
      </w:r>
      <w:r>
        <w:rPr>
          <w:rStyle w:val="VerbatimChar"/>
        </w:rPr>
        <w:t xml:space="preserve">HAUL.TonKm</w:t>
      </w:r>
      <w:r>
        <w:t xml:space="preserve">. </w:t>
      </w:r>
      <w:r>
        <w:rPr>
          <w:bCs/>
          <w:b/>
        </w:rPr>
        <w:t xml:space="preserve">References.</w:t>
      </w:r>
      <w:r>
        <w:t xml:space="preserve"> OEM payload-management guidance; Part II, Chapters 13 and 15.</w:t>
      </w:r>
    </w:p>
    <w:bookmarkEnd w:id="78"/>
    <w:bookmarkEnd w:id="79"/>
    <w:bookmarkStart w:id="80" w:name="summary-production-kpis"/>
    <w:p>
      <w:pPr>
        <w:pStyle w:val="Heading2"/>
      </w:pPr>
      <w:bookmarkStart w:id="900034" w:name="_TocMP900034"/>
      <w:r>
        <w:t xml:space="preserve">Summary — Production KPIs</w:t>
      </w:r>
      <w:bookmarkEnd w:id="900034"/>
    </w:p>
    <w:p>
      <w:pPr>
        <w:pStyle w:val="FirstParagraph"/>
      </w:pPr>
      <w:r>
        <w:rPr>
          <w:rStyle w:val="VerbatimChar"/>
        </w:rPr>
        <w:t xml:space="preserve">PROD.TPH</w:t>
      </w:r>
      <w:r>
        <w:t xml:space="preserve"> (throughput rate), </w:t>
      </w:r>
      <w:r>
        <w:rPr>
          <w:rStyle w:val="VerbatimChar"/>
        </w:rPr>
        <w:t xml:space="preserve">PROD.TruckCycleTime</w:t>
      </w:r>
      <w:r>
        <w:t xml:space="preserve"> (cycle duration), and </w:t>
      </w:r>
      <w:r>
        <w:rPr>
          <w:rStyle w:val="VerbatimChar"/>
        </w:rPr>
        <w:t xml:space="preserve">PROD.Payload</w:t>
      </w:r>
      <w:r>
        <w:t xml:space="preserve"> (load per cycle) together explain a fleet’s output: tonnes are payload × cycles, and TPH is tonnes over operating time. TPH is the anchor; cycle time and payload are the leading levers that move it. All read from </w:t>
      </w:r>
      <w:r>
        <w:rPr>
          <w:rStyle w:val="VerbatimChar"/>
        </w:rPr>
        <w:t xml:space="preserve">CycleEvent</w:t>
      </w:r>
      <w:r>
        <w:t xml:space="preserve">, all are base KPIs, and all obey the aggregation rule that ratios and means are recomputed — never averaged — at each level.</w:t>
      </w:r>
    </w:p>
    <w:bookmarkEnd w:id="80"/>
    <w:bookmarkStart w:id="81" w:name="further-reading-4"/>
    <w:p>
      <w:pPr>
        <w:pStyle w:val="Heading2"/>
      </w:pPr>
      <w:bookmarkStart w:id="900035" w:name="_TocMP900035"/>
      <w:r>
        <w:t xml:space="preserve">Further Reading</w:t>
      </w:r>
      <w:bookmarkEnd w:id="900035"/>
    </w:p>
    <w:p>
      <w:pPr>
        <w:pStyle w:val="FirstParagraph"/>
      </w:pPr>
      <w:r>
        <w:t xml:space="preserve">Part II, Chapters 13, 15, 17; the </w:t>
      </w:r>
      <w:r>
        <w:rPr>
          <w:rStyle w:val="VerbatimChar"/>
        </w:rPr>
        <w:t xml:space="preserve">HAUL</w:t>
      </w:r>
      <w:r>
        <w:t xml:space="preserve"> and </w:t>
      </w:r>
      <w:r>
        <w:rPr>
          <w:rStyle w:val="VerbatimChar"/>
        </w:rPr>
        <w:t xml:space="preserve">UTIL</w:t>
      </w:r>
      <w:r>
        <w:t xml:space="preserve"> categories (which contextualise production). Next: </w:t>
      </w:r>
      <w:r>
        <w:rPr>
          <w:bCs/>
          <w:b/>
        </w:rPr>
        <w:t xml:space="preserve">Haulage &amp; Fleet KPIs</w:t>
      </w:r>
      <w:r>
        <w:t xml:space="preserve">.</w:t>
      </w:r>
    </w:p>
    <w:p>
      <w:r>
        <w:br w:type="page"/>
      </w:r>
    </w:p>
    <w:bookmarkEnd w:id="81"/>
    <w:bookmarkStart w:id="84" w:name="haulage-fleet-kpis"/>
    <w:p>
      <w:pPr>
        <w:pStyle w:val="Heading2"/>
      </w:pPr>
      <w:bookmarkStart w:id="900036" w:name="_TocMP900036"/>
      <w:r>
        <w:t xml:space="preserve">Haulage &amp; Fleet KPIs</w:t>
      </w:r>
      <w:bookmarkEnd w:id="900036"/>
    </w:p>
    <w:p>
      <w:pPr>
        <w:pStyle w:val="LearningObjectives"/>
      </w:pPr>
      <w:r>
        <w:rPr>
          <w:bCs/>
          <w:b/>
        </w:rPr>
        <w:t xml:space="preserve">Learning Objectives.</w:t>
      </w:r>
      <w:r>
        <w:t xml:space="preserve"> Understand the </w:t>
      </w:r>
      <w:r>
        <w:rPr>
          <w:rStyle w:val="VerbatimChar"/>
        </w:rPr>
        <w:t xml:space="preserve">HAUL</w:t>
      </w:r>
      <w:r>
        <w:t xml:space="preserve"> namespace — fleet balance and haulage work — and compute match factor and ton-kilometres from cycle and route data.</w:t>
      </w:r>
    </w:p>
    <w:p>
      <w:pPr>
        <w:pStyle w:val="BodyText"/>
      </w:pPr>
      <w:r>
        <w:t xml:space="preserve">Haulage KPIs describe how well the truck fleet is matched to the loading units and how much haulage work is being done. They are the bridge between raw production and fleet sizing/dispatch decisions. Match factor is a </w:t>
      </w:r>
      <w:r>
        <w:rPr>
          <w:iCs/>
          <w:i/>
        </w:rPr>
        <w:t xml:space="preserve">leading</w:t>
      </w:r>
      <w:r>
        <w:t xml:space="preserve"> fleet-balance indicator; ton-kilometres is a </w:t>
      </w:r>
      <w:r>
        <w:rPr>
          <w:iCs/>
          <w:i/>
        </w:rPr>
        <w:t xml:space="preserve">lagging</w:t>
      </w:r>
      <w:r>
        <w:t xml:space="preserve"> work measure that underpins cost and energy intensity.</w:t>
      </w:r>
    </w:p>
    <w:bookmarkStart w:id="82" w:name="haul.matchfactor-fleet-match-factor"/>
    <w:p>
      <w:pPr>
        <w:pStyle w:val="Heading3"/>
      </w:pPr>
      <w:bookmarkStart w:id="900037" w:name="_TocMP900037"/>
      <w:r>
        <w:t xml:space="preserve">HAUL.MatchFactor — Fleet Match Factor</w:t>
      </w:r>
      <w:bookmarkEnd w:id="900037"/>
    </w:p>
    <w:p>
      <w:pPr>
        <w:pStyle w:val="FirstParagraph"/>
      </w:pPr>
      <w:r>
        <w:rPr>
          <w:bCs/>
          <w:b/>
        </w:rPr>
        <w:t xml:space="preserve">Identifier.</w:t>
      </w:r>
      <w:r>
        <w:t xml:space="preserve"> </w:t>
      </w:r>
      <w:r>
        <w:rPr>
          <w:rStyle w:val="VerbatimChar"/>
        </w:rPr>
        <w:t xml:space="preserve">HAUL.MatchFactor</w:t>
      </w:r>
      <w:r>
        <w:t xml:space="preserve"> · </w:t>
      </w:r>
      <w:r>
        <w:rPr>
          <w:bCs/>
          <w:b/>
        </w:rPr>
        <w:t xml:space="preserve">Official Name.</w:t>
      </w:r>
      <w:r>
        <w:t xml:space="preserve"> Match Factor · </w:t>
      </w:r>
      <w:r>
        <w:rPr>
          <w:bCs/>
          <w:b/>
        </w:rPr>
        <w:t xml:space="preserve">Status.</w:t>
      </w:r>
      <w:r>
        <w:t xml:space="preserve"> Active · </w:t>
      </w:r>
      <w:r>
        <w:rPr>
          <w:bCs/>
          <w:b/>
        </w:rPr>
        <w:t xml:space="preserve">Version.</w:t>
      </w:r>
      <w:r>
        <w:t xml:space="preserve"> 1.0.0</w:t>
      </w:r>
    </w:p>
    <w:p>
      <w:pPr>
        <w:pStyle w:val="BodyText"/>
      </w:pPr>
      <w:r>
        <w:rPr>
          <w:bCs/>
          <w:b/>
        </w:rPr>
        <w:t xml:space="preserve">Business Purpose.</w:t>
      </w:r>
      <w:r>
        <w:t xml:space="preserve"> Match factor quantifies whether the number of trucks is balanced with loader capacity — the core fleet-sizing question (Part II, Chapters 13, 16). </w:t>
      </w:r>
      <w:r>
        <w:rPr>
          <w:bCs/>
          <w:b/>
        </w:rPr>
        <w:t xml:space="preserve">Operational Question.</w:t>
      </w:r>
      <w:r>
        <w:t xml:space="preserve"> </w:t>
      </w:r>
      <w:r>
        <w:rPr>
          <w:iCs/>
          <w:i/>
        </w:rPr>
        <w:t xml:space="preserve">Is the fleet truck-limited, shovel-limited, or balanced?</w:t>
      </w:r>
      <w:r>
        <w:t xml:space="preserve"> </w:t>
      </w:r>
      <w:r>
        <w:rPr>
          <w:bCs/>
          <w:b/>
        </w:rPr>
        <w:t xml:space="preserve">Business Meaning.</w:t>
      </w:r>
      <w:r>
        <w:t xml:space="preserve"> MF ≈ 1.0 is balanced; MF &lt; 1.0 means too few trucks (shovels wait); MF &gt; 1.0 means too many trucks (trucks queue).</w:t>
      </w:r>
    </w:p>
    <w:p>
      <w:pPr>
        <w:pStyle w:val="BodyText"/>
      </w:pPr>
      <w:r>
        <w:rPr>
          <w:bCs/>
          <w:b/>
        </w:rPr>
        <w:t xml:space="preserve">Formula.</w:t>
      </w:r>
    </w:p>
    <w:p>
      <w:pPr>
        <w:pStyle w:val="SourceCode"/>
      </w:pPr>
      <w:r>
        <w:rPr>
          <w:rStyle w:val="VerbatimChar"/>
        </w:rPr>
        <w:t xml:space="preserve">HAUL.MatchFactor = (n_trucks × load_time) ÷ (n_shovels × truck_cycle_time)   [dimensionless]</w:t>
      </w:r>
    </w:p>
    <w:p>
      <w:pPr>
        <w:pStyle w:val="FirstParagraph"/>
      </w:pPr>
      <w:r>
        <w:rPr>
          <w:bCs/>
          <w:b/>
        </w:rPr>
        <w:t xml:space="preserve">Units.</w:t>
      </w:r>
      <w:r>
        <w:t xml:space="preserve"> dimensionless (ratio). </w:t>
      </w:r>
      <w:r>
        <w:rPr>
          <w:bCs/>
          <w:b/>
        </w:rPr>
        <w:t xml:space="preserve">Dimensions.</w:t>
      </w:r>
      <w:r>
        <w:t xml:space="preserve"> Shift · Fleet · Loading unit · Route · Pit. </w:t>
      </w:r>
      <w:r>
        <w:rPr>
          <w:bCs/>
          <w:b/>
        </w:rPr>
        <w:t xml:space="preserve">Required Events.</w:t>
      </w:r>
      <w:r>
        <w:t xml:space="preserve"> </w:t>
      </w:r>
      <w:r>
        <w:rPr>
          <w:rStyle w:val="VerbatimChar"/>
        </w:rPr>
        <w:t xml:space="preserve">CycleEvent</w:t>
      </w:r>
      <w:r>
        <w:t xml:space="preserve"> (cycle and load times). </w:t>
      </w:r>
      <w:r>
        <w:rPr>
          <w:bCs/>
          <w:b/>
        </w:rPr>
        <w:t xml:space="preserve">Required Ontology.</w:t>
      </w:r>
      <w:r>
        <w:t xml:space="preserve"> </w:t>
      </w:r>
      <w:r>
        <w:rPr>
          <w:rStyle w:val="VerbatimChar"/>
        </w:rPr>
        <w:t xml:space="preserve">Equipment</w:t>
      </w:r>
      <w:r>
        <w:t xml:space="preserve"> (trucks and shovels), </w:t>
      </w:r>
      <w:r>
        <w:rPr>
          <w:rStyle w:val="VerbatimChar"/>
        </w:rPr>
        <w:t xml:space="preserve">Fleet</w:t>
      </w:r>
      <w:r>
        <w:t xml:space="preserve">, </w:t>
      </w:r>
      <w:r>
        <w:rPr>
          <w:rStyle w:val="VerbatimChar"/>
        </w:rPr>
        <w:t xml:space="preserve">Route</w:t>
      </w:r>
      <w:r>
        <w:t xml:space="preserve">. </w:t>
      </w:r>
      <w:r>
        <w:rPr>
          <w:bCs/>
          <w:b/>
        </w:rPr>
        <w:t xml:space="preserve">Dependencies.</w:t>
      </w:r>
      <w:r>
        <w:t xml:space="preserve"> </w:t>
      </w:r>
      <w:r>
        <w:rPr>
          <w:rStyle w:val="VerbatimChar"/>
        </w:rPr>
        <w:t xml:space="preserve">PROD.TruckCycleTime</w:t>
      </w:r>
      <w:r>
        <w:t xml:space="preserve"> (supplies cycle time). </w:t>
      </w:r>
      <w:r>
        <w:rPr>
          <w:bCs/>
          <w:b/>
        </w:rPr>
        <w:t xml:space="preserve">Mathematical Properties.</w:t>
      </w:r>
      <w:r>
        <w:t xml:space="preserve"> Ratio KPI; not additive; recompute per scope. Proportional to truck count for fixed loading/cycle times.</w:t>
      </w:r>
    </w:p>
    <w:p>
      <w:pPr>
        <w:pStyle w:val="BodyText"/>
      </w:pPr>
      <w:r>
        <w:rPr>
          <w:bCs/>
          <w:b/>
        </w:rPr>
        <w:t xml:space="preserve">Calculation Logic.</w:t>
      </w:r>
      <w:r>
        <w:t xml:space="preserve"> (1) Count assigned trucks and shovels. (2) Take mean load time and mean cycle time for the route. (3) Apply the formula. (4) Compare to 1.0.</w:t>
      </w:r>
    </w:p>
    <w:p>
      <w:pPr>
        <w:pStyle w:val="BodyText"/>
      </w:pPr>
      <w:r>
        <w:rPr>
          <w:bCs/>
          <w:b/>
        </w:rPr>
        <w:t xml:space="preserve">Python Implementation.</w:t>
      </w:r>
    </w:p>
    <w:p>
      <w:pPr>
        <w:pStyle w:val="SourceCode"/>
      </w:pPr>
      <w:r>
        <w:rPr>
          <w:rStyle w:val="KeywordTok"/>
        </w:rPr>
        <w:t xml:space="preserve">def</w:t>
      </w:r>
      <w:r>
        <w:rPr>
          <w:rStyle w:val="NormalTok"/>
        </w:rPr>
        <w:t xml:space="preserve"> match_factor(n_trucks: </w:t>
      </w:r>
      <w:r>
        <w:rPr>
          <w:rStyle w:val="BuiltInTok"/>
        </w:rPr>
        <w:t xml:space="preserve">int</w:t>
      </w:r>
      <w:r>
        <w:rPr>
          <w:rStyle w:val="NormalTok"/>
        </w:rPr>
        <w:t xml:space="preserve">, n_shovels: </w:t>
      </w:r>
      <w:r>
        <w:rPr>
          <w:rStyle w:val="BuiltInTok"/>
        </w:rPr>
        <w:t xml:space="preserve">int</w:t>
      </w:r>
      <w:r>
        <w:rPr>
          <w:rStyle w:val="NormalTok"/>
        </w:rPr>
        <w:t xml:space="preserve">,</w:t>
      </w:r>
      <w:r>
        <w:br/>
      </w:r>
      <w:r>
        <w:rPr>
          <w:rStyle w:val="NormalTok"/>
        </w:rPr>
        <w:t xml:space="preserve">                 load_time_min: </w:t>
      </w:r>
      <w:r>
        <w:rPr>
          <w:rStyle w:val="BuiltInTok"/>
        </w:rPr>
        <w:t xml:space="preserve">float</w:t>
      </w:r>
      <w:r>
        <w:rPr>
          <w:rStyle w:val="NormalTok"/>
        </w:rPr>
        <w:t xml:space="preserve">, cycle_time_min: </w:t>
      </w:r>
      <w:r>
        <w:rPr>
          <w:rStyle w:val="BuiltInTok"/>
        </w:rPr>
        <w:t xml:space="preserve">float</w:t>
      </w:r>
      <w:r>
        <w:rPr>
          <w:rStyle w:val="NormalTok"/>
        </w:rPr>
        <w:t xml:space="preserve">) </w:t>
      </w:r>
      <w:r>
        <w:rPr>
          <w:rStyle w:val="OperatorTok"/>
        </w:rPr>
        <w:t xml:space="preserve">-&gt;</w:t>
      </w:r>
      <w:r>
        <w:rPr>
          <w:rStyle w:val="NormalTok"/>
        </w:rPr>
        <w:t xml:space="preserve"> </w:t>
      </w:r>
      <w:r>
        <w:rPr>
          <w:rStyle w:val="BuiltInTok"/>
        </w:rPr>
        <w:t xml:space="preserve">float</w:t>
      </w:r>
      <w:r>
        <w:rPr>
          <w:rStyle w:val="NormalTok"/>
        </w:rPr>
        <w:t xml:space="preserve">:</w:t>
      </w:r>
      <w:r>
        <w:br/>
      </w:r>
      <w:r>
        <w:rPr>
          <w:rStyle w:val="NormalTok"/>
        </w:rPr>
        <w:t xml:space="preserve">    </w:t>
      </w:r>
      <w:r>
        <w:rPr>
          <w:rStyle w:val="CommentTok"/>
        </w:rPr>
        <w:t xml:space="preserve">"""HAUL.MatchFactor — fleet balance; 1.0 balanced, &lt;1 truck-limited, &gt;1 shovel-limited."""</w:t>
      </w:r>
      <w:r>
        <w:br/>
      </w:r>
      <w:r>
        <w:rPr>
          <w:rStyle w:val="NormalTok"/>
        </w:rPr>
        <w:t xml:space="preserve">    </w:t>
      </w:r>
      <w:r>
        <w:rPr>
          <w:rStyle w:val="ControlFlowTok"/>
        </w:rPr>
        <w:t xml:space="preserve">if</w:t>
      </w:r>
      <w:r>
        <w:rPr>
          <w:rStyle w:val="NormalTok"/>
        </w:rPr>
        <w:t xml:space="preserve"> n_shovels </w:t>
      </w:r>
      <w:r>
        <w:rPr>
          <w:rStyle w:val="OperatorTok"/>
        </w:rPr>
        <w:t xml:space="preserve">&lt;=</w:t>
      </w:r>
      <w:r>
        <w:rPr>
          <w:rStyle w:val="NormalTok"/>
        </w:rPr>
        <w:t xml:space="preserve"> </w:t>
      </w:r>
      <w:r>
        <w:rPr>
          <w:rStyle w:val="DecValTok"/>
        </w:rPr>
        <w:t xml:space="preserve">0</w:t>
      </w:r>
      <w:r>
        <w:rPr>
          <w:rStyle w:val="NormalTok"/>
        </w:rPr>
        <w:t xml:space="preserve"> </w:t>
      </w:r>
      <w:r>
        <w:rPr>
          <w:rStyle w:val="KeywordTok"/>
        </w:rPr>
        <w:t xml:space="preserve">or</w:t>
      </w:r>
      <w:r>
        <w:rPr>
          <w:rStyle w:val="NormalTok"/>
        </w:rPr>
        <w:t xml:space="preserve"> cycle_time_min </w:t>
      </w:r>
      <w:r>
        <w:rPr>
          <w:rStyle w:val="OperatorTok"/>
        </w:rPr>
        <w:t xml:space="preserve">&lt;=</w:t>
      </w:r>
      <w:r>
        <w:rPr>
          <w:rStyle w:val="NormalTok"/>
        </w:rPr>
        <w:t xml:space="preserve"> </w:t>
      </w:r>
      <w:r>
        <w:rPr>
          <w:rStyle w:val="DecValTok"/>
        </w:rPr>
        <w:t xml:space="preserve">0</w:t>
      </w:r>
      <w:r>
        <w:rPr>
          <w:rStyle w:val="NormalTok"/>
        </w:rPr>
        <w:t xml:space="preserve">:</w:t>
      </w:r>
      <w:r>
        <w:br/>
      </w:r>
      <w:r>
        <w:rPr>
          <w:rStyle w:val="NormalTok"/>
        </w:rPr>
        <w:t xml:space="preserve">        </w:t>
      </w:r>
      <w:r>
        <w:rPr>
          <w:rStyle w:val="ControlFlowTok"/>
        </w:rPr>
        <w:t xml:space="preserve">raise</w:t>
      </w:r>
      <w:r>
        <w:rPr>
          <w:rStyle w:val="NormalTok"/>
        </w:rPr>
        <w:t xml:space="preserve"> </w:t>
      </w:r>
      <w:r>
        <w:rPr>
          <w:rStyle w:val="PreprocessorTok"/>
        </w:rPr>
        <w:t xml:space="preserve">ValueError</w:t>
      </w:r>
      <w:r>
        <w:rPr>
          <w:rStyle w:val="NormalTok"/>
        </w:rPr>
        <w:t xml:space="preserve">(</w:t>
      </w:r>
      <w:r>
        <w:rPr>
          <w:rStyle w:val="StringTok"/>
        </w:rPr>
        <w:t xml:space="preserve">"n_shovels and cycle_time_min must be &gt; 0"</w:t>
      </w:r>
      <w:r>
        <w:rPr>
          <w:rStyle w:val="NormalTok"/>
        </w:rPr>
        <w:t xml:space="preserve">)</w:t>
      </w:r>
      <w:r>
        <w:br/>
      </w:r>
      <w:r>
        <w:rPr>
          <w:rStyle w:val="NormalTok"/>
        </w:rPr>
        <w:t xml:space="preserve">    </w:t>
      </w:r>
      <w:r>
        <w:rPr>
          <w:rStyle w:val="ControlFlowTok"/>
        </w:rPr>
        <w:t xml:space="preserve">return</w:t>
      </w:r>
      <w:r>
        <w:rPr>
          <w:rStyle w:val="NormalTok"/>
        </w:rPr>
        <w:t xml:space="preserve"> (n_trucks </w:t>
      </w:r>
      <w:r>
        <w:rPr>
          <w:rStyle w:val="OperatorTok"/>
        </w:rPr>
        <w:t xml:space="preserve">*</w:t>
      </w:r>
      <w:r>
        <w:rPr>
          <w:rStyle w:val="NormalTok"/>
        </w:rPr>
        <w:t xml:space="preserve"> load_time_min) </w:t>
      </w:r>
      <w:r>
        <w:rPr>
          <w:rStyle w:val="OperatorTok"/>
        </w:rPr>
        <w:t xml:space="preserve">/</w:t>
      </w:r>
      <w:r>
        <w:rPr>
          <w:rStyle w:val="NormalTok"/>
        </w:rPr>
        <w:t xml:space="preserve"> (n_shovels </w:t>
      </w:r>
      <w:r>
        <w:rPr>
          <w:rStyle w:val="OperatorTok"/>
        </w:rPr>
        <w:t xml:space="preserve">*</w:t>
      </w:r>
      <w:r>
        <w:rPr>
          <w:rStyle w:val="NormalTok"/>
        </w:rPr>
        <w:t xml:space="preserve"> cycle_time_min)</w:t>
      </w:r>
    </w:p>
    <w:p>
      <w:pPr>
        <w:pStyle w:val="FirstParagraph"/>
      </w:pPr>
      <w:r>
        <w:rPr>
          <w:bCs/>
          <w:b/>
        </w:rPr>
        <w:t xml:space="preserve">Expected Output.</w:t>
      </w:r>
      <w:r>
        <w:t xml:space="preserve"> A positive float. Worked examples → </w:t>
      </w:r>
      <w:r>
        <w:rPr>
          <w:rStyle w:val="VerbatimChar"/>
        </w:rPr>
        <w:t xml:space="preserve">0.923</w:t>
      </w:r>
      <w:r>
        <w:t xml:space="preserve"> (6 trucks), </w:t>
      </w:r>
      <w:r>
        <w:rPr>
          <w:rStyle w:val="VerbatimChar"/>
        </w:rPr>
        <w:t xml:space="preserve">1.077</w:t>
      </w:r>
      <w:r>
        <w:t xml:space="preserve"> (7 trucks).</w:t>
      </w:r>
    </w:p>
    <w:p>
      <w:pPr>
        <w:pStyle w:val="BodyText"/>
      </w:pPr>
      <w:r>
        <w:rPr>
          <w:bCs/>
          <w:b/>
        </w:rPr>
        <w:t xml:space="preserve">Worked Example.</w:t>
      </w:r>
      <w:r>
        <w:t xml:space="preserve"> One shovel with a 3.0 min load time serves a route of 19.5 min cycle time. With </w:t>
      </w:r>
      <w:r>
        <w:rPr>
          <w:bCs/>
          <w:b/>
        </w:rPr>
        <w:t xml:space="preserve">6 trucks</w:t>
      </w:r>
      <w:r>
        <w:t xml:space="preserve">: </w:t>
      </w:r>
      <w:r>
        <w:rPr>
          <w:rStyle w:val="VerbatimChar"/>
        </w:rPr>
        <w:t xml:space="preserve">match_factor(6, 1, 3.0, 19.5)</w:t>
      </w:r>
      <w:r>
        <w:t xml:space="preserve"> → </w:t>
      </w:r>
      <w:r>
        <w:rPr>
          <w:bCs/>
          <w:b/>
        </w:rPr>
        <w:t xml:space="preserve">0.923</w:t>
      </w:r>
      <w:r>
        <w:t xml:space="preserve"> (slightly truck-limited — the shovel occasionally waits). Adding a seventh truck: </w:t>
      </w:r>
      <w:r>
        <w:rPr>
          <w:rStyle w:val="VerbatimChar"/>
        </w:rPr>
        <w:t xml:space="preserve">match_factor(7, 1, 3.0, 19.5)</w:t>
      </w:r>
      <w:r>
        <w:t xml:space="preserve"> → </w:t>
      </w:r>
      <w:r>
        <w:rPr>
          <w:bCs/>
          <w:b/>
        </w:rPr>
        <w:t xml:space="preserve">1.077</w:t>
      </w:r>
      <w:r>
        <w:t xml:space="preserve"> (now slightly shovel-limited — trucks begin to queue). The balanced fleet is between six and seven trucks.</w:t>
      </w:r>
    </w:p>
    <w:p>
      <w:pPr>
        <w:pStyle w:val="BodyText"/>
      </w:pPr>
      <w:r>
        <w:rPr>
          <w:bCs/>
          <w:b/>
        </w:rPr>
        <w:t xml:space="preserve">Sample Dataset.</w:t>
      </w:r>
    </w:p>
    <w:tbl>
      <w:tblPr>
        <w:tblStyle w:val="Table"/>
        <w:tblW w:type="pct" w:w="5000"/>
        <w:tblLook w:firstRow="1" w:lastRow="0" w:firstColumn="0" w:lastColumn="0" w:noHBand="0" w:noVBand="0" w:val="0020"/>
        <w:jc w:val="start"/>
      </w:tblPr>
      <w:tblGrid>
        <w:gridCol w:w="1320"/>
        <w:gridCol w:w="1320"/>
        <w:gridCol w:w="1320"/>
        <w:gridCol w:w="1320"/>
        <w:gridCol w:w="1320"/>
        <w:gridCol w:w="1320"/>
      </w:tblGrid>
      <w:tr>
        <w:trPr>
          <w:tblHeader w:val="true"/>
        </w:trPr>
        <w:tc>
          <w:tcPr/>
          <w:p>
            <w:pPr>
              <w:pStyle w:val="Compact"/>
              <w:jc w:val="left"/>
            </w:pPr>
            <w:r>
              <w:t xml:space="preserve">route</w:t>
            </w:r>
          </w:p>
        </w:tc>
        <w:tc>
          <w:tcPr/>
          <w:p>
            <w:pPr>
              <w:pStyle w:val="Compact"/>
              <w:jc w:val="left"/>
            </w:pPr>
            <w:r>
              <w:t xml:space="preserve">n_shovels</w:t>
            </w:r>
          </w:p>
        </w:tc>
        <w:tc>
          <w:tcPr/>
          <w:p>
            <w:pPr>
              <w:pStyle w:val="Compact"/>
              <w:jc w:val="left"/>
            </w:pPr>
            <w:r>
              <w:t xml:space="preserve">load_time_min</w:t>
            </w:r>
          </w:p>
        </w:tc>
        <w:tc>
          <w:tcPr/>
          <w:p>
            <w:pPr>
              <w:pStyle w:val="Compact"/>
              <w:jc w:val="left"/>
            </w:pPr>
            <w:r>
              <w:t xml:space="preserve">cycle_time_min</w:t>
            </w:r>
          </w:p>
        </w:tc>
        <w:tc>
          <w:tcPr/>
          <w:p>
            <w:pPr>
              <w:pStyle w:val="Compact"/>
              <w:jc w:val="left"/>
            </w:pPr>
            <w:r>
              <w:t xml:space="preserve">n_trucks</w:t>
            </w:r>
          </w:p>
        </w:tc>
        <w:tc>
          <w:tcPr/>
          <w:p>
            <w:pPr>
              <w:pStyle w:val="Compact"/>
              <w:jc w:val="left"/>
            </w:pPr>
            <w:r>
              <w:t xml:space="preserve">match_factor</w:t>
            </w:r>
          </w:p>
        </w:tc>
      </w:tr>
      <w:tr>
        <w:tc>
          <w:tcPr/>
          <w:p>
            <w:pPr>
              <w:pStyle w:val="Compact"/>
              <w:jc w:val="left"/>
            </w:pPr>
            <w:r>
              <w:t xml:space="preserve">B7→Crusher</w:t>
            </w:r>
          </w:p>
        </w:tc>
        <w:tc>
          <w:tcPr/>
          <w:p>
            <w:pPr>
              <w:pStyle w:val="Compact"/>
              <w:jc w:val="left"/>
            </w:pPr>
            <w:r>
              <w:t xml:space="preserve">1</w:t>
            </w:r>
          </w:p>
        </w:tc>
        <w:tc>
          <w:tcPr/>
          <w:p>
            <w:pPr>
              <w:pStyle w:val="Compact"/>
              <w:jc w:val="left"/>
            </w:pPr>
            <w:r>
              <w:t xml:space="preserve">3.0</w:t>
            </w:r>
          </w:p>
        </w:tc>
        <w:tc>
          <w:tcPr/>
          <w:p>
            <w:pPr>
              <w:pStyle w:val="Compact"/>
              <w:jc w:val="left"/>
            </w:pPr>
            <w:r>
              <w:t xml:space="preserve">19.5</w:t>
            </w:r>
          </w:p>
        </w:tc>
        <w:tc>
          <w:tcPr/>
          <w:p>
            <w:pPr>
              <w:pStyle w:val="Compact"/>
              <w:jc w:val="left"/>
            </w:pPr>
            <w:r>
              <w:t xml:space="preserve">6</w:t>
            </w:r>
          </w:p>
        </w:tc>
        <w:tc>
          <w:tcPr/>
          <w:p>
            <w:pPr>
              <w:pStyle w:val="Compact"/>
              <w:jc w:val="left"/>
            </w:pPr>
            <w:r>
              <w:t xml:space="preserve">0.923</w:t>
            </w:r>
          </w:p>
        </w:tc>
      </w:tr>
      <w:tr>
        <w:tc>
          <w:tcPr/>
          <w:p>
            <w:pPr>
              <w:pStyle w:val="Compact"/>
              <w:jc w:val="left"/>
            </w:pPr>
            <w:r>
              <w:t xml:space="preserve">B7→Crusher</w:t>
            </w:r>
          </w:p>
        </w:tc>
        <w:tc>
          <w:tcPr/>
          <w:p>
            <w:pPr>
              <w:pStyle w:val="Compact"/>
              <w:jc w:val="left"/>
            </w:pPr>
            <w:r>
              <w:t xml:space="preserve">1</w:t>
            </w:r>
          </w:p>
        </w:tc>
        <w:tc>
          <w:tcPr/>
          <w:p>
            <w:pPr>
              <w:pStyle w:val="Compact"/>
              <w:jc w:val="left"/>
            </w:pPr>
            <w:r>
              <w:t xml:space="preserve">3.0</w:t>
            </w:r>
          </w:p>
        </w:tc>
        <w:tc>
          <w:tcPr/>
          <w:p>
            <w:pPr>
              <w:pStyle w:val="Compact"/>
              <w:jc w:val="left"/>
            </w:pPr>
            <w:r>
              <w:t xml:space="preserve">19.5</w:t>
            </w:r>
          </w:p>
        </w:tc>
        <w:tc>
          <w:tcPr/>
          <w:p>
            <w:pPr>
              <w:pStyle w:val="Compact"/>
              <w:jc w:val="left"/>
            </w:pPr>
            <w:r>
              <w:t xml:space="preserve">7</w:t>
            </w:r>
          </w:p>
        </w:tc>
        <w:tc>
          <w:tcPr/>
          <w:p>
            <w:pPr>
              <w:pStyle w:val="Compact"/>
              <w:jc w:val="left"/>
            </w:pPr>
            <w:r>
              <w:t xml:space="preserve">1.077</w:t>
            </w:r>
          </w:p>
        </w:tc>
      </w:tr>
    </w:tbl>
    <w:p>
      <w:pPr>
        <w:pStyle w:val="BodyText"/>
      </w:pPr>
      <w:r>
        <w:rPr>
          <w:bCs/>
          <w:b/>
        </w:rPr>
        <w:t xml:space="preserve">Visualization.</w:t>
      </w:r>
      <w:r>
        <w:t xml:space="preserve"> MF versus truck count as a step chart with the 1.0 line marked (find the balanced fleet); MF by route/shift. </w:t>
      </w:r>
      <w:r>
        <w:rPr>
          <w:bCs/>
          <w:b/>
        </w:rPr>
        <w:t xml:space="preserve">Operational Interpretation.</w:t>
      </w:r>
      <w:r>
        <w:t xml:space="preserve"> Target 0.9–1.0 to keep shovels productive without excessive truck queueing; sustained &gt; 1.1 wastes trucks; &lt; 0.85 wastes shovel capacity. </w:t>
      </w:r>
      <w:r>
        <w:rPr>
          <w:bCs/>
          <w:b/>
        </w:rPr>
        <w:t xml:space="preserve">Common Mistakes.</w:t>
      </w:r>
      <w:r>
        <w:t xml:space="preserve"> Using rated rather than actual load/cycle times; ignoring that adding trucks past MF ≈ 1.0 adds queue, not throughput. </w:t>
      </w:r>
      <w:r>
        <w:rPr>
          <w:bCs/>
          <w:b/>
        </w:rPr>
        <w:t xml:space="preserve">Validation Rules.</w:t>
      </w:r>
      <w:r>
        <w:t xml:space="preserve"> </w:t>
      </w:r>
      <w:r>
        <w:rPr>
          <w:rStyle w:val="VerbatimChar"/>
        </w:rPr>
        <w:t xml:space="preserve">n_shovels ≥ 1</w:t>
      </w:r>
      <w:r>
        <w:t xml:space="preserve">, </w:t>
      </w:r>
      <w:r>
        <w:rPr>
          <w:rStyle w:val="VerbatimChar"/>
        </w:rPr>
        <w:t xml:space="preserve">cycle_time_min &gt; 0</w:t>
      </w:r>
      <w:r>
        <w:t xml:space="preserve">, times positive. </w:t>
      </w:r>
      <w:r>
        <w:rPr>
          <w:bCs/>
          <w:b/>
        </w:rPr>
        <w:t xml:space="preserve">Unit Tests.</w:t>
      </w:r>
    </w:p>
    <w:p>
      <w:pPr>
        <w:pStyle w:val="SourceCode"/>
      </w:pPr>
      <w:r>
        <w:rPr>
          <w:rStyle w:val="ImportTok"/>
        </w:rPr>
        <w:t xml:space="preserve">from</w:t>
      </w:r>
      <w:r>
        <w:rPr>
          <w:rStyle w:val="NormalTok"/>
        </w:rPr>
        <w:t xml:space="preserve"> mp_kpis_p3 </w:t>
      </w:r>
      <w:r>
        <w:rPr>
          <w:rStyle w:val="ImportTok"/>
        </w:rPr>
        <w:t xml:space="preserve">import</w:t>
      </w:r>
      <w:r>
        <w:rPr>
          <w:rStyle w:val="NormalTok"/>
        </w:rPr>
        <w:t xml:space="preserve"> match_factor</w:t>
      </w:r>
      <w:r>
        <w:br/>
        <w:br/>
      </w:r>
      <w:r>
        <w:rPr>
          <w:rStyle w:val="KeywordTok"/>
        </w:rPr>
        <w:t xml:space="preserve">def</w:t>
      </w:r>
      <w:r>
        <w:rPr>
          <w:rStyle w:val="NormalTok"/>
        </w:rPr>
        <w:t xml:space="preserve"> test_match_factor_canonical():</w:t>
      </w:r>
      <w:r>
        <w:br/>
      </w:r>
      <w:r>
        <w:rPr>
          <w:rStyle w:val="NormalTok"/>
        </w:rPr>
        <w:t xml:space="preserve">    </w:t>
      </w:r>
      <w:r>
        <w:rPr>
          <w:rStyle w:val="ControlFlowTok"/>
        </w:rPr>
        <w:t xml:space="preserve">assert</w:t>
      </w:r>
      <w:r>
        <w:rPr>
          <w:rStyle w:val="NormalTok"/>
        </w:rPr>
        <w:t xml:space="preserve"> </w:t>
      </w:r>
      <w:r>
        <w:rPr>
          <w:rStyle w:val="BuiltInTok"/>
        </w:rPr>
        <w:t xml:space="preserve">round</w:t>
      </w:r>
      <w:r>
        <w:rPr>
          <w:rStyle w:val="NormalTok"/>
        </w:rPr>
        <w:t xml:space="preserve">(match_factor(</w:t>
      </w:r>
      <w:r>
        <w:rPr>
          <w:rStyle w:val="DecValTok"/>
        </w:rPr>
        <w:t xml:space="preserve">6</w:t>
      </w:r>
      <w:r>
        <w:rPr>
          <w:rStyle w:val="NormalTok"/>
        </w:rPr>
        <w:t xml:space="preserve">, </w:t>
      </w:r>
      <w:r>
        <w:rPr>
          <w:rStyle w:val="DecValTok"/>
        </w:rPr>
        <w:t xml:space="preserve">1</w:t>
      </w:r>
      <w:r>
        <w:rPr>
          <w:rStyle w:val="NormalTok"/>
        </w:rPr>
        <w:t xml:space="preserve">, </w:t>
      </w:r>
      <w:r>
        <w:rPr>
          <w:rStyle w:val="FloatTok"/>
        </w:rPr>
        <w:t xml:space="preserve">3.0</w:t>
      </w:r>
      <w:r>
        <w:rPr>
          <w:rStyle w:val="NormalTok"/>
        </w:rPr>
        <w:t xml:space="preserve">, </w:t>
      </w:r>
      <w:r>
        <w:rPr>
          <w:rStyle w:val="FloatTok"/>
        </w:rPr>
        <w:t xml:space="preserve">19.5</w:t>
      </w:r>
      <w:r>
        <w:rPr>
          <w:rStyle w:val="NormalTok"/>
        </w:rPr>
        <w:t xml:space="preserve">), </w:t>
      </w:r>
      <w:r>
        <w:rPr>
          <w:rStyle w:val="DecValTok"/>
        </w:rPr>
        <w:t xml:space="preserve">3</w:t>
      </w:r>
      <w:r>
        <w:rPr>
          <w:rStyle w:val="NormalTok"/>
        </w:rPr>
        <w:t xml:space="preserve">) </w:t>
      </w:r>
      <w:r>
        <w:rPr>
          <w:rStyle w:val="OperatorTok"/>
        </w:rPr>
        <w:t xml:space="preserve">==</w:t>
      </w:r>
      <w:r>
        <w:rPr>
          <w:rStyle w:val="NormalTok"/>
        </w:rPr>
        <w:t xml:space="preserve"> </w:t>
      </w:r>
      <w:r>
        <w:rPr>
          <w:rStyle w:val="FloatTok"/>
        </w:rPr>
        <w:t xml:space="preserve">0.923</w:t>
      </w:r>
      <w:r>
        <w:br/>
      </w:r>
      <w:r>
        <w:rPr>
          <w:rStyle w:val="NormalTok"/>
        </w:rPr>
        <w:t xml:space="preserve">    </w:t>
      </w:r>
      <w:r>
        <w:rPr>
          <w:rStyle w:val="ControlFlowTok"/>
        </w:rPr>
        <w:t xml:space="preserve">assert</w:t>
      </w:r>
      <w:r>
        <w:rPr>
          <w:rStyle w:val="NormalTok"/>
        </w:rPr>
        <w:t xml:space="preserve"> </w:t>
      </w:r>
      <w:r>
        <w:rPr>
          <w:rStyle w:val="BuiltInTok"/>
        </w:rPr>
        <w:t xml:space="preserve">round</w:t>
      </w:r>
      <w:r>
        <w:rPr>
          <w:rStyle w:val="NormalTok"/>
        </w:rPr>
        <w:t xml:space="preserve">(match_factor(</w:t>
      </w:r>
      <w:r>
        <w:rPr>
          <w:rStyle w:val="DecValTok"/>
        </w:rPr>
        <w:t xml:space="preserve">7</w:t>
      </w:r>
      <w:r>
        <w:rPr>
          <w:rStyle w:val="NormalTok"/>
        </w:rPr>
        <w:t xml:space="preserve">, </w:t>
      </w:r>
      <w:r>
        <w:rPr>
          <w:rStyle w:val="DecValTok"/>
        </w:rPr>
        <w:t xml:space="preserve">1</w:t>
      </w:r>
      <w:r>
        <w:rPr>
          <w:rStyle w:val="NormalTok"/>
        </w:rPr>
        <w:t xml:space="preserve">, </w:t>
      </w:r>
      <w:r>
        <w:rPr>
          <w:rStyle w:val="FloatTok"/>
        </w:rPr>
        <w:t xml:space="preserve">3.0</w:t>
      </w:r>
      <w:r>
        <w:rPr>
          <w:rStyle w:val="NormalTok"/>
        </w:rPr>
        <w:t xml:space="preserve">, </w:t>
      </w:r>
      <w:r>
        <w:rPr>
          <w:rStyle w:val="FloatTok"/>
        </w:rPr>
        <w:t xml:space="preserve">19.5</w:t>
      </w:r>
      <w:r>
        <w:rPr>
          <w:rStyle w:val="NormalTok"/>
        </w:rPr>
        <w:t xml:space="preserve">), </w:t>
      </w:r>
      <w:r>
        <w:rPr>
          <w:rStyle w:val="DecValTok"/>
        </w:rPr>
        <w:t xml:space="preserve">3</w:t>
      </w:r>
      <w:r>
        <w:rPr>
          <w:rStyle w:val="NormalTok"/>
        </w:rPr>
        <w:t xml:space="preserve">) </w:t>
      </w:r>
      <w:r>
        <w:rPr>
          <w:rStyle w:val="OperatorTok"/>
        </w:rPr>
        <w:t xml:space="preserve">==</w:t>
      </w:r>
      <w:r>
        <w:rPr>
          <w:rStyle w:val="NormalTok"/>
        </w:rPr>
        <w:t xml:space="preserve"> </w:t>
      </w:r>
      <w:r>
        <w:rPr>
          <w:rStyle w:val="FloatTok"/>
        </w:rPr>
        <w:t xml:space="preserve">1.077</w:t>
      </w:r>
    </w:p>
    <w:p>
      <w:pPr>
        <w:pStyle w:val="FirstParagraph"/>
      </w:pPr>
      <w:r>
        <w:rPr>
          <w:bCs/>
          <w:b/>
        </w:rPr>
        <w:t xml:space="preserve">Performance Considerations.</w:t>
      </w:r>
      <w:r>
        <w:t xml:space="preserve"> O(1) given the four inputs; the cost is computing the mean load/cycle times upstream. </w:t>
      </w:r>
      <w:r>
        <w:rPr>
          <w:bCs/>
          <w:b/>
        </w:rPr>
        <w:t xml:space="preserve">Edge Cases.</w:t>
      </w:r>
      <w:r>
        <w:t xml:space="preserve"> Multiple shovels on mixed routes require per-route MF then a weighted roll-up, not a single fleet number. </w:t>
      </w:r>
      <w:r>
        <w:rPr>
          <w:bCs/>
          <w:b/>
        </w:rPr>
        <w:t xml:space="preserve">AI Contributor Notes.</w:t>
      </w:r>
      <w:r>
        <w:t xml:space="preserve"> Leading/operational; the canonical fleet-balance signal — an agent recommending “add a truck” must check MF would not exceed ~1.0. </w:t>
      </w:r>
      <w:r>
        <w:rPr>
          <w:bCs/>
          <w:b/>
        </w:rPr>
        <w:t xml:space="preserve">Digital Twin Mapping.</w:t>
      </w:r>
      <w:r>
        <w:t xml:space="preserve"> The twin exposes live MF per route so dispatch sees imbalance forming. </w:t>
      </w:r>
      <w:r>
        <w:rPr>
          <w:bCs/>
          <w:b/>
        </w:rPr>
        <w:t xml:space="preserve">Decision Intelligence Mapping.</w:t>
      </w:r>
      <w:r>
        <w:t xml:space="preserve"> MF drives add/remove-truck and shovel-move recommendations. </w:t>
      </w:r>
      <w:r>
        <w:rPr>
          <w:bCs/>
          <w:b/>
        </w:rPr>
        <w:t xml:space="preserve">Related KPIs.</w:t>
      </w:r>
      <w:r>
        <w:t xml:space="preserve"> </w:t>
      </w:r>
      <w:r>
        <w:rPr>
          <w:rStyle w:val="VerbatimChar"/>
        </w:rPr>
        <w:t xml:space="preserve">PROD.TruckCycleTime</w:t>
      </w:r>
      <w:r>
        <w:t xml:space="preserve">, </w:t>
      </w:r>
      <w:r>
        <w:rPr>
          <w:rStyle w:val="VerbatimChar"/>
        </w:rPr>
        <w:t xml:space="preserve">PROD.TPH</w:t>
      </w:r>
      <w:r>
        <w:t xml:space="preserve">, </w:t>
      </w:r>
      <w:r>
        <w:rPr>
          <w:rStyle w:val="VerbatimChar"/>
        </w:rPr>
        <w:t xml:space="preserve">DISP.QueueTime</w:t>
      </w:r>
      <w:r>
        <w:t xml:space="preserve">, </w:t>
      </w:r>
      <w:r>
        <w:rPr>
          <w:rStyle w:val="VerbatimChar"/>
        </w:rPr>
        <w:t xml:space="preserve">UTIL.UA</w:t>
      </w:r>
      <w:r>
        <w:t xml:space="preserve">. </w:t>
      </w:r>
      <w:r>
        <w:rPr>
          <w:bCs/>
          <w:b/>
        </w:rPr>
        <w:t xml:space="preserve">References.</w:t>
      </w:r>
      <w:r>
        <w:t xml:space="preserve"> Classical truck–shovel match-factor theory; Part II, Chapters 13, 16.</w:t>
      </w:r>
    </w:p>
    <w:bookmarkEnd w:id="82"/>
    <w:bookmarkStart w:id="83" w:name="haul.tonkm-ton-kilometres"/>
    <w:p>
      <w:pPr>
        <w:pStyle w:val="Heading3"/>
      </w:pPr>
      <w:bookmarkStart w:id="900038" w:name="_TocMP900038"/>
      <w:r>
        <w:t xml:space="preserve">HAUL.TonKm — Ton-Kilometres</w:t>
      </w:r>
      <w:bookmarkEnd w:id="900038"/>
    </w:p>
    <w:p>
      <w:pPr>
        <w:pStyle w:val="FirstParagraph"/>
      </w:pPr>
      <w:r>
        <w:rPr>
          <w:bCs/>
          <w:b/>
        </w:rPr>
        <w:t xml:space="preserve">Identifier.</w:t>
      </w:r>
      <w:r>
        <w:t xml:space="preserve"> </w:t>
      </w:r>
      <w:r>
        <w:rPr>
          <w:rStyle w:val="VerbatimChar"/>
        </w:rPr>
        <w:t xml:space="preserve">HAUL.TonKm</w:t>
      </w:r>
      <w:r>
        <w:t xml:space="preserve"> · </w:t>
      </w:r>
      <w:r>
        <w:rPr>
          <w:bCs/>
          <w:b/>
        </w:rPr>
        <w:t xml:space="preserve">Official Name.</w:t>
      </w:r>
      <w:r>
        <w:t xml:space="preserve"> Ton-Kilometres · </w:t>
      </w:r>
      <w:r>
        <w:rPr>
          <w:bCs/>
          <w:b/>
        </w:rPr>
        <w:t xml:space="preserve">Status.</w:t>
      </w:r>
      <w:r>
        <w:t xml:space="preserve"> Active · </w:t>
      </w:r>
      <w:r>
        <w:rPr>
          <w:bCs/>
          <w:b/>
        </w:rPr>
        <w:t xml:space="preserve">Version.</w:t>
      </w:r>
      <w:r>
        <w:t xml:space="preserve"> 1.0.0</w:t>
      </w:r>
    </w:p>
    <w:p>
      <w:pPr>
        <w:pStyle w:val="BodyText"/>
      </w:pPr>
      <w:r>
        <w:rPr>
          <w:bCs/>
          <w:b/>
        </w:rPr>
        <w:t xml:space="preserve">Business Purpose.</w:t>
      </w:r>
      <w:r>
        <w:t xml:space="preserve"> Ton-kilometres measures haulage </w:t>
      </w:r>
      <w:r>
        <w:rPr>
          <w:iCs/>
          <w:i/>
        </w:rPr>
        <w:t xml:space="preserve">work</w:t>
      </w:r>
      <w:r>
        <w:t xml:space="preserve"> — tonnes moved times distance — the true driver of fuel, tyre, and haulage cost, and a fairer denominator than tonnes when comparing periods with different haul distances. </w:t>
      </w:r>
      <w:r>
        <w:rPr>
          <w:bCs/>
          <w:b/>
        </w:rPr>
        <w:t xml:space="preserve">Operational Question.</w:t>
      </w:r>
      <w:r>
        <w:t xml:space="preserve"> </w:t>
      </w:r>
      <w:r>
        <w:rPr>
          <w:iCs/>
          <w:i/>
        </w:rPr>
        <w:t xml:space="preserve">How much haulage work did we perform?</w:t>
      </w:r>
      <w:r>
        <w:t xml:space="preserve"> </w:t>
      </w:r>
      <w:r>
        <w:rPr>
          <w:bCs/>
          <w:b/>
        </w:rPr>
        <w:t xml:space="preserve">Business Meaning.</w:t>
      </w:r>
      <w:r>
        <w:t xml:space="preserve"> Two shifts can move equal tonnes but very different t·km if haul distances differ; t·km normalises for that.</w:t>
      </w:r>
    </w:p>
    <w:p>
      <w:pPr>
        <w:pStyle w:val="BodyText"/>
      </w:pPr>
      <w:r>
        <w:rPr>
          <w:bCs/>
          <w:b/>
        </w:rPr>
        <w:t xml:space="preserve">Formula.</w:t>
      </w:r>
    </w:p>
    <w:p>
      <w:pPr>
        <w:pStyle w:val="SourceCode"/>
      </w:pPr>
      <w:r>
        <w:rPr>
          <w:rStyle w:val="VerbatimChar"/>
        </w:rPr>
        <w:t xml:space="preserve">HAUL.TonKm = Σ ( payload_t × distance_km )                 [t·km]</w:t>
      </w:r>
    </w:p>
    <w:p>
      <w:pPr>
        <w:pStyle w:val="FirstParagraph"/>
      </w:pPr>
      <w:r>
        <w:rPr>
          <w:bCs/>
          <w:b/>
        </w:rPr>
        <w:t xml:space="preserve">Units.</w:t>
      </w:r>
      <w:r>
        <w:t xml:space="preserve"> t·km. </w:t>
      </w:r>
      <w:r>
        <w:rPr>
          <w:bCs/>
          <w:b/>
        </w:rPr>
        <w:t xml:space="preserve">Dimensions.</w:t>
      </w:r>
      <w:r>
        <w:t xml:space="preserve"> Shift · Fleet · Route · Pit · Destination. </w:t>
      </w:r>
      <w:r>
        <w:rPr>
          <w:bCs/>
          <w:b/>
        </w:rPr>
        <w:t xml:space="preserve">Required Events.</w:t>
      </w:r>
      <w:r>
        <w:t xml:space="preserve"> </w:t>
      </w:r>
      <w:r>
        <w:rPr>
          <w:rStyle w:val="VerbatimChar"/>
        </w:rPr>
        <w:t xml:space="preserve">CycleEvent</w:t>
      </w:r>
      <w:r>
        <w:t xml:space="preserve"> (payload and route distance). </w:t>
      </w:r>
      <w:r>
        <w:rPr>
          <w:bCs/>
          <w:b/>
        </w:rPr>
        <w:t xml:space="preserve">Required Ontology.</w:t>
      </w:r>
      <w:r>
        <w:t xml:space="preserve"> </w:t>
      </w:r>
      <w:r>
        <w:rPr>
          <w:rStyle w:val="VerbatimChar"/>
        </w:rPr>
        <w:t xml:space="preserve">Route</w:t>
      </w:r>
      <w:r>
        <w:t xml:space="preserve">/</w:t>
      </w:r>
      <w:r>
        <w:rPr>
          <w:rStyle w:val="VerbatimChar"/>
        </w:rPr>
        <w:t xml:space="preserve">Destination</w:t>
      </w:r>
      <w:r>
        <w:t xml:space="preserve"> (distance), </w:t>
      </w:r>
      <w:r>
        <w:rPr>
          <w:rStyle w:val="VerbatimChar"/>
        </w:rPr>
        <w:t xml:space="preserve">Fleet</w:t>
      </w:r>
      <w:r>
        <w:t xml:space="preserve">. </w:t>
      </w:r>
      <w:r>
        <w:rPr>
          <w:bCs/>
          <w:b/>
        </w:rPr>
        <w:t xml:space="preserve">Dependencies.</w:t>
      </w:r>
      <w:r>
        <w:t xml:space="preserve"> None (base). </w:t>
      </w:r>
      <w:r>
        <w:rPr>
          <w:bCs/>
          <w:b/>
        </w:rPr>
        <w:t xml:space="preserve">Mathematical Properties.</w:t>
      </w:r>
      <w:r>
        <w:t xml:space="preserve"> Additive KPI — t·km sums freely across cycles, routes, and periods (unlike rates and means).</w:t>
      </w:r>
    </w:p>
    <w:p>
      <w:pPr>
        <w:pStyle w:val="BodyText"/>
      </w:pPr>
      <w:r>
        <w:rPr>
          <w:bCs/>
          <w:b/>
        </w:rPr>
        <w:t xml:space="preserve">Calculation Logic.</w:t>
      </w:r>
      <w:r>
        <w:t xml:space="preserve"> For each cycle, multiply payload by its haul distance; sum across scope.</w:t>
      </w:r>
    </w:p>
    <w:p>
      <w:pPr>
        <w:pStyle w:val="BodyText"/>
      </w:pPr>
      <w:r>
        <w:rPr>
          <w:bCs/>
          <w:b/>
        </w:rPr>
        <w:t xml:space="preserve">Python Implementation.</w:t>
      </w:r>
    </w:p>
    <w:p>
      <w:pPr>
        <w:pStyle w:val="SourceCode"/>
      </w:pPr>
      <w:r>
        <w:rPr>
          <w:rStyle w:val="ImportTok"/>
        </w:rPr>
        <w:t xml:space="preserve">from</w:t>
      </w:r>
      <w:r>
        <w:rPr>
          <w:rStyle w:val="NormalTok"/>
        </w:rPr>
        <w:t xml:space="preserve"> typing </w:t>
      </w:r>
      <w:r>
        <w:rPr>
          <w:rStyle w:val="ImportTok"/>
        </w:rPr>
        <w:t xml:space="preserve">import</w:t>
      </w:r>
      <w:r>
        <w:rPr>
          <w:rStyle w:val="NormalTok"/>
        </w:rPr>
        <w:t xml:space="preserve"> Sequence</w:t>
      </w:r>
      <w:r>
        <w:br/>
        <w:br/>
      </w:r>
      <w:r>
        <w:rPr>
          <w:rStyle w:val="KeywordTok"/>
        </w:rPr>
        <w:t xml:space="preserve">def</w:t>
      </w:r>
      <w:r>
        <w:rPr>
          <w:rStyle w:val="NormalTok"/>
        </w:rPr>
        <w:t xml:space="preserve"> ton_kilometres(payloads_t: Sequence[</w:t>
      </w:r>
      <w:r>
        <w:rPr>
          <w:rStyle w:val="BuiltInTok"/>
        </w:rPr>
        <w:t xml:space="preserve">float</w:t>
      </w:r>
      <w:r>
        <w:rPr>
          <w:rStyle w:val="NormalTok"/>
        </w:rPr>
        <w:t xml:space="preserve">], distances_km: Sequence[</w:t>
      </w:r>
      <w:r>
        <w:rPr>
          <w:rStyle w:val="BuiltInTok"/>
        </w:rPr>
        <w:t xml:space="preserve">float</w:t>
      </w:r>
      <w:r>
        <w:rPr>
          <w:rStyle w:val="NormalTok"/>
        </w:rPr>
        <w:t xml:space="preserve">]) </w:t>
      </w:r>
      <w:r>
        <w:rPr>
          <w:rStyle w:val="OperatorTok"/>
        </w:rPr>
        <w:t xml:space="preserve">-&gt;</w:t>
      </w:r>
      <w:r>
        <w:rPr>
          <w:rStyle w:val="NormalTok"/>
        </w:rPr>
        <w:t xml:space="preserve"> </w:t>
      </w:r>
      <w:r>
        <w:rPr>
          <w:rStyle w:val="BuiltInTok"/>
        </w:rPr>
        <w:t xml:space="preserve">float</w:t>
      </w:r>
      <w:r>
        <w:rPr>
          <w:rStyle w:val="NormalTok"/>
        </w:rPr>
        <w:t xml:space="preserve">:</w:t>
      </w:r>
      <w:r>
        <w:br/>
      </w:r>
      <w:r>
        <w:rPr>
          <w:rStyle w:val="NormalTok"/>
        </w:rPr>
        <w:t xml:space="preserve">    </w:t>
      </w:r>
      <w:r>
        <w:rPr>
          <w:rStyle w:val="CommentTok"/>
        </w:rPr>
        <w:t xml:space="preserve">"""HAUL.TonKm — haulage work done (t·km)."""</w:t>
      </w:r>
      <w:r>
        <w:br/>
      </w:r>
      <w:r>
        <w:rPr>
          <w:rStyle w:val="NormalTok"/>
        </w:rPr>
        <w:t xml:space="preserve">    </w:t>
      </w:r>
      <w:r>
        <w:rPr>
          <w:rStyle w:val="ControlFlowTok"/>
        </w:rPr>
        <w:t xml:space="preserve">if</w:t>
      </w:r>
      <w:r>
        <w:rPr>
          <w:rStyle w:val="NormalTok"/>
        </w:rPr>
        <w:t xml:space="preserve"> </w:t>
      </w:r>
      <w:r>
        <w:rPr>
          <w:rStyle w:val="BuiltInTok"/>
        </w:rPr>
        <w:t xml:space="preserve">len</w:t>
      </w:r>
      <w:r>
        <w:rPr>
          <w:rStyle w:val="NormalTok"/>
        </w:rPr>
        <w:t xml:space="preserve">(payloads_t) </w:t>
      </w:r>
      <w:r>
        <w:rPr>
          <w:rStyle w:val="OperatorTok"/>
        </w:rPr>
        <w:t xml:space="preserve">!=</w:t>
      </w:r>
      <w:r>
        <w:rPr>
          <w:rStyle w:val="NormalTok"/>
        </w:rPr>
        <w:t xml:space="preserve"> </w:t>
      </w:r>
      <w:r>
        <w:rPr>
          <w:rStyle w:val="BuiltInTok"/>
        </w:rPr>
        <w:t xml:space="preserve">len</w:t>
      </w:r>
      <w:r>
        <w:rPr>
          <w:rStyle w:val="NormalTok"/>
        </w:rPr>
        <w:t xml:space="preserve">(distances_km):</w:t>
      </w:r>
      <w:r>
        <w:br/>
      </w:r>
      <w:r>
        <w:rPr>
          <w:rStyle w:val="NormalTok"/>
        </w:rPr>
        <w:t xml:space="preserve">        </w:t>
      </w:r>
      <w:r>
        <w:rPr>
          <w:rStyle w:val="ControlFlowTok"/>
        </w:rPr>
        <w:t xml:space="preserve">raise</w:t>
      </w:r>
      <w:r>
        <w:rPr>
          <w:rStyle w:val="NormalTok"/>
        </w:rPr>
        <w:t xml:space="preserve"> </w:t>
      </w:r>
      <w:r>
        <w:rPr>
          <w:rStyle w:val="PreprocessorTok"/>
        </w:rPr>
        <w:t xml:space="preserve">ValueError</w:t>
      </w:r>
      <w:r>
        <w:rPr>
          <w:rStyle w:val="NormalTok"/>
        </w:rPr>
        <w:t xml:space="preserve">(</w:t>
      </w:r>
      <w:r>
        <w:rPr>
          <w:rStyle w:val="StringTok"/>
        </w:rPr>
        <w:t xml:space="preserve">"length mismatch"</w:t>
      </w:r>
      <w:r>
        <w:rPr>
          <w:rStyle w:val="NormalTok"/>
        </w:rPr>
        <w:t xml:space="preserve">)</w:t>
      </w:r>
      <w:r>
        <w:br/>
      </w:r>
      <w:r>
        <w:rPr>
          <w:rStyle w:val="NormalTok"/>
        </w:rPr>
        <w:t xml:space="preserve">    </w:t>
      </w:r>
      <w:r>
        <w:rPr>
          <w:rStyle w:val="ControlFlowTok"/>
        </w:rPr>
        <w:t xml:space="preserve">return</w:t>
      </w:r>
      <w:r>
        <w:rPr>
          <w:rStyle w:val="NormalTok"/>
        </w:rPr>
        <w:t xml:space="preserve"> </w:t>
      </w:r>
      <w:r>
        <w:rPr>
          <w:rStyle w:val="BuiltInTok"/>
        </w:rPr>
        <w:t xml:space="preserve">sum</w:t>
      </w:r>
      <w:r>
        <w:rPr>
          <w:rStyle w:val="NormalTok"/>
        </w:rPr>
        <w:t xml:space="preserve">(p </w:t>
      </w:r>
      <w:r>
        <w:rPr>
          <w:rStyle w:val="OperatorTok"/>
        </w:rPr>
        <w:t xml:space="preserve">*</w:t>
      </w:r>
      <w:r>
        <w:rPr>
          <w:rStyle w:val="NormalTok"/>
        </w:rPr>
        <w:t xml:space="preserve"> d </w:t>
      </w:r>
      <w:r>
        <w:rPr>
          <w:rStyle w:val="ControlFlowTok"/>
        </w:rPr>
        <w:t xml:space="preserve">for</w:t>
      </w:r>
      <w:r>
        <w:rPr>
          <w:rStyle w:val="NormalTok"/>
        </w:rPr>
        <w:t xml:space="preserve"> p, d </w:t>
      </w:r>
      <w:r>
        <w:rPr>
          <w:rStyle w:val="KeywordTok"/>
        </w:rPr>
        <w:t xml:space="preserve">in</w:t>
      </w:r>
      <w:r>
        <w:rPr>
          <w:rStyle w:val="NormalTok"/>
        </w:rPr>
        <w:t xml:space="preserve"> </w:t>
      </w:r>
      <w:r>
        <w:rPr>
          <w:rStyle w:val="BuiltInTok"/>
        </w:rPr>
        <w:t xml:space="preserve">zip</w:t>
      </w:r>
      <w:r>
        <w:rPr>
          <w:rStyle w:val="NormalTok"/>
        </w:rPr>
        <w:t xml:space="preserve">(payloads_t, distances_km))</w:t>
      </w:r>
    </w:p>
    <w:p>
      <w:pPr>
        <w:pStyle w:val="FirstParagraph"/>
      </w:pPr>
      <w:r>
        <w:rPr>
          <w:bCs/>
          <w:b/>
        </w:rPr>
        <w:t xml:space="preserve">Expected Output.</w:t>
      </w:r>
      <w:r>
        <w:t xml:space="preserve"> A non-negative float in t·km. Worked example → </w:t>
      </w:r>
      <w:r>
        <w:rPr>
          <w:rStyle w:val="VerbatimChar"/>
        </w:rPr>
        <w:t xml:space="preserve">1100.0</w:t>
      </w:r>
      <w:r>
        <w:t xml:space="preserve">.</w:t>
      </w:r>
    </w:p>
    <w:p>
      <w:pPr>
        <w:pStyle w:val="BodyText"/>
      </w:pPr>
      <w:r>
        <w:rPr>
          <w:bCs/>
          <w:b/>
        </w:rPr>
        <w:t xml:space="preserve">Worked Example.</w:t>
      </w:r>
      <w:r>
        <w:t xml:space="preserve"> Two cycles carry </w:t>
      </w:r>
      <w:r>
        <w:rPr>
          <w:bCs/>
          <w:b/>
        </w:rPr>
        <w:t xml:space="preserve">220 t</w:t>
      </w:r>
      <w:r>
        <w:t xml:space="preserve"> each: one hauls </w:t>
      </w:r>
      <w:r>
        <w:rPr>
          <w:bCs/>
          <w:b/>
        </w:rPr>
        <w:t xml:space="preserve">3.2 km</w:t>
      </w:r>
      <w:r>
        <w:t xml:space="preserve"> to the crusher, one </w:t>
      </w:r>
      <w:r>
        <w:rPr>
          <w:bCs/>
          <w:b/>
        </w:rPr>
        <w:t xml:space="preserve">1.8 km</w:t>
      </w:r>
      <w:r>
        <w:t xml:space="preserve"> to the dump. </w:t>
      </w:r>
      <w:r>
        <w:rPr>
          <w:rStyle w:val="VerbatimChar"/>
        </w:rPr>
        <w:t xml:space="preserve">ton_kilometres([220, 220], [3.2, 1.8])</w:t>
      </w:r>
      <w:r>
        <w:t xml:space="preserve"> → </w:t>
      </w:r>
      <w:r>
        <w:rPr>
          <w:bCs/>
          <w:b/>
        </w:rPr>
        <w:t xml:space="preserve">1100.0 t·km</w:t>
      </w:r>
      <w:r>
        <w:t xml:space="preserve">. Note the crusher cycle did nearly twice the work of the dump cycle for the same tonnage — invisible in a tonnes-only view.</w:t>
      </w:r>
    </w:p>
    <w:p>
      <w:pPr>
        <w:pStyle w:val="BodyText"/>
      </w:pPr>
      <w:r>
        <w:rPr>
          <w:bCs/>
          <w:b/>
        </w:rPr>
        <w:t xml:space="preserve">Sample Dataset.</w:t>
      </w:r>
    </w:p>
    <w:tbl>
      <w:tblPr>
        <w:tblStyle w:val="Table"/>
        <w:tblW w:type="auto" w:w="0"/>
        <w:tblLook w:firstRow="1" w:lastRow="0" w:firstColumn="0" w:lastColumn="0" w:noHBand="0" w:noVBand="0" w:val="0020"/>
        <w:jc w:val="start"/>
      </w:tblPr>
      <w:tblGrid>
        <w:gridCol w:w="1584"/>
        <w:gridCol w:w="1584"/>
        <w:gridCol w:w="1584"/>
        <w:gridCol w:w="1584"/>
        <w:gridCol w:w="1584"/>
      </w:tblGrid>
      <w:tr>
        <w:trPr>
          <w:tblHeader w:val="true"/>
        </w:trPr>
        <w:tc>
          <w:tcPr/>
          <w:p>
            <w:pPr>
              <w:pStyle w:val="Compact"/>
              <w:jc w:val="left"/>
            </w:pPr>
            <w:r>
              <w:t xml:space="preserve">cycle</w:t>
            </w:r>
          </w:p>
        </w:tc>
        <w:tc>
          <w:tcPr/>
          <w:p>
            <w:pPr>
              <w:pStyle w:val="Compact"/>
              <w:jc w:val="left"/>
            </w:pPr>
            <w:r>
              <w:t xml:space="preserve">payload_t</w:t>
            </w:r>
          </w:p>
        </w:tc>
        <w:tc>
          <w:tcPr/>
          <w:p>
            <w:pPr>
              <w:pStyle w:val="Compact"/>
              <w:jc w:val="left"/>
            </w:pPr>
            <w:r>
              <w:t xml:space="preserve">destination</w:t>
            </w:r>
          </w:p>
        </w:tc>
        <w:tc>
          <w:tcPr/>
          <w:p>
            <w:pPr>
              <w:pStyle w:val="Compact"/>
              <w:jc w:val="left"/>
            </w:pPr>
            <w:r>
              <w:t xml:space="preserve">distance_km</w:t>
            </w:r>
          </w:p>
        </w:tc>
        <w:tc>
          <w:tcPr/>
          <w:p>
            <w:pPr>
              <w:pStyle w:val="Compact"/>
              <w:jc w:val="left"/>
            </w:pPr>
            <w:r>
              <w:t xml:space="preserve">ton_km</w:t>
            </w:r>
          </w:p>
        </w:tc>
      </w:tr>
      <w:tr>
        <w:tc>
          <w:tcPr/>
          <w:p>
            <w:pPr>
              <w:pStyle w:val="Compact"/>
              <w:jc w:val="left"/>
            </w:pPr>
            <w:r>
              <w:t xml:space="preserve">1</w:t>
            </w:r>
          </w:p>
        </w:tc>
        <w:tc>
          <w:tcPr/>
          <w:p>
            <w:pPr>
              <w:pStyle w:val="Compact"/>
              <w:jc w:val="left"/>
            </w:pPr>
            <w:r>
              <w:t xml:space="preserve">220</w:t>
            </w:r>
          </w:p>
        </w:tc>
        <w:tc>
          <w:tcPr/>
          <w:p>
            <w:pPr>
              <w:pStyle w:val="Compact"/>
              <w:jc w:val="left"/>
            </w:pPr>
            <w:r>
              <w:t xml:space="preserve">crusher</w:t>
            </w:r>
          </w:p>
        </w:tc>
        <w:tc>
          <w:tcPr/>
          <w:p>
            <w:pPr>
              <w:pStyle w:val="Compact"/>
              <w:jc w:val="left"/>
            </w:pPr>
            <w:r>
              <w:t xml:space="preserve">3.2</w:t>
            </w:r>
          </w:p>
        </w:tc>
        <w:tc>
          <w:tcPr/>
          <w:p>
            <w:pPr>
              <w:pStyle w:val="Compact"/>
              <w:jc w:val="left"/>
            </w:pPr>
            <w:r>
              <w:t xml:space="preserve">704.0</w:t>
            </w:r>
          </w:p>
        </w:tc>
      </w:tr>
      <w:tr>
        <w:tc>
          <w:tcPr/>
          <w:p>
            <w:pPr>
              <w:pStyle w:val="Compact"/>
              <w:jc w:val="left"/>
            </w:pPr>
            <w:r>
              <w:t xml:space="preserve">2</w:t>
            </w:r>
          </w:p>
        </w:tc>
        <w:tc>
          <w:tcPr/>
          <w:p>
            <w:pPr>
              <w:pStyle w:val="Compact"/>
              <w:jc w:val="left"/>
            </w:pPr>
            <w:r>
              <w:t xml:space="preserve">220</w:t>
            </w:r>
          </w:p>
        </w:tc>
        <w:tc>
          <w:tcPr/>
          <w:p>
            <w:pPr>
              <w:pStyle w:val="Compact"/>
              <w:jc w:val="left"/>
            </w:pPr>
            <w:r>
              <w:t xml:space="preserve">waste dump</w:t>
            </w:r>
          </w:p>
        </w:tc>
        <w:tc>
          <w:tcPr/>
          <w:p>
            <w:pPr>
              <w:pStyle w:val="Compact"/>
              <w:jc w:val="left"/>
            </w:pPr>
            <w:r>
              <w:t xml:space="preserve">1.8</w:t>
            </w:r>
          </w:p>
        </w:tc>
        <w:tc>
          <w:tcPr/>
          <w:p>
            <w:pPr>
              <w:pStyle w:val="Compact"/>
              <w:jc w:val="left"/>
            </w:pPr>
            <w:r>
              <w:t xml:space="preserve">396.0</w:t>
            </w:r>
          </w:p>
        </w:tc>
      </w:tr>
    </w:tbl>
    <w:p>
      <w:pPr>
        <w:pStyle w:val="BodyText"/>
      </w:pPr>
      <w:r>
        <w:rPr>
          <w:bCs/>
          <w:b/>
        </w:rPr>
        <w:t xml:space="preserve">Visualization.</w:t>
      </w:r>
      <w:r>
        <w:t xml:space="preserve"> Stacked t·km by destination (see where haulage work goes); t·km trend as a cost/energy proxy. </w:t>
      </w:r>
      <w:r>
        <w:rPr>
          <w:bCs/>
          <w:b/>
        </w:rPr>
        <w:t xml:space="preserve">Operational Interpretation.</w:t>
      </w:r>
      <w:r>
        <w:t xml:space="preserve"> Rising t·km per tonne means haul distances are growing (deeper pit, farther dumps) — a planning signal that will raise cost and fuel intensity even if tonnes hold. </w:t>
      </w:r>
      <w:r>
        <w:rPr>
          <w:bCs/>
          <w:b/>
        </w:rPr>
        <w:t xml:space="preserve">Common Mistakes.</w:t>
      </w:r>
      <w:r>
        <w:t xml:space="preserve"> Comparing fuel or cost across periods on tonnes rather than t·km when haul distance changed. </w:t>
      </w:r>
      <w:r>
        <w:rPr>
          <w:bCs/>
          <w:b/>
        </w:rPr>
        <w:t xml:space="preserve">Validation Rules.</w:t>
      </w:r>
      <w:r>
        <w:t xml:space="preserve"> Equal-length payload/distance sequences; non-negative values. </w:t>
      </w:r>
      <w:r>
        <w:rPr>
          <w:bCs/>
          <w:b/>
        </w:rPr>
        <w:t xml:space="preserve">Unit Tests.</w:t>
      </w:r>
    </w:p>
    <w:p>
      <w:pPr>
        <w:pStyle w:val="SourceCode"/>
      </w:pPr>
      <w:r>
        <w:rPr>
          <w:rStyle w:val="ImportTok"/>
        </w:rPr>
        <w:t xml:space="preserve">from</w:t>
      </w:r>
      <w:r>
        <w:rPr>
          <w:rStyle w:val="NormalTok"/>
        </w:rPr>
        <w:t xml:space="preserve"> mp_kpis_p3 </w:t>
      </w:r>
      <w:r>
        <w:rPr>
          <w:rStyle w:val="ImportTok"/>
        </w:rPr>
        <w:t xml:space="preserve">import</w:t>
      </w:r>
      <w:r>
        <w:rPr>
          <w:rStyle w:val="NormalTok"/>
        </w:rPr>
        <w:t xml:space="preserve"> ton_kilometres</w:t>
      </w:r>
      <w:r>
        <w:br/>
        <w:br/>
      </w:r>
      <w:r>
        <w:rPr>
          <w:rStyle w:val="KeywordTok"/>
        </w:rPr>
        <w:t xml:space="preserve">def</w:t>
      </w:r>
      <w:r>
        <w:rPr>
          <w:rStyle w:val="NormalTok"/>
        </w:rPr>
        <w:t xml:space="preserve"> test_tonkm_canonical():</w:t>
      </w:r>
      <w:r>
        <w:br/>
      </w:r>
      <w:r>
        <w:rPr>
          <w:rStyle w:val="NormalTok"/>
        </w:rPr>
        <w:t xml:space="preserve">    </w:t>
      </w:r>
      <w:r>
        <w:rPr>
          <w:rStyle w:val="ControlFlowTok"/>
        </w:rPr>
        <w:t xml:space="preserve">assert</w:t>
      </w:r>
      <w:r>
        <w:rPr>
          <w:rStyle w:val="NormalTok"/>
        </w:rPr>
        <w:t xml:space="preserve"> ton_kilometres([</w:t>
      </w:r>
      <w:r>
        <w:rPr>
          <w:rStyle w:val="DecValTok"/>
        </w:rPr>
        <w:t xml:space="preserve">220</w:t>
      </w:r>
      <w:r>
        <w:rPr>
          <w:rStyle w:val="NormalTok"/>
        </w:rPr>
        <w:t xml:space="preserve">, </w:t>
      </w:r>
      <w:r>
        <w:rPr>
          <w:rStyle w:val="DecValTok"/>
        </w:rPr>
        <w:t xml:space="preserve">220</w:t>
      </w:r>
      <w:r>
        <w:rPr>
          <w:rStyle w:val="NormalTok"/>
        </w:rPr>
        <w:t xml:space="preserve">], [</w:t>
      </w:r>
      <w:r>
        <w:rPr>
          <w:rStyle w:val="FloatTok"/>
        </w:rPr>
        <w:t xml:space="preserve">3.2</w:t>
      </w:r>
      <w:r>
        <w:rPr>
          <w:rStyle w:val="NormalTok"/>
        </w:rPr>
        <w:t xml:space="preserve">, </w:t>
      </w:r>
      <w:r>
        <w:rPr>
          <w:rStyle w:val="FloatTok"/>
        </w:rPr>
        <w:t xml:space="preserve">1.8</w:t>
      </w:r>
      <w:r>
        <w:rPr>
          <w:rStyle w:val="NormalTok"/>
        </w:rPr>
        <w:t xml:space="preserve">]) </w:t>
      </w:r>
      <w:r>
        <w:rPr>
          <w:rStyle w:val="OperatorTok"/>
        </w:rPr>
        <w:t xml:space="preserve">==</w:t>
      </w:r>
      <w:r>
        <w:rPr>
          <w:rStyle w:val="NormalTok"/>
        </w:rPr>
        <w:t xml:space="preserve"> </w:t>
      </w:r>
      <w:r>
        <w:rPr>
          <w:rStyle w:val="FloatTok"/>
        </w:rPr>
        <w:t xml:space="preserve">1100.0</w:t>
      </w:r>
    </w:p>
    <w:p>
      <w:pPr>
        <w:pStyle w:val="FirstParagraph"/>
      </w:pPr>
      <w:r>
        <w:rPr>
          <w:bCs/>
          <w:b/>
        </w:rPr>
        <w:t xml:space="preserve">Performance Considerations.</w:t>
      </w:r>
      <w:r>
        <w:t xml:space="preserve"> O(n); trivially parallelisable and additive, so pre-aggregate per (route, period). </w:t>
      </w:r>
      <w:r>
        <w:rPr>
          <w:bCs/>
          <w:b/>
        </w:rPr>
        <w:t xml:space="preserve">Edge Cases.</w:t>
      </w:r>
      <w:r>
        <w:t xml:space="preserve"> Missing route distance → cycle cannot contribute t·km; flag rather than assume zero. </w:t>
      </w:r>
      <w:r>
        <w:rPr>
          <w:bCs/>
          <w:b/>
        </w:rPr>
        <w:t xml:space="preserve">AI Contributor Notes.</w:t>
      </w:r>
      <w:r>
        <w:t xml:space="preserve"> Lagging/operational; the correct denominator for haulage cost/energy intensity — agents comparing intensity across periods should prefer t·km. </w:t>
      </w:r>
      <w:r>
        <w:rPr>
          <w:bCs/>
          <w:b/>
        </w:rPr>
        <w:t xml:space="preserve">Digital Twin Mapping.</w:t>
      </w:r>
      <w:r>
        <w:t xml:space="preserve"> The twin accumulates t·km per fleet for live intensity. </w:t>
      </w:r>
      <w:r>
        <w:rPr>
          <w:bCs/>
          <w:b/>
        </w:rPr>
        <w:t xml:space="preserve">Decision Intelligence Mapping.</w:t>
      </w:r>
      <w:r>
        <w:t xml:space="preserve"> Rising t·km/t triggers haul-route or dump-placement review. </w:t>
      </w:r>
      <w:r>
        <w:rPr>
          <w:bCs/>
          <w:b/>
        </w:rPr>
        <w:t xml:space="preserve">Related KPIs.</w:t>
      </w:r>
      <w:r>
        <w:t xml:space="preserve"> </w:t>
      </w:r>
      <w:r>
        <w:rPr>
          <w:rStyle w:val="VerbatimChar"/>
        </w:rPr>
        <w:t xml:space="preserve">PROD.Payload</w:t>
      </w:r>
      <w:r>
        <w:t xml:space="preserve">, </w:t>
      </w:r>
      <w:r>
        <w:rPr>
          <w:rStyle w:val="VerbatimChar"/>
        </w:rPr>
        <w:t xml:space="preserve">ENERGY.FuelPerTonne</w:t>
      </w:r>
      <w:r>
        <w:t xml:space="preserve">, </w:t>
      </w:r>
      <w:r>
        <w:rPr>
          <w:rStyle w:val="VerbatimChar"/>
        </w:rPr>
        <w:t xml:space="preserve">COST.CostPerTonKm</w:t>
      </w:r>
      <w:r>
        <w:t xml:space="preserve">. </w:t>
      </w:r>
      <w:r>
        <w:rPr>
          <w:bCs/>
          <w:b/>
        </w:rPr>
        <w:t xml:space="preserve">References.</w:t>
      </w:r>
      <w:r>
        <w:t xml:space="preserve"> Haulage-economics practice; Part II, Chapter 13.</w:t>
      </w:r>
    </w:p>
    <w:bookmarkEnd w:id="83"/>
    <w:bookmarkEnd w:id="84"/>
    <w:bookmarkStart w:id="91" w:name="utilisation-availability-kpis"/>
    <w:p>
      <w:pPr>
        <w:pStyle w:val="Heading2"/>
      </w:pPr>
      <w:bookmarkStart w:id="900039" w:name="_TocMP900039"/>
      <w:r>
        <w:t xml:space="preserve">Utilisation &amp; Availability KPIs</w:t>
      </w:r>
      <w:bookmarkEnd w:id="900039"/>
    </w:p>
    <w:p>
      <w:pPr>
        <w:pStyle w:val="LearningObjectives"/>
      </w:pPr>
      <w:r>
        <w:rPr>
          <w:bCs/>
          <w:b/>
        </w:rPr>
        <w:t xml:space="preserve">Learning Objectives.</w:t>
      </w:r>
      <w:r>
        <w:t xml:space="preserve"> Apply the canonical time model (Canonical Semantics) to compute </w:t>
      </w:r>
      <w:r>
        <w:rPr>
          <w:rStyle w:val="VerbatimChar"/>
        </w:rPr>
        <w:t xml:space="preserve">UTIL.PA</w:t>
      </w:r>
      <w:r>
        <w:t xml:space="preserve">, </w:t>
      </w:r>
      <w:r>
        <w:rPr>
          <w:rStyle w:val="VerbatimChar"/>
        </w:rPr>
        <w:t xml:space="preserve">UTIL.UA</w:t>
      </w:r>
      <w:r>
        <w:t xml:space="preserve">, </w:t>
      </w:r>
      <w:r>
        <w:rPr>
          <w:rStyle w:val="VerbatimChar"/>
        </w:rPr>
        <w:t xml:space="preserve">UTIL.EU</w:t>
      </w:r>
      <w:r>
        <w:t xml:space="preserve">, and </w:t>
      </w:r>
      <w:r>
        <w:rPr>
          <w:rStyle w:val="VerbatimChar"/>
        </w:rPr>
        <w:t xml:space="preserve">UTIL.OEE</w:t>
      </w:r>
      <w:r>
        <w:t xml:space="preserve">, and interpret each as a distinct question with an accountable owner.</w:t>
      </w:r>
    </w:p>
    <w:p>
      <w:pPr>
        <w:pStyle w:val="BodyText"/>
      </w:pPr>
      <w:r>
        <w:t xml:space="preserve">The </w:t>
      </w:r>
      <w:r>
        <w:rPr>
          <w:rStyle w:val="VerbatimChar"/>
        </w:rPr>
        <w:t xml:space="preserve">UTIL</w:t>
      </w:r>
      <w:r>
        <w:t xml:space="preserve"> namespace implements the canonical time model. These KPIs are where the semantics chapter becomes code. </w:t>
      </w:r>
      <w:r>
        <w:rPr>
          <w:rStyle w:val="VerbatimChar"/>
        </w:rPr>
        <w:t xml:space="preserve">UTIL.PA</w:t>
      </w:r>
      <w:r>
        <w:t xml:space="preserve"> and </w:t>
      </w:r>
      <w:r>
        <w:rPr>
          <w:rStyle w:val="VerbatimChar"/>
        </w:rPr>
        <w:t xml:space="preserve">UTIL.UA</w:t>
      </w:r>
      <w:r>
        <w:t xml:space="preserve"> are the two independent axes of time loss; </w:t>
      </w:r>
      <w:r>
        <w:rPr>
          <w:rStyle w:val="VerbatimChar"/>
        </w:rPr>
        <w:t xml:space="preserve">UTIL.EU</w:t>
      </w:r>
      <w:r>
        <w:t xml:space="preserve"> is their product; </w:t>
      </w:r>
      <w:r>
        <w:rPr>
          <w:rStyle w:val="VerbatimChar"/>
        </w:rPr>
        <w:t xml:space="preserve">UTIL.OEE</w:t>
      </w:r>
      <w:r>
        <w:t xml:space="preserve"> extends utilisation with performance and quality. Keeping them separate is the whole point — a single blended “uptime” hides the accountable cause.</w:t>
      </w:r>
    </w:p>
    <w:bookmarkStart w:id="85" w:name="util.pa-physical-availability"/>
    <w:p>
      <w:pPr>
        <w:pStyle w:val="Heading3"/>
      </w:pPr>
      <w:bookmarkStart w:id="900040" w:name="_TocMP900040"/>
      <w:r>
        <w:t xml:space="preserve">UTIL.PA — Physical Availability</w:t>
      </w:r>
      <w:bookmarkEnd w:id="900040"/>
    </w:p>
    <w:p>
      <w:pPr>
        <w:pStyle w:val="FirstParagraph"/>
      </w:pPr>
      <w:r>
        <w:rPr>
          <w:bCs/>
          <w:b/>
        </w:rPr>
        <w:t xml:space="preserve">Identifier.</w:t>
      </w:r>
      <w:r>
        <w:t xml:space="preserve"> </w:t>
      </w:r>
      <w:r>
        <w:rPr>
          <w:rStyle w:val="VerbatimChar"/>
        </w:rPr>
        <w:t xml:space="preserve">UTIL.PA</w:t>
      </w:r>
      <w:r>
        <w:t xml:space="preserve"> · </w:t>
      </w:r>
      <w:r>
        <w:rPr>
          <w:bCs/>
          <w:b/>
        </w:rPr>
        <w:t xml:space="preserve">Official Name.</w:t>
      </w:r>
      <w:r>
        <w:t xml:space="preserve"> Physical Availability · </w:t>
      </w:r>
      <w:r>
        <w:rPr>
          <w:bCs/>
          <w:b/>
        </w:rPr>
        <w:t xml:space="preserve">Status.</w:t>
      </w:r>
      <w:r>
        <w:t xml:space="preserve"> Active · </w:t>
      </w:r>
      <w:r>
        <w:rPr>
          <w:bCs/>
          <w:b/>
        </w:rPr>
        <w:t xml:space="preserve">Version.</w:t>
      </w:r>
      <w:r>
        <w:t xml:space="preserve"> 1.0.0 · </w:t>
      </w:r>
      <w:r>
        <w:rPr>
          <w:bCs/>
          <w:b/>
        </w:rPr>
        <w:t xml:space="preserve">Alias.</w:t>
      </w:r>
      <w:r>
        <w:t xml:space="preserve"> </w:t>
      </w:r>
      <w:r>
        <w:rPr>
          <w:rStyle w:val="VerbatimChar"/>
        </w:rPr>
        <w:t xml:space="preserve">UTIL.MechanicalAvailability</w:t>
      </w:r>
    </w:p>
    <w:p>
      <w:pPr>
        <w:pStyle w:val="BodyText"/>
      </w:pPr>
      <w:r>
        <w:rPr>
          <w:bCs/>
          <w:b/>
        </w:rPr>
        <w:t xml:space="preserve">Business Purpose.</w:t>
      </w:r>
      <w:r>
        <w:t xml:space="preserve"> PA is the canonical “availability” (see Canonical Semantics): the share of scheduled time an asset was able to work. It is the primary maintenance-accountable KPI. </w:t>
      </w:r>
      <w:r>
        <w:rPr>
          <w:bCs/>
          <w:b/>
        </w:rPr>
        <w:t xml:space="preserve">Operational Question.</w:t>
      </w:r>
      <w:r>
        <w:t xml:space="preserve"> </w:t>
      </w:r>
      <w:r>
        <w:rPr>
          <w:iCs/>
          <w:i/>
        </w:rPr>
        <w:t xml:space="preserve">Of the time we intended to run, how much was the asset able to run?</w:t>
      </w:r>
      <w:r>
        <w:t xml:space="preserve"> </w:t>
      </w:r>
      <w:r>
        <w:rPr>
          <w:bCs/>
          <w:b/>
        </w:rPr>
        <w:t xml:space="preserve">Business Meaning.</w:t>
      </w:r>
      <w:r>
        <w:t xml:space="preserve"> Low PA points squarely at breakdown and maintenance loss, not at operations.</w:t>
      </w:r>
    </w:p>
    <w:p>
      <w:pPr>
        <w:pStyle w:val="BodyText"/>
      </w:pPr>
      <w:r>
        <w:rPr>
          <w:bCs/>
          <w:b/>
        </w:rPr>
        <w:t xml:space="preserve">Formula.</w:t>
      </w:r>
    </w:p>
    <w:p>
      <w:pPr>
        <w:pStyle w:val="SourceCode"/>
      </w:pPr>
      <w:r>
        <w:rPr>
          <w:rStyle w:val="VerbatimChar"/>
        </w:rPr>
        <w:t xml:space="preserve">UTIL.PA = 100 × Available hours ÷ Scheduled hours          [%]</w:t>
      </w:r>
    </w:p>
    <w:p>
      <w:pPr>
        <w:pStyle w:val="FirstParagraph"/>
      </w:pPr>
      <w:r>
        <w:rPr>
          <w:bCs/>
          <w:b/>
        </w:rPr>
        <w:t xml:space="preserve">Units.</w:t>
      </w:r>
      <w:r>
        <w:t xml:space="preserve"> %. </w:t>
      </w:r>
      <w:r>
        <w:rPr>
          <w:bCs/>
          <w:b/>
        </w:rPr>
        <w:t xml:space="preserve">Dimensions.</w:t>
      </w:r>
      <w:r>
        <w:t xml:space="preserve"> Shift · Day · Week · Month · Equipment · Fleet · Mine. </w:t>
      </w:r>
      <w:r>
        <w:rPr>
          <w:bCs/>
          <w:b/>
        </w:rPr>
        <w:t xml:space="preserve">Required Events.</w:t>
      </w:r>
      <w:r>
        <w:t xml:space="preserve"> </w:t>
      </w:r>
      <w:r>
        <w:rPr>
          <w:rStyle w:val="VerbatimChar"/>
        </w:rPr>
        <w:t xml:space="preserve">DelayEvent</w:t>
      </w:r>
      <w:r>
        <w:t xml:space="preserve"> (equipment/maintenance categories reduce available time). </w:t>
      </w:r>
      <w:r>
        <w:rPr>
          <w:bCs/>
          <w:b/>
        </w:rPr>
        <w:t xml:space="preserve">Required Ontology.</w:t>
      </w:r>
      <w:r>
        <w:t xml:space="preserve"> </w:t>
      </w:r>
      <w:r>
        <w:rPr>
          <w:rStyle w:val="VerbatimChar"/>
        </w:rPr>
        <w:t xml:space="preserve">Equipment</w:t>
      </w:r>
      <w:r>
        <w:t xml:space="preserve">, </w:t>
      </w:r>
      <w:r>
        <w:rPr>
          <w:rStyle w:val="VerbatimChar"/>
        </w:rPr>
        <w:t xml:space="preserve">Shift</w:t>
      </w:r>
      <w:r>
        <w:t xml:space="preserve"> (scheduled-time calendar). </w:t>
      </w:r>
      <w:r>
        <w:rPr>
          <w:bCs/>
          <w:b/>
        </w:rPr>
        <w:t xml:space="preserve">Dependencies.</w:t>
      </w:r>
      <w:r>
        <w:t xml:space="preserve"> None (base; consumes the canonical time buckets). </w:t>
      </w:r>
      <w:r>
        <w:rPr>
          <w:bCs/>
          <w:b/>
        </w:rPr>
        <w:t xml:space="preserve">Mathematical Properties.</w:t>
      </w:r>
      <w:r>
        <w:t xml:space="preserve"> Ratio KPI; not additive — recompute from summed hours at each level.</w:t>
      </w:r>
    </w:p>
    <w:p>
      <w:pPr>
        <w:pStyle w:val="BodyText"/>
      </w:pPr>
      <w:r>
        <w:rPr>
          <w:bCs/>
          <w:b/>
        </w:rPr>
        <w:t xml:space="preserve">Calculation Logic.</w:t>
      </w:r>
      <w:r>
        <w:t xml:space="preserve"> (1) Scheduled hours for the scope (from the shift calendar). (2) Subtract equipment/maintenance delay to get available hours. (3) Divide, ×100.</w:t>
      </w:r>
    </w:p>
    <w:p>
      <w:pPr>
        <w:pStyle w:val="BodyText"/>
      </w:pPr>
      <w:r>
        <w:rPr>
          <w:bCs/>
          <w:b/>
        </w:rPr>
        <w:t xml:space="preserve">Python Implementation.</w:t>
      </w:r>
    </w:p>
    <w:p>
      <w:pPr>
        <w:pStyle w:val="SourceCode"/>
      </w:pPr>
      <w:r>
        <w:rPr>
          <w:rStyle w:val="KeywordTok"/>
        </w:rPr>
        <w:t xml:space="preserve">def</w:t>
      </w:r>
      <w:r>
        <w:rPr>
          <w:rStyle w:val="NormalTok"/>
        </w:rPr>
        <w:t xml:space="preserve"> physical_availability(available_hours: </w:t>
      </w:r>
      <w:r>
        <w:rPr>
          <w:rStyle w:val="BuiltInTok"/>
        </w:rPr>
        <w:t xml:space="preserve">float</w:t>
      </w:r>
      <w:r>
        <w:rPr>
          <w:rStyle w:val="NormalTok"/>
        </w:rPr>
        <w:t xml:space="preserve">, scheduled_hours: </w:t>
      </w:r>
      <w:r>
        <w:rPr>
          <w:rStyle w:val="BuiltInTok"/>
        </w:rPr>
        <w:t xml:space="preserve">float</w:t>
      </w:r>
      <w:r>
        <w:rPr>
          <w:rStyle w:val="NormalTok"/>
        </w:rPr>
        <w:t xml:space="preserve">) </w:t>
      </w:r>
      <w:r>
        <w:rPr>
          <w:rStyle w:val="OperatorTok"/>
        </w:rPr>
        <w:t xml:space="preserve">-&gt;</w:t>
      </w:r>
      <w:r>
        <w:rPr>
          <w:rStyle w:val="NormalTok"/>
        </w:rPr>
        <w:t xml:space="preserve"> </w:t>
      </w:r>
      <w:r>
        <w:rPr>
          <w:rStyle w:val="BuiltInTok"/>
        </w:rPr>
        <w:t xml:space="preserve">float</w:t>
      </w:r>
      <w:r>
        <w:rPr>
          <w:rStyle w:val="NormalTok"/>
        </w:rPr>
        <w:t xml:space="preserve">:</w:t>
      </w:r>
      <w:r>
        <w:br/>
      </w:r>
      <w:r>
        <w:rPr>
          <w:rStyle w:val="NormalTok"/>
        </w:rPr>
        <w:t xml:space="preserve">    </w:t>
      </w:r>
      <w:r>
        <w:rPr>
          <w:rStyle w:val="CommentTok"/>
        </w:rPr>
        <w:t xml:space="preserve">"""UTIL.PA — share of scheduled time the asset was able to work (%)."""</w:t>
      </w:r>
      <w:r>
        <w:br/>
      </w:r>
      <w:r>
        <w:rPr>
          <w:rStyle w:val="NormalTok"/>
        </w:rPr>
        <w:t xml:space="preserve">    </w:t>
      </w:r>
      <w:r>
        <w:rPr>
          <w:rStyle w:val="ControlFlowTok"/>
        </w:rPr>
        <w:t xml:space="preserve">if</w:t>
      </w:r>
      <w:r>
        <w:rPr>
          <w:rStyle w:val="NormalTok"/>
        </w:rPr>
        <w:t xml:space="preserve"> scheduled_hours </w:t>
      </w:r>
      <w:r>
        <w:rPr>
          <w:rStyle w:val="OperatorTok"/>
        </w:rPr>
        <w:t xml:space="preserve">&lt;=</w:t>
      </w:r>
      <w:r>
        <w:rPr>
          <w:rStyle w:val="NormalTok"/>
        </w:rPr>
        <w:t xml:space="preserve"> </w:t>
      </w:r>
      <w:r>
        <w:rPr>
          <w:rStyle w:val="DecValTok"/>
        </w:rPr>
        <w:t xml:space="preserve">0</w:t>
      </w:r>
      <w:r>
        <w:rPr>
          <w:rStyle w:val="NormalTok"/>
        </w:rPr>
        <w:t xml:space="preserve">:</w:t>
      </w:r>
      <w:r>
        <w:br/>
      </w:r>
      <w:r>
        <w:rPr>
          <w:rStyle w:val="NormalTok"/>
        </w:rPr>
        <w:t xml:space="preserve">        </w:t>
      </w:r>
      <w:r>
        <w:rPr>
          <w:rStyle w:val="ControlFlowTok"/>
        </w:rPr>
        <w:t xml:space="preserve">raise</w:t>
      </w:r>
      <w:r>
        <w:rPr>
          <w:rStyle w:val="NormalTok"/>
        </w:rPr>
        <w:t xml:space="preserve"> </w:t>
      </w:r>
      <w:r>
        <w:rPr>
          <w:rStyle w:val="PreprocessorTok"/>
        </w:rPr>
        <w:t xml:space="preserve">ValueError</w:t>
      </w:r>
      <w:r>
        <w:rPr>
          <w:rStyle w:val="NormalTok"/>
        </w:rPr>
        <w:t xml:space="preserve">(</w:t>
      </w:r>
      <w:r>
        <w:rPr>
          <w:rStyle w:val="StringTok"/>
        </w:rPr>
        <w:t xml:space="preserve">"scheduled_hours must be &gt; 0"</w:t>
      </w:r>
      <w:r>
        <w:rPr>
          <w:rStyle w:val="NormalTok"/>
        </w:rPr>
        <w:t xml:space="preserve">)</w:t>
      </w:r>
      <w:r>
        <w:br/>
      </w:r>
      <w:r>
        <w:rPr>
          <w:rStyle w:val="NormalTok"/>
        </w:rPr>
        <w:t xml:space="preserve">    </w:t>
      </w:r>
      <w:r>
        <w:rPr>
          <w:rStyle w:val="ControlFlowTok"/>
        </w:rPr>
        <w:t xml:space="preserve">return</w:t>
      </w:r>
      <w:r>
        <w:rPr>
          <w:rStyle w:val="NormalTok"/>
        </w:rPr>
        <w:t xml:space="preserve"> </w:t>
      </w:r>
      <w:r>
        <w:rPr>
          <w:rStyle w:val="FloatTok"/>
        </w:rPr>
        <w:t xml:space="preserve">100.0</w:t>
      </w:r>
      <w:r>
        <w:rPr>
          <w:rStyle w:val="NormalTok"/>
        </w:rPr>
        <w:t xml:space="preserve"> </w:t>
      </w:r>
      <w:r>
        <w:rPr>
          <w:rStyle w:val="OperatorTok"/>
        </w:rPr>
        <w:t xml:space="preserve">*</w:t>
      </w:r>
      <w:r>
        <w:rPr>
          <w:rStyle w:val="NormalTok"/>
        </w:rPr>
        <w:t xml:space="preserve"> available_hours </w:t>
      </w:r>
      <w:r>
        <w:rPr>
          <w:rStyle w:val="OperatorTok"/>
        </w:rPr>
        <w:t xml:space="preserve">/</w:t>
      </w:r>
      <w:r>
        <w:rPr>
          <w:rStyle w:val="NormalTok"/>
        </w:rPr>
        <w:t xml:space="preserve"> scheduled_hours</w:t>
      </w:r>
    </w:p>
    <w:p>
      <w:pPr>
        <w:pStyle w:val="FirstParagraph"/>
      </w:pPr>
      <w:r>
        <w:rPr>
          <w:bCs/>
          <w:b/>
        </w:rPr>
        <w:t xml:space="preserve">Expected Output.</w:t>
      </w:r>
      <w:r>
        <w:t xml:space="preserve"> A percentage in [0, 100]. Worked example → </w:t>
      </w:r>
      <w:r>
        <w:rPr>
          <w:rStyle w:val="VerbatimChar"/>
        </w:rPr>
        <w:t xml:space="preserve">86.9</w:t>
      </w:r>
      <w:r>
        <w:t xml:space="preserve">.</w:t>
      </w:r>
    </w:p>
    <w:p>
      <w:pPr>
        <w:pStyle w:val="BodyText"/>
      </w:pPr>
      <w:r>
        <w:rPr>
          <w:bCs/>
          <w:b/>
        </w:rPr>
        <w:t xml:space="preserve">Worked Example.</w:t>
      </w:r>
      <w:r>
        <w:t xml:space="preserve"> Over a 7-day week a truck is scheduled </w:t>
      </w:r>
      <w:r>
        <w:rPr>
          <w:bCs/>
          <w:b/>
        </w:rPr>
        <w:t xml:space="preserve">168 h</w:t>
      </w:r>
      <w:r>
        <w:t xml:space="preserve"> and is available (not in breakdown/maintenance) </w:t>
      </w:r>
      <w:r>
        <w:rPr>
          <w:bCs/>
          <w:b/>
        </w:rPr>
        <w:t xml:space="preserve">146 h</w:t>
      </w:r>
      <w:r>
        <w:t xml:space="preserve">. </w:t>
      </w:r>
      <w:r>
        <w:rPr>
          <w:rStyle w:val="VerbatimChar"/>
        </w:rPr>
        <w:t xml:space="preserve">physical_availability(146, 168)</w:t>
      </w:r>
      <w:r>
        <w:t xml:space="preserve"> → </w:t>
      </w:r>
      <w:r>
        <w:rPr>
          <w:bCs/>
          <w:b/>
        </w:rPr>
        <w:t xml:space="preserve">86.9%</w:t>
      </w:r>
      <w:r>
        <w:t xml:space="preserve"> — a typical, healthy haul-truck PA.</w:t>
      </w:r>
    </w:p>
    <w:p>
      <w:pPr>
        <w:pStyle w:val="BodyText"/>
      </w:pPr>
      <w:r>
        <w:rPr>
          <w:bCs/>
          <w:b/>
        </w:rPr>
        <w:t xml:space="preserve">Sample Dataset.</w:t>
      </w:r>
    </w:p>
    <w:tbl>
      <w:tblPr>
        <w:tblStyle w:val="Table"/>
        <w:tblW w:type="auto" w:w="0"/>
        <w:tblLook w:firstRow="1" w:lastRow="0" w:firstColumn="0" w:lastColumn="0" w:noHBand="0" w:noVBand="0" w:val="0020"/>
        <w:jc w:val="start"/>
      </w:tblPr>
      <w:tblGrid>
        <w:gridCol w:w="1980"/>
        <w:gridCol w:w="1980"/>
        <w:gridCol w:w="1980"/>
        <w:gridCol w:w="1980"/>
      </w:tblGrid>
      <w:tr>
        <w:trPr>
          <w:tblHeader w:val="true"/>
        </w:trPr>
        <w:tc>
          <w:tcPr/>
          <w:p>
            <w:pPr>
              <w:pStyle w:val="Compact"/>
              <w:jc w:val="left"/>
            </w:pPr>
            <w:r>
              <w:t xml:space="preserve">equipment</w:t>
            </w:r>
          </w:p>
        </w:tc>
        <w:tc>
          <w:tcPr/>
          <w:p>
            <w:pPr>
              <w:pStyle w:val="Compact"/>
              <w:jc w:val="left"/>
            </w:pPr>
            <w:r>
              <w:t xml:space="preserve">scheduled_h</w:t>
            </w:r>
          </w:p>
        </w:tc>
        <w:tc>
          <w:tcPr/>
          <w:p>
            <w:pPr>
              <w:pStyle w:val="Compact"/>
              <w:jc w:val="left"/>
            </w:pPr>
            <w:r>
              <w:t xml:space="preserve">maint_delay_h</w:t>
            </w:r>
          </w:p>
        </w:tc>
        <w:tc>
          <w:tcPr/>
          <w:p>
            <w:pPr>
              <w:pStyle w:val="Compact"/>
              <w:jc w:val="left"/>
            </w:pPr>
            <w:r>
              <w:t xml:space="preserve">available_h</w:t>
            </w:r>
          </w:p>
        </w:tc>
      </w:tr>
      <w:tr>
        <w:tc>
          <w:tcPr/>
          <w:p>
            <w:pPr>
              <w:pStyle w:val="Compact"/>
              <w:jc w:val="left"/>
            </w:pPr>
            <w:r>
              <w:t xml:space="preserve">T-114</w:t>
            </w:r>
          </w:p>
        </w:tc>
        <w:tc>
          <w:tcPr/>
          <w:p>
            <w:pPr>
              <w:pStyle w:val="Compact"/>
              <w:jc w:val="left"/>
            </w:pPr>
            <w:r>
              <w:t xml:space="preserve">168</w:t>
            </w:r>
          </w:p>
        </w:tc>
        <w:tc>
          <w:tcPr/>
          <w:p>
            <w:pPr>
              <w:pStyle w:val="Compact"/>
              <w:jc w:val="left"/>
            </w:pPr>
            <w:r>
              <w:t xml:space="preserve">22</w:t>
            </w:r>
          </w:p>
        </w:tc>
        <w:tc>
          <w:tcPr/>
          <w:p>
            <w:pPr>
              <w:pStyle w:val="Compact"/>
              <w:jc w:val="left"/>
            </w:pPr>
            <w:r>
              <w:t xml:space="preserve">146</w:t>
            </w:r>
          </w:p>
        </w:tc>
      </w:tr>
    </w:tbl>
    <w:p>
      <w:pPr>
        <w:pStyle w:val="BodyText"/>
      </w:pPr>
      <w:r>
        <w:rPr>
          <w:bCs/>
          <w:b/>
        </w:rPr>
        <w:t xml:space="preserve">Visualization.</w:t>
      </w:r>
      <w:r>
        <w:t xml:space="preserve"> PA trend with a target line; PA by equipment (rank maintenance problems). </w:t>
      </w:r>
      <w:r>
        <w:rPr>
          <w:bCs/>
          <w:b/>
        </w:rPr>
        <w:t xml:space="preserve">Operational Interpretation.</w:t>
      </w:r>
      <w:r>
        <w:t xml:space="preserve"> Excellent ≥ 90%, Good 85–90%, Poor 80–85%, Critical &lt; 80% for a modern haul truck (commodity- and asset-dependent). </w:t>
      </w:r>
      <w:r>
        <w:rPr>
          <w:bCs/>
          <w:b/>
        </w:rPr>
        <w:t xml:space="preserve">Common Mistakes.</w:t>
      </w:r>
      <w:r>
        <w:t xml:space="preserve"> Using calendar rather than scheduled time (that is a different KPI); blending planned and unplanned downtime. </w:t>
      </w:r>
      <w:r>
        <w:rPr>
          <w:bCs/>
          <w:b/>
        </w:rPr>
        <w:t xml:space="preserve">Validation Rules.</w:t>
      </w:r>
      <w:r>
        <w:t xml:space="preserve"> </w:t>
      </w:r>
      <w:r>
        <w:rPr>
          <w:rStyle w:val="VerbatimChar"/>
        </w:rPr>
        <w:t xml:space="preserve">0 ≤ available ≤ scheduled</w:t>
      </w:r>
      <w:r>
        <w:t xml:space="preserve">; </w:t>
      </w:r>
      <w:r>
        <w:rPr>
          <w:rStyle w:val="VerbatimChar"/>
        </w:rPr>
        <w:t xml:space="preserve">scheduled &gt; 0</w:t>
      </w:r>
      <w:r>
        <w:t xml:space="preserve">. </w:t>
      </w:r>
      <w:r>
        <w:rPr>
          <w:bCs/>
          <w:b/>
        </w:rPr>
        <w:t xml:space="preserve">Unit Tests.</w:t>
      </w:r>
    </w:p>
    <w:p>
      <w:pPr>
        <w:pStyle w:val="SourceCode"/>
      </w:pPr>
      <w:r>
        <w:rPr>
          <w:rStyle w:val="ImportTok"/>
        </w:rPr>
        <w:t xml:space="preserve">from</w:t>
      </w:r>
      <w:r>
        <w:rPr>
          <w:rStyle w:val="NormalTok"/>
        </w:rPr>
        <w:t xml:space="preserve"> mp_kpis_p3 </w:t>
      </w:r>
      <w:r>
        <w:rPr>
          <w:rStyle w:val="ImportTok"/>
        </w:rPr>
        <w:t xml:space="preserve">import</w:t>
      </w:r>
      <w:r>
        <w:rPr>
          <w:rStyle w:val="NormalTok"/>
        </w:rPr>
        <w:t xml:space="preserve"> physical_availability</w:t>
      </w:r>
      <w:r>
        <w:br/>
        <w:br/>
      </w:r>
      <w:r>
        <w:rPr>
          <w:rStyle w:val="KeywordTok"/>
        </w:rPr>
        <w:t xml:space="preserve">def</w:t>
      </w:r>
      <w:r>
        <w:rPr>
          <w:rStyle w:val="NormalTok"/>
        </w:rPr>
        <w:t xml:space="preserve"> test_pa_canonical():</w:t>
      </w:r>
      <w:r>
        <w:br/>
      </w:r>
      <w:r>
        <w:rPr>
          <w:rStyle w:val="NormalTok"/>
        </w:rPr>
        <w:t xml:space="preserve">    </w:t>
      </w:r>
      <w:r>
        <w:rPr>
          <w:rStyle w:val="ControlFlowTok"/>
        </w:rPr>
        <w:t xml:space="preserve">assert</w:t>
      </w:r>
      <w:r>
        <w:rPr>
          <w:rStyle w:val="NormalTok"/>
        </w:rPr>
        <w:t xml:space="preserve"> </w:t>
      </w:r>
      <w:r>
        <w:rPr>
          <w:rStyle w:val="BuiltInTok"/>
        </w:rPr>
        <w:t xml:space="preserve">round</w:t>
      </w:r>
      <w:r>
        <w:rPr>
          <w:rStyle w:val="NormalTok"/>
        </w:rPr>
        <w:t xml:space="preserve">(physical_availability(</w:t>
      </w:r>
      <w:r>
        <w:rPr>
          <w:rStyle w:val="DecValTok"/>
        </w:rPr>
        <w:t xml:space="preserve">146</w:t>
      </w:r>
      <w:r>
        <w:rPr>
          <w:rStyle w:val="NormalTok"/>
        </w:rPr>
        <w:t xml:space="preserve">, </w:t>
      </w:r>
      <w:r>
        <w:rPr>
          <w:rStyle w:val="DecValTok"/>
        </w:rPr>
        <w:t xml:space="preserve">168</w:t>
      </w:r>
      <w:r>
        <w:rPr>
          <w:rStyle w:val="NormalTok"/>
        </w:rPr>
        <w:t xml:space="preserve">), </w:t>
      </w:r>
      <w:r>
        <w:rPr>
          <w:rStyle w:val="DecValTok"/>
        </w:rPr>
        <w:t xml:space="preserve">1</w:t>
      </w:r>
      <w:r>
        <w:rPr>
          <w:rStyle w:val="NormalTok"/>
        </w:rPr>
        <w:t xml:space="preserve">) </w:t>
      </w:r>
      <w:r>
        <w:rPr>
          <w:rStyle w:val="OperatorTok"/>
        </w:rPr>
        <w:t xml:space="preserve">==</w:t>
      </w:r>
      <w:r>
        <w:rPr>
          <w:rStyle w:val="NormalTok"/>
        </w:rPr>
        <w:t xml:space="preserve"> </w:t>
      </w:r>
      <w:r>
        <w:rPr>
          <w:rStyle w:val="FloatTok"/>
        </w:rPr>
        <w:t xml:space="preserve">86.9</w:t>
      </w:r>
    </w:p>
    <w:p>
      <w:pPr>
        <w:pStyle w:val="FirstParagraph"/>
      </w:pPr>
      <w:r>
        <w:rPr>
          <w:bCs/>
          <w:b/>
        </w:rPr>
        <w:t xml:space="preserve">Performance Considerations.</w:t>
      </w:r>
      <w:r>
        <w:t xml:space="preserve"> O(1) given time buckets; the work is bucketing delays correctly (canonical categories). </w:t>
      </w:r>
      <w:r>
        <w:rPr>
          <w:bCs/>
          <w:b/>
        </w:rPr>
        <w:t xml:space="preserve">Edge Cases.</w:t>
      </w:r>
      <w:r>
        <w:t xml:space="preserve"> Asset not scheduled at all → PA undefined for that period (n/a). </w:t>
      </w:r>
      <w:r>
        <w:rPr>
          <w:bCs/>
          <w:b/>
        </w:rPr>
        <w:t xml:space="preserve">AI Contributor Notes.</w:t>
      </w:r>
      <w:r>
        <w:t xml:space="preserve"> Lagging/operational-to-strategic; the canonical availability — agents must not substitute </w:t>
      </w:r>
      <w:r>
        <w:rPr>
          <w:rStyle w:val="VerbatimChar"/>
        </w:rPr>
        <w:t xml:space="preserve">MAINT.Ai</w:t>
      </w:r>
      <w:r>
        <w:t xml:space="preserve">. </w:t>
      </w:r>
      <w:r>
        <w:rPr>
          <w:bCs/>
          <w:b/>
        </w:rPr>
        <w:t xml:space="preserve">Digital Twin Mapping.</w:t>
      </w:r>
      <w:r>
        <w:t xml:space="preserve"> The twin tracks live available vs scheduled time per asset. </w:t>
      </w:r>
      <w:r>
        <w:rPr>
          <w:bCs/>
          <w:b/>
        </w:rPr>
        <w:t xml:space="preserve">Decision Intelligence Mapping.</w:t>
      </w:r>
      <w:r>
        <w:t xml:space="preserve"> Low PA routes to maintenance planning and reliability analysis (</w:t>
      </w:r>
      <w:r>
        <w:rPr>
          <w:rStyle w:val="VerbatimChar"/>
        </w:rPr>
        <w:t xml:space="preserve">MAINT.MTBF</w:t>
      </w:r>
      <w:r>
        <w:t xml:space="preserve">/</w:t>
      </w:r>
      <w:r>
        <w:rPr>
          <w:rStyle w:val="VerbatimChar"/>
        </w:rPr>
        <w:t xml:space="preserve">MTTR</w:t>
      </w:r>
      <w:r>
        <w:t xml:space="preserve">). </w:t>
      </w:r>
      <w:r>
        <w:rPr>
          <w:bCs/>
          <w:b/>
        </w:rPr>
        <w:t xml:space="preserve">Related KPIs.</w:t>
      </w:r>
      <w:r>
        <w:t xml:space="preserve"> </w:t>
      </w:r>
      <w:r>
        <w:rPr>
          <w:rStyle w:val="VerbatimChar"/>
        </w:rPr>
        <w:t xml:space="preserve">UTIL.UA</w:t>
      </w:r>
      <w:r>
        <w:t xml:space="preserve">, </w:t>
      </w:r>
      <w:r>
        <w:rPr>
          <w:rStyle w:val="VerbatimChar"/>
        </w:rPr>
        <w:t xml:space="preserve">UTIL.EU</w:t>
      </w:r>
      <w:r>
        <w:t xml:space="preserve">, </w:t>
      </w:r>
      <w:r>
        <w:rPr>
          <w:rStyle w:val="VerbatimChar"/>
        </w:rPr>
        <w:t xml:space="preserve">MAINT.Ai</w:t>
      </w:r>
      <w:r>
        <w:t xml:space="preserve">, </w:t>
      </w:r>
      <w:r>
        <w:rPr>
          <w:rStyle w:val="VerbatimChar"/>
        </w:rPr>
        <w:t xml:space="preserve">MAINT.MTBF</w:t>
      </w:r>
      <w:r>
        <w:t xml:space="preserve">. </w:t>
      </w:r>
      <w:r>
        <w:rPr>
          <w:bCs/>
          <w:b/>
        </w:rPr>
        <w:t xml:space="preserve">References.</w:t>
      </w:r>
      <w:r>
        <w:t xml:space="preserve"> Canonical Semantics chapter; Part II, Chapter 18.</w:t>
      </w:r>
    </w:p>
    <w:bookmarkEnd w:id="85"/>
    <w:bookmarkStart w:id="86" w:name="util.ua-use-of-availability"/>
    <w:p>
      <w:pPr>
        <w:pStyle w:val="Heading3"/>
      </w:pPr>
      <w:bookmarkStart w:id="900041" w:name="_TocMP900041"/>
      <w:r>
        <w:t xml:space="preserve">UTIL.UA — Use of Availability</w:t>
      </w:r>
      <w:bookmarkEnd w:id="900041"/>
    </w:p>
    <w:p>
      <w:pPr>
        <w:pStyle w:val="FirstParagraph"/>
      </w:pPr>
      <w:r>
        <w:rPr>
          <w:bCs/>
          <w:b/>
        </w:rPr>
        <w:t xml:space="preserve">Identifier.</w:t>
      </w:r>
      <w:r>
        <w:t xml:space="preserve"> </w:t>
      </w:r>
      <w:r>
        <w:rPr>
          <w:rStyle w:val="VerbatimChar"/>
        </w:rPr>
        <w:t xml:space="preserve">UTIL.UA</w:t>
      </w:r>
      <w:r>
        <w:t xml:space="preserve"> · </w:t>
      </w:r>
      <w:r>
        <w:rPr>
          <w:bCs/>
          <w:b/>
        </w:rPr>
        <w:t xml:space="preserve">Official Name.</w:t>
      </w:r>
      <w:r>
        <w:t xml:space="preserve"> Use of Availability · </w:t>
      </w:r>
      <w:r>
        <w:rPr>
          <w:bCs/>
          <w:b/>
        </w:rPr>
        <w:t xml:space="preserve">Status.</w:t>
      </w:r>
      <w:r>
        <w:t xml:space="preserve"> Active · </w:t>
      </w:r>
      <w:r>
        <w:rPr>
          <w:bCs/>
          <w:b/>
        </w:rPr>
        <w:t xml:space="preserve">Version.</w:t>
      </w:r>
      <w:r>
        <w:t xml:space="preserve"> 1.0.0</w:t>
      </w:r>
    </w:p>
    <w:p>
      <w:pPr>
        <w:pStyle w:val="BodyText"/>
      </w:pPr>
      <w:r>
        <w:rPr>
          <w:bCs/>
          <w:b/>
        </w:rPr>
        <w:t xml:space="preserve">Business Purpose.</w:t>
      </w:r>
      <w:r>
        <w:t xml:space="preserve"> UA measures how well </w:t>
      </w:r>
      <w:r>
        <w:rPr>
          <w:iCs/>
          <w:i/>
        </w:rPr>
        <w:t xml:space="preserve">available</w:t>
      </w:r>
      <w:r>
        <w:t xml:space="preserve"> time was actually used — the operations-accountable counterpart to PA. </w:t>
      </w:r>
      <w:r>
        <w:rPr>
          <w:bCs/>
          <w:b/>
        </w:rPr>
        <w:t xml:space="preserve">Operational Question.</w:t>
      </w:r>
      <w:r>
        <w:t xml:space="preserve"> </w:t>
      </w:r>
      <w:r>
        <w:rPr>
          <w:iCs/>
          <w:i/>
        </w:rPr>
        <w:t xml:space="preserve">When the asset was able to work, did it?</w:t>
      </w:r>
      <w:r>
        <w:t xml:space="preserve"> </w:t>
      </w:r>
      <w:r>
        <w:rPr>
          <w:bCs/>
          <w:b/>
        </w:rPr>
        <w:t xml:space="preserve">Business Meaning.</w:t>
      </w:r>
      <w:r>
        <w:t xml:space="preserve"> Low UA with healthy PA means the equipment was fine but sat idle — a dispatch, operator, or queue problem, not maintenance.</w:t>
      </w:r>
    </w:p>
    <w:p>
      <w:pPr>
        <w:pStyle w:val="BodyText"/>
      </w:pPr>
      <w:r>
        <w:rPr>
          <w:bCs/>
          <w:b/>
        </w:rPr>
        <w:t xml:space="preserve">Formula.</w:t>
      </w:r>
    </w:p>
    <w:p>
      <w:pPr>
        <w:pStyle w:val="SourceCode"/>
      </w:pPr>
      <w:r>
        <w:rPr>
          <w:rStyle w:val="VerbatimChar"/>
        </w:rPr>
        <w:t xml:space="preserve">UTIL.UA = 100 × Operating hours ÷ Available hours          [%]</w:t>
      </w:r>
    </w:p>
    <w:p>
      <w:pPr>
        <w:pStyle w:val="FirstParagraph"/>
      </w:pPr>
      <w:r>
        <w:rPr>
          <w:bCs/>
          <w:b/>
        </w:rPr>
        <w:t xml:space="preserve">Units.</w:t>
      </w:r>
      <w:r>
        <w:t xml:space="preserve"> %. </w:t>
      </w:r>
      <w:r>
        <w:rPr>
          <w:bCs/>
          <w:b/>
        </w:rPr>
        <w:t xml:space="preserve">Dimensions.</w:t>
      </w:r>
      <w:r>
        <w:t xml:space="preserve"> as </w:t>
      </w:r>
      <w:r>
        <w:rPr>
          <w:rStyle w:val="VerbatimChar"/>
        </w:rPr>
        <w:t xml:space="preserve">UTIL.PA</w:t>
      </w:r>
      <w:r>
        <w:t xml:space="preserve">. </w:t>
      </w:r>
      <w:r>
        <w:rPr>
          <w:bCs/>
          <w:b/>
        </w:rPr>
        <w:t xml:space="preserve">Required Events.</w:t>
      </w:r>
      <w:r>
        <w:t xml:space="preserve"> </w:t>
      </w:r>
      <w:r>
        <w:rPr>
          <w:rStyle w:val="VerbatimChar"/>
        </w:rPr>
        <w:t xml:space="preserve">DelayEvent</w:t>
      </w:r>
      <w:r>
        <w:t xml:space="preserve"> (operational/standby categories reduce operating time within available time). </w:t>
      </w:r>
      <w:r>
        <w:rPr>
          <w:bCs/>
          <w:b/>
        </w:rPr>
        <w:t xml:space="preserve">Required Ontology.</w:t>
      </w:r>
      <w:r>
        <w:t xml:space="preserve"> </w:t>
      </w:r>
      <w:r>
        <w:rPr>
          <w:rStyle w:val="VerbatimChar"/>
        </w:rPr>
        <w:t xml:space="preserve">Equipment</w:t>
      </w:r>
      <w:r>
        <w:t xml:space="preserve">, </w:t>
      </w:r>
      <w:r>
        <w:rPr>
          <w:rStyle w:val="VerbatimChar"/>
        </w:rPr>
        <w:t xml:space="preserve">Shift</w:t>
      </w:r>
      <w:r>
        <w:t xml:space="preserve">. </w:t>
      </w:r>
      <w:r>
        <w:rPr>
          <w:bCs/>
          <w:b/>
        </w:rPr>
        <w:t xml:space="preserve">Dependencies.</w:t>
      </w:r>
      <w:r>
        <w:t xml:space="preserve"> shares time buckets with </w:t>
      </w:r>
      <w:r>
        <w:rPr>
          <w:rStyle w:val="VerbatimChar"/>
        </w:rPr>
        <w:t xml:space="preserve">UTIL.PA</w:t>
      </w:r>
      <w:r>
        <w:t xml:space="preserve">. </w:t>
      </w:r>
      <w:r>
        <w:rPr>
          <w:bCs/>
          <w:b/>
        </w:rPr>
        <w:t xml:space="preserve">Mathematical Properties.</w:t>
      </w:r>
      <w:r>
        <w:t xml:space="preserve"> Ratio; not additive.</w:t>
      </w:r>
    </w:p>
    <w:p>
      <w:pPr>
        <w:pStyle w:val="BodyText"/>
      </w:pPr>
      <w:r>
        <w:rPr>
          <w:bCs/>
          <w:b/>
        </w:rPr>
        <w:t xml:space="preserve">Calculation Logic.</w:t>
      </w:r>
      <w:r>
        <w:t xml:space="preserve"> (1) Available hours (from PA’s calculation). (2) Subtract operational/standby delay to get operating hours. (3) Divide, ×100.</w:t>
      </w:r>
    </w:p>
    <w:p>
      <w:pPr>
        <w:pStyle w:val="BodyText"/>
      </w:pPr>
      <w:r>
        <w:rPr>
          <w:bCs/>
          <w:b/>
        </w:rPr>
        <w:t xml:space="preserve">Python Implementation.</w:t>
      </w:r>
    </w:p>
    <w:p>
      <w:pPr>
        <w:pStyle w:val="SourceCode"/>
      </w:pPr>
      <w:r>
        <w:rPr>
          <w:rStyle w:val="KeywordTok"/>
        </w:rPr>
        <w:t xml:space="preserve">def</w:t>
      </w:r>
      <w:r>
        <w:rPr>
          <w:rStyle w:val="NormalTok"/>
        </w:rPr>
        <w:t xml:space="preserve"> use_of_availability(operating_hours: </w:t>
      </w:r>
      <w:r>
        <w:rPr>
          <w:rStyle w:val="BuiltInTok"/>
        </w:rPr>
        <w:t xml:space="preserve">float</w:t>
      </w:r>
      <w:r>
        <w:rPr>
          <w:rStyle w:val="NormalTok"/>
        </w:rPr>
        <w:t xml:space="preserve">, available_hours: </w:t>
      </w:r>
      <w:r>
        <w:rPr>
          <w:rStyle w:val="BuiltInTok"/>
        </w:rPr>
        <w:t xml:space="preserve">float</w:t>
      </w:r>
      <w:r>
        <w:rPr>
          <w:rStyle w:val="NormalTok"/>
        </w:rPr>
        <w:t xml:space="preserve">) </w:t>
      </w:r>
      <w:r>
        <w:rPr>
          <w:rStyle w:val="OperatorTok"/>
        </w:rPr>
        <w:t xml:space="preserve">-&gt;</w:t>
      </w:r>
      <w:r>
        <w:rPr>
          <w:rStyle w:val="NormalTok"/>
        </w:rPr>
        <w:t xml:space="preserve"> </w:t>
      </w:r>
      <w:r>
        <w:rPr>
          <w:rStyle w:val="BuiltInTok"/>
        </w:rPr>
        <w:t xml:space="preserve">float</w:t>
      </w:r>
      <w:r>
        <w:rPr>
          <w:rStyle w:val="NormalTok"/>
        </w:rPr>
        <w:t xml:space="preserve">:</w:t>
      </w:r>
      <w:r>
        <w:br/>
      </w:r>
      <w:r>
        <w:rPr>
          <w:rStyle w:val="NormalTok"/>
        </w:rPr>
        <w:t xml:space="preserve">    </w:t>
      </w:r>
      <w:r>
        <w:rPr>
          <w:rStyle w:val="CommentTok"/>
        </w:rPr>
        <w:t xml:space="preserve">"""UTIL.UA — share of available time the asset actually worked (%)."""</w:t>
      </w:r>
      <w:r>
        <w:br/>
      </w:r>
      <w:r>
        <w:rPr>
          <w:rStyle w:val="NormalTok"/>
        </w:rPr>
        <w:t xml:space="preserve">    </w:t>
      </w:r>
      <w:r>
        <w:rPr>
          <w:rStyle w:val="ControlFlowTok"/>
        </w:rPr>
        <w:t xml:space="preserve">if</w:t>
      </w:r>
      <w:r>
        <w:rPr>
          <w:rStyle w:val="NormalTok"/>
        </w:rPr>
        <w:t xml:space="preserve"> available_hours </w:t>
      </w:r>
      <w:r>
        <w:rPr>
          <w:rStyle w:val="OperatorTok"/>
        </w:rPr>
        <w:t xml:space="preserve">&lt;=</w:t>
      </w:r>
      <w:r>
        <w:rPr>
          <w:rStyle w:val="NormalTok"/>
        </w:rPr>
        <w:t xml:space="preserve"> </w:t>
      </w:r>
      <w:r>
        <w:rPr>
          <w:rStyle w:val="DecValTok"/>
        </w:rPr>
        <w:t xml:space="preserve">0</w:t>
      </w:r>
      <w:r>
        <w:rPr>
          <w:rStyle w:val="NormalTok"/>
        </w:rPr>
        <w:t xml:space="preserve">:</w:t>
      </w:r>
      <w:r>
        <w:br/>
      </w:r>
      <w:r>
        <w:rPr>
          <w:rStyle w:val="NormalTok"/>
        </w:rPr>
        <w:t xml:space="preserve">        </w:t>
      </w:r>
      <w:r>
        <w:rPr>
          <w:rStyle w:val="ControlFlowTok"/>
        </w:rPr>
        <w:t xml:space="preserve">raise</w:t>
      </w:r>
      <w:r>
        <w:rPr>
          <w:rStyle w:val="NormalTok"/>
        </w:rPr>
        <w:t xml:space="preserve"> </w:t>
      </w:r>
      <w:r>
        <w:rPr>
          <w:rStyle w:val="PreprocessorTok"/>
        </w:rPr>
        <w:t xml:space="preserve">ValueError</w:t>
      </w:r>
      <w:r>
        <w:rPr>
          <w:rStyle w:val="NormalTok"/>
        </w:rPr>
        <w:t xml:space="preserve">(</w:t>
      </w:r>
      <w:r>
        <w:rPr>
          <w:rStyle w:val="StringTok"/>
        </w:rPr>
        <w:t xml:space="preserve">"available_hours must be &gt; 0"</w:t>
      </w:r>
      <w:r>
        <w:rPr>
          <w:rStyle w:val="NormalTok"/>
        </w:rPr>
        <w:t xml:space="preserve">)</w:t>
      </w:r>
      <w:r>
        <w:br/>
      </w:r>
      <w:r>
        <w:rPr>
          <w:rStyle w:val="NormalTok"/>
        </w:rPr>
        <w:t xml:space="preserve">    </w:t>
      </w:r>
      <w:r>
        <w:rPr>
          <w:rStyle w:val="ControlFlowTok"/>
        </w:rPr>
        <w:t xml:space="preserve">return</w:t>
      </w:r>
      <w:r>
        <w:rPr>
          <w:rStyle w:val="NormalTok"/>
        </w:rPr>
        <w:t xml:space="preserve"> </w:t>
      </w:r>
      <w:r>
        <w:rPr>
          <w:rStyle w:val="FloatTok"/>
        </w:rPr>
        <w:t xml:space="preserve">100.0</w:t>
      </w:r>
      <w:r>
        <w:rPr>
          <w:rStyle w:val="NormalTok"/>
        </w:rPr>
        <w:t xml:space="preserve"> </w:t>
      </w:r>
      <w:r>
        <w:rPr>
          <w:rStyle w:val="OperatorTok"/>
        </w:rPr>
        <w:t xml:space="preserve">*</w:t>
      </w:r>
      <w:r>
        <w:rPr>
          <w:rStyle w:val="NormalTok"/>
        </w:rPr>
        <w:t xml:space="preserve"> operating_hours </w:t>
      </w:r>
      <w:r>
        <w:rPr>
          <w:rStyle w:val="OperatorTok"/>
        </w:rPr>
        <w:t xml:space="preserve">/</w:t>
      </w:r>
      <w:r>
        <w:rPr>
          <w:rStyle w:val="NormalTok"/>
        </w:rPr>
        <w:t xml:space="preserve"> available_hours</w:t>
      </w:r>
    </w:p>
    <w:p>
      <w:pPr>
        <w:pStyle w:val="FirstParagraph"/>
      </w:pPr>
      <w:r>
        <w:rPr>
          <w:bCs/>
          <w:b/>
        </w:rPr>
        <w:t xml:space="preserve">Expected Output.</w:t>
      </w:r>
      <w:r>
        <w:t xml:space="preserve"> A percentage. Worked example → </w:t>
      </w:r>
      <w:r>
        <w:rPr>
          <w:rStyle w:val="VerbatimChar"/>
        </w:rPr>
        <w:t xml:space="preserve">89.0</w:t>
      </w:r>
      <w:r>
        <w:t xml:space="preserve">.</w:t>
      </w:r>
    </w:p>
    <w:p>
      <w:pPr>
        <w:pStyle w:val="BodyText"/>
      </w:pPr>
      <w:r>
        <w:rPr>
          <w:bCs/>
          <w:b/>
        </w:rPr>
        <w:t xml:space="preserve">Worked Example.</w:t>
      </w:r>
      <w:r>
        <w:t xml:space="preserve"> The same truck is available </w:t>
      </w:r>
      <w:r>
        <w:rPr>
          <w:bCs/>
          <w:b/>
        </w:rPr>
        <w:t xml:space="preserve">146 h</w:t>
      </w:r>
      <w:r>
        <w:t xml:space="preserve"> and operating </w:t>
      </w:r>
      <w:r>
        <w:rPr>
          <w:bCs/>
          <w:b/>
        </w:rPr>
        <w:t xml:space="preserve">130 h</w:t>
      </w:r>
      <w:r>
        <w:t xml:space="preserve">. </w:t>
      </w:r>
      <w:r>
        <w:rPr>
          <w:rStyle w:val="VerbatimChar"/>
        </w:rPr>
        <w:t xml:space="preserve">use_of_availability(130, 146)</w:t>
      </w:r>
      <w:r>
        <w:t xml:space="preserve"> → </w:t>
      </w:r>
      <w:r>
        <w:rPr>
          <w:bCs/>
          <w:b/>
        </w:rPr>
        <w:t xml:space="preserve">89.0%</w:t>
      </w:r>
      <w:r>
        <w:t xml:space="preserve"> — good use of available time; ~16 h of available time was lost to queueing, standby, and operational delay.</w:t>
      </w:r>
    </w:p>
    <w:p>
      <w:pPr>
        <w:pStyle w:val="BodyText"/>
      </w:pPr>
      <w:r>
        <w:rPr>
          <w:bCs/>
          <w:b/>
        </w:rPr>
        <w:t xml:space="preserve">Sample Dataset.</w:t>
      </w:r>
    </w:p>
    <w:tbl>
      <w:tblPr>
        <w:tblStyle w:val="Table"/>
        <w:tblW w:type="auto" w:w="0"/>
        <w:tblLook w:firstRow="1" w:lastRow="0" w:firstColumn="0" w:lastColumn="0" w:noHBand="0" w:noVBand="0" w:val="0020"/>
        <w:jc w:val="start"/>
      </w:tblPr>
      <w:tblGrid>
        <w:gridCol w:w="1980"/>
        <w:gridCol w:w="1980"/>
        <w:gridCol w:w="1980"/>
        <w:gridCol w:w="1980"/>
      </w:tblGrid>
      <w:tr>
        <w:trPr>
          <w:tblHeader w:val="true"/>
        </w:trPr>
        <w:tc>
          <w:tcPr/>
          <w:p>
            <w:pPr>
              <w:pStyle w:val="Compact"/>
              <w:jc w:val="left"/>
            </w:pPr>
            <w:r>
              <w:t xml:space="preserve">equipment</w:t>
            </w:r>
          </w:p>
        </w:tc>
        <w:tc>
          <w:tcPr/>
          <w:p>
            <w:pPr>
              <w:pStyle w:val="Compact"/>
              <w:jc w:val="left"/>
            </w:pPr>
            <w:r>
              <w:t xml:space="preserve">available_h</w:t>
            </w:r>
          </w:p>
        </w:tc>
        <w:tc>
          <w:tcPr/>
          <w:p>
            <w:pPr>
              <w:pStyle w:val="Compact"/>
              <w:jc w:val="left"/>
            </w:pPr>
            <w:r>
              <w:t xml:space="preserve">operational_delay_h</w:t>
            </w:r>
          </w:p>
        </w:tc>
        <w:tc>
          <w:tcPr/>
          <w:p>
            <w:pPr>
              <w:pStyle w:val="Compact"/>
              <w:jc w:val="left"/>
            </w:pPr>
            <w:r>
              <w:t xml:space="preserve">operating_h</w:t>
            </w:r>
          </w:p>
        </w:tc>
      </w:tr>
      <w:tr>
        <w:tc>
          <w:tcPr/>
          <w:p>
            <w:pPr>
              <w:pStyle w:val="Compact"/>
              <w:jc w:val="left"/>
            </w:pPr>
            <w:r>
              <w:t xml:space="preserve">T-114</w:t>
            </w:r>
          </w:p>
        </w:tc>
        <w:tc>
          <w:tcPr/>
          <w:p>
            <w:pPr>
              <w:pStyle w:val="Compact"/>
              <w:jc w:val="left"/>
            </w:pPr>
            <w:r>
              <w:t xml:space="preserve">146</w:t>
            </w:r>
          </w:p>
        </w:tc>
        <w:tc>
          <w:tcPr/>
          <w:p>
            <w:pPr>
              <w:pStyle w:val="Compact"/>
              <w:jc w:val="left"/>
            </w:pPr>
            <w:r>
              <w:t xml:space="preserve">16</w:t>
            </w:r>
          </w:p>
        </w:tc>
        <w:tc>
          <w:tcPr/>
          <w:p>
            <w:pPr>
              <w:pStyle w:val="Compact"/>
              <w:jc w:val="left"/>
            </w:pPr>
            <w:r>
              <w:t xml:space="preserve">130</w:t>
            </w:r>
          </w:p>
        </w:tc>
      </w:tr>
    </w:tbl>
    <w:p>
      <w:pPr>
        <w:pStyle w:val="BodyText"/>
      </w:pPr>
      <w:r>
        <w:rPr>
          <w:bCs/>
          <w:b/>
        </w:rPr>
        <w:t xml:space="preserve">Visualization.</w:t>
      </w:r>
      <w:r>
        <w:t xml:space="preserve"> UA vs PA scatter by asset (separate maintenance from operations problems); UA trend. </w:t>
      </w:r>
      <w:r>
        <w:rPr>
          <w:bCs/>
          <w:b/>
        </w:rPr>
        <w:t xml:space="preserve">Operational Interpretation.</w:t>
      </w:r>
      <w:r>
        <w:t xml:space="preserve"> Excellent ≥ 90%, Good 85–90%, Poor 78–85%, Critical &lt; 78% (asset- and site-dependent). </w:t>
      </w:r>
      <w:r>
        <w:rPr>
          <w:bCs/>
          <w:b/>
        </w:rPr>
        <w:t xml:space="preserve">Common Mistakes.</w:t>
      </w:r>
      <w:r>
        <w:t xml:space="preserve"> Reporting UA without PA (each alone is half the story); putting maintenance delay in UA’s numerator. </w:t>
      </w:r>
      <w:r>
        <w:rPr>
          <w:bCs/>
          <w:b/>
        </w:rPr>
        <w:t xml:space="preserve">Validation Rules.</w:t>
      </w:r>
      <w:r>
        <w:t xml:space="preserve"> </w:t>
      </w:r>
      <w:r>
        <w:rPr>
          <w:rStyle w:val="VerbatimChar"/>
        </w:rPr>
        <w:t xml:space="preserve">0 ≤ operating ≤ available</w:t>
      </w:r>
      <w:r>
        <w:t xml:space="preserve">; </w:t>
      </w:r>
      <w:r>
        <w:rPr>
          <w:rStyle w:val="VerbatimChar"/>
        </w:rPr>
        <w:t xml:space="preserve">available &gt; 0</w:t>
      </w:r>
      <w:r>
        <w:t xml:space="preserve">. </w:t>
      </w:r>
      <w:r>
        <w:rPr>
          <w:bCs/>
          <w:b/>
        </w:rPr>
        <w:t xml:space="preserve">Unit Tests.</w:t>
      </w:r>
    </w:p>
    <w:p>
      <w:pPr>
        <w:pStyle w:val="SourceCode"/>
      </w:pPr>
      <w:r>
        <w:rPr>
          <w:rStyle w:val="ImportTok"/>
        </w:rPr>
        <w:t xml:space="preserve">from</w:t>
      </w:r>
      <w:r>
        <w:rPr>
          <w:rStyle w:val="NormalTok"/>
        </w:rPr>
        <w:t xml:space="preserve"> mp_kpis_p3 </w:t>
      </w:r>
      <w:r>
        <w:rPr>
          <w:rStyle w:val="ImportTok"/>
        </w:rPr>
        <w:t xml:space="preserve">import</w:t>
      </w:r>
      <w:r>
        <w:rPr>
          <w:rStyle w:val="NormalTok"/>
        </w:rPr>
        <w:t xml:space="preserve"> use_of_availability</w:t>
      </w:r>
      <w:r>
        <w:br/>
        <w:br/>
      </w:r>
      <w:r>
        <w:rPr>
          <w:rStyle w:val="KeywordTok"/>
        </w:rPr>
        <w:t xml:space="preserve">def</w:t>
      </w:r>
      <w:r>
        <w:rPr>
          <w:rStyle w:val="NormalTok"/>
        </w:rPr>
        <w:t xml:space="preserve"> test_ua_canonical():</w:t>
      </w:r>
      <w:r>
        <w:br/>
      </w:r>
      <w:r>
        <w:rPr>
          <w:rStyle w:val="NormalTok"/>
        </w:rPr>
        <w:t xml:space="preserve">    </w:t>
      </w:r>
      <w:r>
        <w:rPr>
          <w:rStyle w:val="ControlFlowTok"/>
        </w:rPr>
        <w:t xml:space="preserve">assert</w:t>
      </w:r>
      <w:r>
        <w:rPr>
          <w:rStyle w:val="NormalTok"/>
        </w:rPr>
        <w:t xml:space="preserve"> </w:t>
      </w:r>
      <w:r>
        <w:rPr>
          <w:rStyle w:val="BuiltInTok"/>
        </w:rPr>
        <w:t xml:space="preserve">round</w:t>
      </w:r>
      <w:r>
        <w:rPr>
          <w:rStyle w:val="NormalTok"/>
        </w:rPr>
        <w:t xml:space="preserve">(use_of_availability(</w:t>
      </w:r>
      <w:r>
        <w:rPr>
          <w:rStyle w:val="DecValTok"/>
        </w:rPr>
        <w:t xml:space="preserve">130</w:t>
      </w:r>
      <w:r>
        <w:rPr>
          <w:rStyle w:val="NormalTok"/>
        </w:rPr>
        <w:t xml:space="preserve">, </w:t>
      </w:r>
      <w:r>
        <w:rPr>
          <w:rStyle w:val="DecValTok"/>
        </w:rPr>
        <w:t xml:space="preserve">146</w:t>
      </w:r>
      <w:r>
        <w:rPr>
          <w:rStyle w:val="NormalTok"/>
        </w:rPr>
        <w:t xml:space="preserve">), </w:t>
      </w:r>
      <w:r>
        <w:rPr>
          <w:rStyle w:val="DecValTok"/>
        </w:rPr>
        <w:t xml:space="preserve">1</w:t>
      </w:r>
      <w:r>
        <w:rPr>
          <w:rStyle w:val="NormalTok"/>
        </w:rPr>
        <w:t xml:space="preserve">) </w:t>
      </w:r>
      <w:r>
        <w:rPr>
          <w:rStyle w:val="OperatorTok"/>
        </w:rPr>
        <w:t xml:space="preserve">==</w:t>
      </w:r>
      <w:r>
        <w:rPr>
          <w:rStyle w:val="NormalTok"/>
        </w:rPr>
        <w:t xml:space="preserve"> </w:t>
      </w:r>
      <w:r>
        <w:rPr>
          <w:rStyle w:val="FloatTok"/>
        </w:rPr>
        <w:t xml:space="preserve">89.0</w:t>
      </w:r>
    </w:p>
    <w:p>
      <w:pPr>
        <w:pStyle w:val="FirstParagraph"/>
      </w:pPr>
      <w:r>
        <w:rPr>
          <w:bCs/>
          <w:b/>
        </w:rPr>
        <w:t xml:space="preserve">Performance Considerations.</w:t>
      </w:r>
      <w:r>
        <w:t xml:space="preserve"> O(1). </w:t>
      </w:r>
      <w:r>
        <w:rPr>
          <w:bCs/>
          <w:b/>
        </w:rPr>
        <w:t xml:space="preserve">Edge Cases.</w:t>
      </w:r>
      <w:r>
        <w:t xml:space="preserve"> Zero available time → UA undefined. </w:t>
      </w:r>
      <w:r>
        <w:rPr>
          <w:bCs/>
          <w:b/>
        </w:rPr>
        <w:t xml:space="preserve">AI Contributor Notes.</w:t>
      </w:r>
      <w:r>
        <w:t xml:space="preserve"> Lagging/operational; pair with PA in every narrative. </w:t>
      </w:r>
      <w:r>
        <w:rPr>
          <w:bCs/>
          <w:b/>
        </w:rPr>
        <w:t xml:space="preserve">Digital Twin Mapping.</w:t>
      </w:r>
      <w:r>
        <w:t xml:space="preserve"> The twin exposes live idle-within-available time. </w:t>
      </w:r>
      <w:r>
        <w:rPr>
          <w:bCs/>
          <w:b/>
        </w:rPr>
        <w:t xml:space="preserve">Decision Intelligence Mapping.</w:t>
      </w:r>
      <w:r>
        <w:t xml:space="preserve"> Low UA routes to dispatch/queue optimisation, not maintenance. </w:t>
      </w:r>
      <w:r>
        <w:rPr>
          <w:bCs/>
          <w:b/>
        </w:rPr>
        <w:t xml:space="preserve">Related KPIs.</w:t>
      </w:r>
      <w:r>
        <w:t xml:space="preserve"> </w:t>
      </w:r>
      <w:r>
        <w:rPr>
          <w:rStyle w:val="VerbatimChar"/>
        </w:rPr>
        <w:t xml:space="preserve">UTIL.PA</w:t>
      </w:r>
      <w:r>
        <w:t xml:space="preserve">, </w:t>
      </w:r>
      <w:r>
        <w:rPr>
          <w:rStyle w:val="VerbatimChar"/>
        </w:rPr>
        <w:t xml:space="preserve">UTIL.EU</w:t>
      </w:r>
      <w:r>
        <w:t xml:space="preserve">, </w:t>
      </w:r>
      <w:r>
        <w:rPr>
          <w:rStyle w:val="VerbatimChar"/>
        </w:rPr>
        <w:t xml:space="preserve">HAUL.MatchFactor</w:t>
      </w:r>
      <w:r>
        <w:t xml:space="preserve">, </w:t>
      </w:r>
      <w:r>
        <w:rPr>
          <w:rStyle w:val="VerbatimChar"/>
        </w:rPr>
        <w:t xml:space="preserve">DISP.QueueTime</w:t>
      </w:r>
      <w:r>
        <w:t xml:space="preserve">. </w:t>
      </w:r>
      <w:r>
        <w:rPr>
          <w:bCs/>
          <w:b/>
        </w:rPr>
        <w:t xml:space="preserve">References.</w:t>
      </w:r>
      <w:r>
        <w:t xml:space="preserve"> Canonical Semantics; Part II, Chapter 18.</w:t>
      </w:r>
    </w:p>
    <w:bookmarkEnd w:id="86"/>
    <w:bookmarkStart w:id="87" w:name="util.eu-effective-utilisation"/>
    <w:p>
      <w:pPr>
        <w:pStyle w:val="Heading3"/>
      </w:pPr>
      <w:bookmarkStart w:id="900042" w:name="_TocMP900042"/>
      <w:r>
        <w:t xml:space="preserve">UTIL.EU — Effective Utilisation</w:t>
      </w:r>
      <w:bookmarkEnd w:id="900042"/>
    </w:p>
    <w:p>
      <w:pPr>
        <w:pStyle w:val="FirstParagraph"/>
      </w:pPr>
      <w:r>
        <w:rPr>
          <w:bCs/>
          <w:b/>
        </w:rPr>
        <w:t xml:space="preserve">Identifier.</w:t>
      </w:r>
      <w:r>
        <w:t xml:space="preserve"> </w:t>
      </w:r>
      <w:r>
        <w:rPr>
          <w:rStyle w:val="VerbatimChar"/>
        </w:rPr>
        <w:t xml:space="preserve">UTIL.EU</w:t>
      </w:r>
      <w:r>
        <w:t xml:space="preserve"> · </w:t>
      </w:r>
      <w:r>
        <w:rPr>
          <w:bCs/>
          <w:b/>
        </w:rPr>
        <w:t xml:space="preserve">Official Name.</w:t>
      </w:r>
      <w:r>
        <w:t xml:space="preserve"> Effective Utilisation · </w:t>
      </w:r>
      <w:r>
        <w:rPr>
          <w:bCs/>
          <w:b/>
        </w:rPr>
        <w:t xml:space="preserve">Status.</w:t>
      </w:r>
      <w:r>
        <w:t xml:space="preserve"> Active · </w:t>
      </w:r>
      <w:r>
        <w:rPr>
          <w:bCs/>
          <w:b/>
        </w:rPr>
        <w:t xml:space="preserve">Version.</w:t>
      </w:r>
      <w:r>
        <w:t xml:space="preserve"> 1.0.0</w:t>
      </w:r>
    </w:p>
    <w:p>
      <w:pPr>
        <w:pStyle w:val="BodyText"/>
      </w:pPr>
      <w:r>
        <w:rPr>
          <w:bCs/>
          <w:b/>
        </w:rPr>
        <w:t xml:space="preserve">Business Purpose.</w:t>
      </w:r>
      <w:r>
        <w:t xml:space="preserve"> EU is the bottom-line time efficiency: operating time as a share of </w:t>
      </w:r>
      <w:r>
        <w:rPr>
          <w:iCs/>
          <w:i/>
        </w:rPr>
        <w:t xml:space="preserve">scheduled</w:t>
      </w:r>
      <w:r>
        <w:t xml:space="preserve"> time. It rolls PA and UA into one figure while remaining decomposable. </w:t>
      </w:r>
      <w:r>
        <w:rPr>
          <w:bCs/>
          <w:b/>
        </w:rPr>
        <w:t xml:space="preserve">Operational Question.</w:t>
      </w:r>
      <w:r>
        <w:t xml:space="preserve"> </w:t>
      </w:r>
      <w:r>
        <w:rPr>
          <w:iCs/>
          <w:i/>
        </w:rPr>
        <w:t xml:space="preserve">Of the time we intended to run, how much was actually productive?</w:t>
      </w:r>
      <w:r>
        <w:t xml:space="preserve"> </w:t>
      </w:r>
      <w:r>
        <w:rPr>
          <w:bCs/>
          <w:b/>
        </w:rPr>
        <w:t xml:space="preserve">Business Meaning.</w:t>
      </w:r>
      <w:r>
        <w:t xml:space="preserve"> EU is what most people </w:t>
      </w:r>
      <w:r>
        <w:rPr>
          <w:iCs/>
          <w:i/>
        </w:rPr>
        <w:t xml:space="preserve">mean</w:t>
      </w:r>
      <w:r>
        <w:t xml:space="preserve"> by “utilisation”; MineProductivity defines it precisely as PA × UA so it can never contradict them.</w:t>
      </w:r>
    </w:p>
    <w:p>
      <w:pPr>
        <w:pStyle w:val="BodyText"/>
      </w:pPr>
      <w:r>
        <w:rPr>
          <w:bCs/>
          <w:b/>
        </w:rPr>
        <w:t xml:space="preserve">Formula.</w:t>
      </w:r>
    </w:p>
    <w:p>
      <w:pPr>
        <w:pStyle w:val="SourceCode"/>
      </w:pPr>
      <w:r>
        <w:rPr>
          <w:rStyle w:val="VerbatimChar"/>
        </w:rPr>
        <w:t xml:space="preserve">UTIL.EU = 100 × Operating hours ÷ Scheduled hours = (PA × UA) ÷ 100   [%]</w:t>
      </w:r>
    </w:p>
    <w:p>
      <w:pPr>
        <w:pStyle w:val="FirstParagraph"/>
      </w:pPr>
      <w:r>
        <w:rPr>
          <w:bCs/>
          <w:b/>
        </w:rPr>
        <w:t xml:space="preserve">Units.</w:t>
      </w:r>
      <w:r>
        <w:t xml:space="preserve"> %. </w:t>
      </w:r>
      <w:r>
        <w:rPr>
          <w:bCs/>
          <w:b/>
        </w:rPr>
        <w:t xml:space="preserve">Dimensions.</w:t>
      </w:r>
      <w:r>
        <w:t xml:space="preserve"> as </w:t>
      </w:r>
      <w:r>
        <w:rPr>
          <w:rStyle w:val="VerbatimChar"/>
        </w:rPr>
        <w:t xml:space="preserve">UTIL.PA</w:t>
      </w:r>
      <w:r>
        <w:t xml:space="preserve">. </w:t>
      </w:r>
      <w:r>
        <w:rPr>
          <w:bCs/>
          <w:b/>
        </w:rPr>
        <w:t xml:space="preserve">Required Events.</w:t>
      </w:r>
      <w:r>
        <w:t xml:space="preserve"> </w:t>
      </w:r>
      <w:r>
        <w:rPr>
          <w:rStyle w:val="VerbatimChar"/>
        </w:rPr>
        <w:t xml:space="preserve">DelayEvent</w:t>
      </w:r>
      <w:r>
        <w:t xml:space="preserve">. </w:t>
      </w:r>
      <w:r>
        <w:rPr>
          <w:bCs/>
          <w:b/>
        </w:rPr>
        <w:t xml:space="preserve">Required Ontology.</w:t>
      </w:r>
      <w:r>
        <w:t xml:space="preserve"> </w:t>
      </w:r>
      <w:r>
        <w:rPr>
          <w:rStyle w:val="VerbatimChar"/>
        </w:rPr>
        <w:t xml:space="preserve">Equipment</w:t>
      </w:r>
      <w:r>
        <w:t xml:space="preserve">, </w:t>
      </w:r>
      <w:r>
        <w:rPr>
          <w:rStyle w:val="VerbatimChar"/>
        </w:rPr>
        <w:t xml:space="preserve">Shift</w:t>
      </w:r>
      <w:r>
        <w:t xml:space="preserve">. </w:t>
      </w:r>
      <w:r>
        <w:rPr>
          <w:bCs/>
          <w:b/>
        </w:rPr>
        <w:t xml:space="preserve">Dependencies.</w:t>
      </w:r>
      <w:r>
        <w:t xml:space="preserve"> </w:t>
      </w:r>
      <w:r>
        <w:rPr>
          <w:rStyle w:val="VerbatimChar"/>
        </w:rPr>
        <w:t xml:space="preserve">UTIL.PA</w:t>
      </w:r>
      <w:r>
        <w:t xml:space="preserve">, </w:t>
      </w:r>
      <w:r>
        <w:rPr>
          <w:rStyle w:val="VerbatimChar"/>
        </w:rPr>
        <w:t xml:space="preserve">UTIL.UA</w:t>
      </w:r>
      <w:r>
        <w:t xml:space="preserve"> (EU is their product). </w:t>
      </w:r>
      <w:r>
        <w:rPr>
          <w:bCs/>
          <w:b/>
        </w:rPr>
        <w:t xml:space="preserve">Mathematical Properties.</w:t>
      </w:r>
      <w:r>
        <w:t xml:space="preserve"> Ratio; not additive; exact identity </w:t>
      </w:r>
      <w:r>
        <w:rPr>
          <w:rStyle w:val="VerbatimChar"/>
        </w:rPr>
        <w:t xml:space="preserve">EU = PA × UA / 100</w:t>
      </w:r>
      <w:r>
        <w:t xml:space="preserve">.</w:t>
      </w:r>
    </w:p>
    <w:p>
      <w:pPr>
        <w:pStyle w:val="BodyText"/>
      </w:pPr>
      <w:r>
        <w:rPr>
          <w:bCs/>
          <w:b/>
        </w:rPr>
        <w:t xml:space="preserve">Calculation Logic.</w:t>
      </w:r>
      <w:r>
        <w:t xml:space="preserve"> Either divide operating by scheduled directly, or multiply PA by UA — both give the same result, which is a built-in consistency check.</w:t>
      </w:r>
    </w:p>
    <w:p>
      <w:pPr>
        <w:pStyle w:val="BodyText"/>
      </w:pPr>
      <w:r>
        <w:rPr>
          <w:bCs/>
          <w:b/>
        </w:rPr>
        <w:t xml:space="preserve">Python Implementation.</w:t>
      </w:r>
    </w:p>
    <w:p>
      <w:pPr>
        <w:pStyle w:val="SourceCode"/>
      </w:pPr>
      <w:r>
        <w:rPr>
          <w:rStyle w:val="KeywordTok"/>
        </w:rPr>
        <w:t xml:space="preserve">def</w:t>
      </w:r>
      <w:r>
        <w:rPr>
          <w:rStyle w:val="NormalTok"/>
        </w:rPr>
        <w:t xml:space="preserve"> effective_utilisation(operating_hours: </w:t>
      </w:r>
      <w:r>
        <w:rPr>
          <w:rStyle w:val="BuiltInTok"/>
        </w:rPr>
        <w:t xml:space="preserve">float</w:t>
      </w:r>
      <w:r>
        <w:rPr>
          <w:rStyle w:val="NormalTok"/>
        </w:rPr>
        <w:t xml:space="preserve">, scheduled_hours: </w:t>
      </w:r>
      <w:r>
        <w:rPr>
          <w:rStyle w:val="BuiltInTok"/>
        </w:rPr>
        <w:t xml:space="preserve">float</w:t>
      </w:r>
      <w:r>
        <w:rPr>
          <w:rStyle w:val="NormalTok"/>
        </w:rPr>
        <w:t xml:space="preserve">) </w:t>
      </w:r>
      <w:r>
        <w:rPr>
          <w:rStyle w:val="OperatorTok"/>
        </w:rPr>
        <w:t xml:space="preserve">-&gt;</w:t>
      </w:r>
      <w:r>
        <w:rPr>
          <w:rStyle w:val="NormalTok"/>
        </w:rPr>
        <w:t xml:space="preserve"> </w:t>
      </w:r>
      <w:r>
        <w:rPr>
          <w:rStyle w:val="BuiltInTok"/>
        </w:rPr>
        <w:t xml:space="preserve">float</w:t>
      </w:r>
      <w:r>
        <w:rPr>
          <w:rStyle w:val="NormalTok"/>
        </w:rPr>
        <w:t xml:space="preserve">:</w:t>
      </w:r>
      <w:r>
        <w:br/>
      </w:r>
      <w:r>
        <w:rPr>
          <w:rStyle w:val="NormalTok"/>
        </w:rPr>
        <w:t xml:space="preserve">    </w:t>
      </w:r>
      <w:r>
        <w:rPr>
          <w:rStyle w:val="CommentTok"/>
        </w:rPr>
        <w:t xml:space="preserve">"""UTIL.EU — operating share of scheduled time (%) == PA*UA/100."""</w:t>
      </w:r>
      <w:r>
        <w:br/>
      </w:r>
      <w:r>
        <w:rPr>
          <w:rStyle w:val="NormalTok"/>
        </w:rPr>
        <w:t xml:space="preserve">    </w:t>
      </w:r>
      <w:r>
        <w:rPr>
          <w:rStyle w:val="ControlFlowTok"/>
        </w:rPr>
        <w:t xml:space="preserve">if</w:t>
      </w:r>
      <w:r>
        <w:rPr>
          <w:rStyle w:val="NormalTok"/>
        </w:rPr>
        <w:t xml:space="preserve"> scheduled_hours </w:t>
      </w:r>
      <w:r>
        <w:rPr>
          <w:rStyle w:val="OperatorTok"/>
        </w:rPr>
        <w:t xml:space="preserve">&lt;=</w:t>
      </w:r>
      <w:r>
        <w:rPr>
          <w:rStyle w:val="NormalTok"/>
        </w:rPr>
        <w:t xml:space="preserve"> </w:t>
      </w:r>
      <w:r>
        <w:rPr>
          <w:rStyle w:val="DecValTok"/>
        </w:rPr>
        <w:t xml:space="preserve">0</w:t>
      </w:r>
      <w:r>
        <w:rPr>
          <w:rStyle w:val="NormalTok"/>
        </w:rPr>
        <w:t xml:space="preserve">:</w:t>
      </w:r>
      <w:r>
        <w:br/>
      </w:r>
      <w:r>
        <w:rPr>
          <w:rStyle w:val="NormalTok"/>
        </w:rPr>
        <w:t xml:space="preserve">        </w:t>
      </w:r>
      <w:r>
        <w:rPr>
          <w:rStyle w:val="ControlFlowTok"/>
        </w:rPr>
        <w:t xml:space="preserve">raise</w:t>
      </w:r>
      <w:r>
        <w:rPr>
          <w:rStyle w:val="NormalTok"/>
        </w:rPr>
        <w:t xml:space="preserve"> </w:t>
      </w:r>
      <w:r>
        <w:rPr>
          <w:rStyle w:val="PreprocessorTok"/>
        </w:rPr>
        <w:t xml:space="preserve">ValueError</w:t>
      </w:r>
      <w:r>
        <w:rPr>
          <w:rStyle w:val="NormalTok"/>
        </w:rPr>
        <w:t xml:space="preserve">(</w:t>
      </w:r>
      <w:r>
        <w:rPr>
          <w:rStyle w:val="StringTok"/>
        </w:rPr>
        <w:t xml:space="preserve">"scheduled_hours must be &gt; 0"</w:t>
      </w:r>
      <w:r>
        <w:rPr>
          <w:rStyle w:val="NormalTok"/>
        </w:rPr>
        <w:t xml:space="preserve">)</w:t>
      </w:r>
      <w:r>
        <w:br/>
      </w:r>
      <w:r>
        <w:rPr>
          <w:rStyle w:val="NormalTok"/>
        </w:rPr>
        <w:t xml:space="preserve">    </w:t>
      </w:r>
      <w:r>
        <w:rPr>
          <w:rStyle w:val="ControlFlowTok"/>
        </w:rPr>
        <w:t xml:space="preserve">return</w:t>
      </w:r>
      <w:r>
        <w:rPr>
          <w:rStyle w:val="NormalTok"/>
        </w:rPr>
        <w:t xml:space="preserve"> </w:t>
      </w:r>
      <w:r>
        <w:rPr>
          <w:rStyle w:val="FloatTok"/>
        </w:rPr>
        <w:t xml:space="preserve">100.0</w:t>
      </w:r>
      <w:r>
        <w:rPr>
          <w:rStyle w:val="NormalTok"/>
        </w:rPr>
        <w:t xml:space="preserve"> </w:t>
      </w:r>
      <w:r>
        <w:rPr>
          <w:rStyle w:val="OperatorTok"/>
        </w:rPr>
        <w:t xml:space="preserve">*</w:t>
      </w:r>
      <w:r>
        <w:rPr>
          <w:rStyle w:val="NormalTok"/>
        </w:rPr>
        <w:t xml:space="preserve"> operating_hours </w:t>
      </w:r>
      <w:r>
        <w:rPr>
          <w:rStyle w:val="OperatorTok"/>
        </w:rPr>
        <w:t xml:space="preserve">/</w:t>
      </w:r>
      <w:r>
        <w:rPr>
          <w:rStyle w:val="NormalTok"/>
        </w:rPr>
        <w:t xml:space="preserve"> scheduled_hours</w:t>
      </w:r>
    </w:p>
    <w:p>
      <w:pPr>
        <w:pStyle w:val="FirstParagraph"/>
      </w:pPr>
      <w:r>
        <w:rPr>
          <w:bCs/>
          <w:b/>
        </w:rPr>
        <w:t xml:space="preserve">Expected Output.</w:t>
      </w:r>
      <w:r>
        <w:t xml:space="preserve"> A percentage. Worked example → </w:t>
      </w:r>
      <w:r>
        <w:rPr>
          <w:rStyle w:val="VerbatimChar"/>
        </w:rPr>
        <w:t xml:space="preserve">77.4</w:t>
      </w:r>
      <w:r>
        <w:t xml:space="preserve">.</w:t>
      </w:r>
    </w:p>
    <w:p>
      <w:pPr>
        <w:pStyle w:val="BodyText"/>
      </w:pPr>
      <w:r>
        <w:rPr>
          <w:bCs/>
          <w:b/>
        </w:rPr>
        <w:t xml:space="preserve">Worked Example.</w:t>
      </w:r>
      <w:r>
        <w:t xml:space="preserve"> The truck operates </w:t>
      </w:r>
      <w:r>
        <w:rPr>
          <w:bCs/>
          <w:b/>
        </w:rPr>
        <w:t xml:space="preserve">130 h</w:t>
      </w:r>
      <w:r>
        <w:t xml:space="preserve"> of </w:t>
      </w:r>
      <w:r>
        <w:rPr>
          <w:bCs/>
          <w:b/>
        </w:rPr>
        <w:t xml:space="preserve">168 h</w:t>
      </w:r>
      <w:r>
        <w:t xml:space="preserve"> scheduled: </w:t>
      </w:r>
      <w:r>
        <w:rPr>
          <w:rStyle w:val="VerbatimChar"/>
        </w:rPr>
        <w:t xml:space="preserve">effective_utilisation(130, 168)</w:t>
      </w:r>
      <w:r>
        <w:t xml:space="preserve"> → </w:t>
      </w:r>
      <w:r>
        <w:rPr>
          <w:bCs/>
          <w:b/>
        </w:rPr>
        <w:t xml:space="preserve">77.4%</w:t>
      </w:r>
      <w:r>
        <w:t xml:space="preserve">. Cross-check: PA 86.9% × UA 89.0% ÷ 100 = </w:t>
      </w:r>
      <w:r>
        <w:rPr>
          <w:bCs/>
          <w:b/>
        </w:rPr>
        <w:t xml:space="preserve">77.4%</w:t>
      </w:r>
      <w:r>
        <w:t xml:space="preserve"> — the identity holds, confirming the time buckets are consistent.</w:t>
      </w:r>
    </w:p>
    <w:p>
      <w:pPr>
        <w:pStyle w:val="BodyText"/>
      </w:pPr>
      <w:r>
        <w:rPr>
          <w:bCs/>
          <w:b/>
        </w:rPr>
        <w:t xml:space="preserve">Sample Dataset.</w:t>
      </w:r>
    </w:p>
    <w:tbl>
      <w:tblPr>
        <w:tblStyle w:val="Table"/>
        <w:tblW w:type="auto" w:w="0"/>
        <w:tblLook w:firstRow="1" w:lastRow="0" w:firstColumn="0" w:lastColumn="0" w:noHBand="0" w:noVBand="0" w:val="0020"/>
        <w:jc w:val="start"/>
      </w:tblPr>
      <w:tblGrid>
        <w:gridCol w:w="1320"/>
        <w:gridCol w:w="1320"/>
        <w:gridCol w:w="1320"/>
        <w:gridCol w:w="1320"/>
        <w:gridCol w:w="1320"/>
        <w:gridCol w:w="1320"/>
      </w:tblGrid>
      <w:tr>
        <w:trPr>
          <w:tblHeader w:val="true"/>
        </w:trPr>
        <w:tc>
          <w:tcPr/>
          <w:p>
            <w:pPr>
              <w:pStyle w:val="Compact"/>
              <w:jc w:val="left"/>
            </w:pPr>
            <w:r>
              <w:t xml:space="preserve">equipment</w:t>
            </w:r>
          </w:p>
        </w:tc>
        <w:tc>
          <w:tcPr/>
          <w:p>
            <w:pPr>
              <w:pStyle w:val="Compact"/>
              <w:jc w:val="left"/>
            </w:pPr>
            <w:r>
              <w:t xml:space="preserve">scheduled_h</w:t>
            </w:r>
          </w:p>
        </w:tc>
        <w:tc>
          <w:tcPr/>
          <w:p>
            <w:pPr>
              <w:pStyle w:val="Compact"/>
              <w:jc w:val="left"/>
            </w:pPr>
            <w:r>
              <w:t xml:space="preserve">operating_h</w:t>
            </w:r>
          </w:p>
        </w:tc>
        <w:tc>
          <w:tcPr/>
          <w:p>
            <w:pPr>
              <w:pStyle w:val="Compact"/>
              <w:jc w:val="left"/>
            </w:pPr>
            <w:r>
              <w:t xml:space="preserve">PA_%</w:t>
            </w:r>
          </w:p>
        </w:tc>
        <w:tc>
          <w:tcPr/>
          <w:p>
            <w:pPr>
              <w:pStyle w:val="Compact"/>
              <w:jc w:val="left"/>
            </w:pPr>
            <w:r>
              <w:t xml:space="preserve">UA_%</w:t>
            </w:r>
          </w:p>
        </w:tc>
        <w:tc>
          <w:tcPr/>
          <w:p>
            <w:pPr>
              <w:pStyle w:val="Compact"/>
              <w:jc w:val="left"/>
            </w:pPr>
            <w:r>
              <w:t xml:space="preserve">EU_%</w:t>
            </w:r>
          </w:p>
        </w:tc>
      </w:tr>
      <w:tr>
        <w:tc>
          <w:tcPr/>
          <w:p>
            <w:pPr>
              <w:pStyle w:val="Compact"/>
              <w:jc w:val="left"/>
            </w:pPr>
            <w:r>
              <w:t xml:space="preserve">T-114</w:t>
            </w:r>
          </w:p>
        </w:tc>
        <w:tc>
          <w:tcPr/>
          <w:p>
            <w:pPr>
              <w:pStyle w:val="Compact"/>
              <w:jc w:val="left"/>
            </w:pPr>
            <w:r>
              <w:t xml:space="preserve">168</w:t>
            </w:r>
          </w:p>
        </w:tc>
        <w:tc>
          <w:tcPr/>
          <w:p>
            <w:pPr>
              <w:pStyle w:val="Compact"/>
              <w:jc w:val="left"/>
            </w:pPr>
            <w:r>
              <w:t xml:space="preserve">130</w:t>
            </w:r>
          </w:p>
        </w:tc>
        <w:tc>
          <w:tcPr/>
          <w:p>
            <w:pPr>
              <w:pStyle w:val="Compact"/>
              <w:jc w:val="left"/>
            </w:pPr>
            <w:r>
              <w:t xml:space="preserve">86.9</w:t>
            </w:r>
          </w:p>
        </w:tc>
        <w:tc>
          <w:tcPr/>
          <w:p>
            <w:pPr>
              <w:pStyle w:val="Compact"/>
              <w:jc w:val="left"/>
            </w:pPr>
            <w:r>
              <w:t xml:space="preserve">89.0</w:t>
            </w:r>
          </w:p>
        </w:tc>
        <w:tc>
          <w:tcPr/>
          <w:p>
            <w:pPr>
              <w:pStyle w:val="Compact"/>
              <w:jc w:val="left"/>
            </w:pPr>
            <w:r>
              <w:t xml:space="preserve">77.4</w:t>
            </w:r>
          </w:p>
        </w:tc>
      </w:tr>
    </w:tbl>
    <w:p>
      <w:pPr>
        <w:pStyle w:val="BodyText"/>
      </w:pPr>
      <w:r>
        <w:rPr>
          <w:bCs/>
          <w:b/>
        </w:rPr>
        <w:t xml:space="preserve">Visualization.</w:t>
      </w:r>
      <w:r>
        <w:t xml:space="preserve"> A PA→UA→EU waterfall (see where time is lost); EU trend vs target. </w:t>
      </w:r>
      <w:r>
        <w:rPr>
          <w:bCs/>
          <w:b/>
        </w:rPr>
        <w:t xml:space="preserve">Operational Interpretation.</w:t>
      </w:r>
      <w:r>
        <w:t xml:space="preserve"> EU below target with high PA → operations problem (fix via UA); with low PA → maintenance problem (fix via PA). </w:t>
      </w:r>
      <w:r>
        <w:rPr>
          <w:bCs/>
          <w:b/>
        </w:rPr>
        <w:t xml:space="preserve">Common Mistakes.</w:t>
      </w:r>
      <w:r>
        <w:t xml:space="preserve"> Treating EU as the </w:t>
      </w:r>
      <w:r>
        <w:rPr>
          <w:iCs/>
          <w:i/>
        </w:rPr>
        <w:t xml:space="preserve">only</w:t>
      </w:r>
      <w:r>
        <w:t xml:space="preserve"> utilisation number and losing the PA/UA decomposition. </w:t>
      </w:r>
      <w:r>
        <w:rPr>
          <w:bCs/>
          <w:b/>
        </w:rPr>
        <w:t xml:space="preserve">Validation Rules.</w:t>
      </w:r>
      <w:r>
        <w:t xml:space="preserve"> </w:t>
      </w:r>
      <w:r>
        <w:rPr>
          <w:rStyle w:val="VerbatimChar"/>
        </w:rPr>
        <w:t xml:space="preserve">0 ≤ operating ≤ scheduled</w:t>
      </w:r>
      <w:r>
        <w:t xml:space="preserve">; EU must equal PA×UA/100 within rounding (else the buckets disagree). </w:t>
      </w:r>
      <w:r>
        <w:rPr>
          <w:bCs/>
          <w:b/>
        </w:rPr>
        <w:t xml:space="preserve">Unit Tests.</w:t>
      </w:r>
    </w:p>
    <w:p>
      <w:pPr>
        <w:pStyle w:val="SourceCode"/>
      </w:pPr>
      <w:r>
        <w:rPr>
          <w:rStyle w:val="ImportTok"/>
        </w:rPr>
        <w:t xml:space="preserve">from</w:t>
      </w:r>
      <w:r>
        <w:rPr>
          <w:rStyle w:val="NormalTok"/>
        </w:rPr>
        <w:t xml:space="preserve"> mp_kpis_p3 </w:t>
      </w:r>
      <w:r>
        <w:rPr>
          <w:rStyle w:val="ImportTok"/>
        </w:rPr>
        <w:t xml:space="preserve">import</w:t>
      </w:r>
      <w:r>
        <w:rPr>
          <w:rStyle w:val="NormalTok"/>
        </w:rPr>
        <w:t xml:space="preserve"> effective_utilisation, physical_availability, use_of_availability</w:t>
      </w:r>
      <w:r>
        <w:br/>
        <w:br/>
      </w:r>
      <w:r>
        <w:rPr>
          <w:rStyle w:val="KeywordTok"/>
        </w:rPr>
        <w:t xml:space="preserve">def</w:t>
      </w:r>
      <w:r>
        <w:rPr>
          <w:rStyle w:val="NormalTok"/>
        </w:rPr>
        <w:t xml:space="preserve"> test_eu_identity():</w:t>
      </w:r>
      <w:r>
        <w:br/>
      </w:r>
      <w:r>
        <w:rPr>
          <w:rStyle w:val="NormalTok"/>
        </w:rPr>
        <w:t xml:space="preserve">    eu </w:t>
      </w:r>
      <w:r>
        <w:rPr>
          <w:rStyle w:val="OperatorTok"/>
        </w:rPr>
        <w:t xml:space="preserve">=</w:t>
      </w:r>
      <w:r>
        <w:rPr>
          <w:rStyle w:val="NormalTok"/>
        </w:rPr>
        <w:t xml:space="preserve"> effective_utilisation(</w:t>
      </w:r>
      <w:r>
        <w:rPr>
          <w:rStyle w:val="DecValTok"/>
        </w:rPr>
        <w:t xml:space="preserve">130</w:t>
      </w:r>
      <w:r>
        <w:rPr>
          <w:rStyle w:val="NormalTok"/>
        </w:rPr>
        <w:t xml:space="preserve">, </w:t>
      </w:r>
      <w:r>
        <w:rPr>
          <w:rStyle w:val="DecValTok"/>
        </w:rPr>
        <w:t xml:space="preserve">168</w:t>
      </w:r>
      <w:r>
        <w:rPr>
          <w:rStyle w:val="NormalTok"/>
        </w:rPr>
        <w:t xml:space="preserve">)</w:t>
      </w:r>
      <w:r>
        <w:br/>
      </w:r>
      <w:r>
        <w:rPr>
          <w:rStyle w:val="NormalTok"/>
        </w:rPr>
        <w:t xml:space="preserve">    </w:t>
      </w:r>
      <w:r>
        <w:rPr>
          <w:rStyle w:val="ControlFlowTok"/>
        </w:rPr>
        <w:t xml:space="preserve">assert</w:t>
      </w:r>
      <w:r>
        <w:rPr>
          <w:rStyle w:val="NormalTok"/>
        </w:rPr>
        <w:t xml:space="preserve"> </w:t>
      </w:r>
      <w:r>
        <w:rPr>
          <w:rStyle w:val="BuiltInTok"/>
        </w:rPr>
        <w:t xml:space="preserve">round</w:t>
      </w:r>
      <w:r>
        <w:rPr>
          <w:rStyle w:val="NormalTok"/>
        </w:rPr>
        <w:t xml:space="preserve">(eu, </w:t>
      </w:r>
      <w:r>
        <w:rPr>
          <w:rStyle w:val="DecValTok"/>
        </w:rPr>
        <w:t xml:space="preserve">1</w:t>
      </w:r>
      <w:r>
        <w:rPr>
          <w:rStyle w:val="NormalTok"/>
        </w:rPr>
        <w:t xml:space="preserve">) </w:t>
      </w:r>
      <w:r>
        <w:rPr>
          <w:rStyle w:val="OperatorTok"/>
        </w:rPr>
        <w:t xml:space="preserve">==</w:t>
      </w:r>
      <w:r>
        <w:rPr>
          <w:rStyle w:val="NormalTok"/>
        </w:rPr>
        <w:t xml:space="preserve"> </w:t>
      </w:r>
      <w:r>
        <w:rPr>
          <w:rStyle w:val="FloatTok"/>
        </w:rPr>
        <w:t xml:space="preserve">77.4</w:t>
      </w:r>
      <w:r>
        <w:br/>
      </w:r>
      <w:r>
        <w:rPr>
          <w:rStyle w:val="NormalTok"/>
        </w:rPr>
        <w:t xml:space="preserve">    pa </w:t>
      </w:r>
      <w:r>
        <w:rPr>
          <w:rStyle w:val="OperatorTok"/>
        </w:rPr>
        <w:t xml:space="preserve">=</w:t>
      </w:r>
      <w:r>
        <w:rPr>
          <w:rStyle w:val="NormalTok"/>
        </w:rPr>
        <w:t xml:space="preserve"> physical_availability(</w:t>
      </w:r>
      <w:r>
        <w:rPr>
          <w:rStyle w:val="DecValTok"/>
        </w:rPr>
        <w:t xml:space="preserve">146</w:t>
      </w:r>
      <w:r>
        <w:rPr>
          <w:rStyle w:val="NormalTok"/>
        </w:rPr>
        <w:t xml:space="preserve">, </w:t>
      </w:r>
      <w:r>
        <w:rPr>
          <w:rStyle w:val="DecValTok"/>
        </w:rPr>
        <w:t xml:space="preserve">168</w:t>
      </w:r>
      <w:r>
        <w:rPr>
          <w:rStyle w:val="NormalTok"/>
        </w:rPr>
        <w:t xml:space="preserve">)</w:t>
      </w:r>
      <w:r>
        <w:rPr>
          <w:rStyle w:val="OperatorTok"/>
        </w:rPr>
        <w:t xml:space="preserve">;</w:t>
      </w:r>
      <w:r>
        <w:rPr>
          <w:rStyle w:val="NormalTok"/>
        </w:rPr>
        <w:t xml:space="preserve"> ua </w:t>
      </w:r>
      <w:r>
        <w:rPr>
          <w:rStyle w:val="OperatorTok"/>
        </w:rPr>
        <w:t xml:space="preserve">=</w:t>
      </w:r>
      <w:r>
        <w:rPr>
          <w:rStyle w:val="NormalTok"/>
        </w:rPr>
        <w:t xml:space="preserve"> use_of_availability(</w:t>
      </w:r>
      <w:r>
        <w:rPr>
          <w:rStyle w:val="DecValTok"/>
        </w:rPr>
        <w:t xml:space="preserve">130</w:t>
      </w:r>
      <w:r>
        <w:rPr>
          <w:rStyle w:val="NormalTok"/>
        </w:rPr>
        <w:t xml:space="preserve">, </w:t>
      </w:r>
      <w:r>
        <w:rPr>
          <w:rStyle w:val="DecValTok"/>
        </w:rPr>
        <w:t xml:space="preserve">146</w:t>
      </w:r>
      <w:r>
        <w:rPr>
          <w:rStyle w:val="NormalTok"/>
        </w:rPr>
        <w:t xml:space="preserve">)</w:t>
      </w:r>
      <w:r>
        <w:br/>
      </w:r>
      <w:r>
        <w:rPr>
          <w:rStyle w:val="NormalTok"/>
        </w:rPr>
        <w:t xml:space="preserve">    </w:t>
      </w:r>
      <w:r>
        <w:rPr>
          <w:rStyle w:val="ControlFlowTok"/>
        </w:rPr>
        <w:t xml:space="preserve">assert</w:t>
      </w:r>
      <w:r>
        <w:rPr>
          <w:rStyle w:val="NormalTok"/>
        </w:rPr>
        <w:t xml:space="preserve"> </w:t>
      </w:r>
      <w:r>
        <w:rPr>
          <w:rStyle w:val="BuiltInTok"/>
        </w:rPr>
        <w:t xml:space="preserve">abs</w:t>
      </w:r>
      <w:r>
        <w:rPr>
          <w:rStyle w:val="NormalTok"/>
        </w:rPr>
        <w:t xml:space="preserve">(eu </w:t>
      </w:r>
      <w:r>
        <w:rPr>
          <w:rStyle w:val="OperatorTok"/>
        </w:rPr>
        <w:t xml:space="preserve">-</w:t>
      </w:r>
      <w:r>
        <w:rPr>
          <w:rStyle w:val="NormalTok"/>
        </w:rPr>
        <w:t xml:space="preserve"> pa </w:t>
      </w:r>
      <w:r>
        <w:rPr>
          <w:rStyle w:val="OperatorTok"/>
        </w:rPr>
        <w:t xml:space="preserve">*</w:t>
      </w:r>
      <w:r>
        <w:rPr>
          <w:rStyle w:val="NormalTok"/>
        </w:rPr>
        <w:t xml:space="preserve"> ua </w:t>
      </w:r>
      <w:r>
        <w:rPr>
          <w:rStyle w:val="OperatorTok"/>
        </w:rPr>
        <w:t xml:space="preserve">/</w:t>
      </w:r>
      <w:r>
        <w:rPr>
          <w:rStyle w:val="NormalTok"/>
        </w:rPr>
        <w:t xml:space="preserve"> </w:t>
      </w:r>
      <w:r>
        <w:rPr>
          <w:rStyle w:val="DecValTok"/>
        </w:rPr>
        <w:t xml:space="preserve">100</w:t>
      </w:r>
      <w:r>
        <w:rPr>
          <w:rStyle w:val="NormalTok"/>
        </w:rPr>
        <w:t xml:space="preserve">) </w:t>
      </w:r>
      <w:r>
        <w:rPr>
          <w:rStyle w:val="OperatorTok"/>
        </w:rPr>
        <w:t xml:space="preserve">&lt;</w:t>
      </w:r>
      <w:r>
        <w:rPr>
          <w:rStyle w:val="NormalTok"/>
        </w:rPr>
        <w:t xml:space="preserve"> </w:t>
      </w:r>
      <w:r>
        <w:rPr>
          <w:rStyle w:val="FloatTok"/>
        </w:rPr>
        <w:t xml:space="preserve">1e-6</w:t>
      </w:r>
    </w:p>
    <w:p>
      <w:pPr>
        <w:pStyle w:val="FirstParagraph"/>
      </w:pPr>
      <w:r>
        <w:rPr>
          <w:bCs/>
          <w:b/>
        </w:rPr>
        <w:t xml:space="preserve">Performance Considerations.</w:t>
      </w:r>
      <w:r>
        <w:t xml:space="preserve"> O(1). </w:t>
      </w:r>
      <w:r>
        <w:rPr>
          <w:bCs/>
          <w:b/>
        </w:rPr>
        <w:t xml:space="preserve">Edge Cases.</w:t>
      </w:r>
      <w:r>
        <w:t xml:space="preserve"> If EU ≠ PA×UA/100, the delay bucketing is inconsistent — a data-quality alarm, not a rounding quirk. </w:t>
      </w:r>
      <w:r>
        <w:rPr>
          <w:bCs/>
          <w:b/>
        </w:rPr>
        <w:t xml:space="preserve">AI Contributor Notes.</w:t>
      </w:r>
      <w:r>
        <w:t xml:space="preserve"> Lagging/strategic; the headline time-efficiency number, always presented with its PA/UA decomposition. </w:t>
      </w:r>
      <w:r>
        <w:rPr>
          <w:bCs/>
          <w:b/>
        </w:rPr>
        <w:t xml:space="preserve">Digital Twin Mapping.</w:t>
      </w:r>
      <w:r>
        <w:t xml:space="preserve"> The twin shows live EU and its split. </w:t>
      </w:r>
      <w:r>
        <w:rPr>
          <w:bCs/>
          <w:b/>
        </w:rPr>
        <w:t xml:space="preserve">Decision Intelligence Mapping.</w:t>
      </w:r>
      <w:r>
        <w:t xml:space="preserve"> EU trend feeds plan-attainment forecasting and improvement targeting. </w:t>
      </w:r>
      <w:r>
        <w:rPr>
          <w:bCs/>
          <w:b/>
        </w:rPr>
        <w:t xml:space="preserve">Related KPIs.</w:t>
      </w:r>
      <w:r>
        <w:t xml:space="preserve"> </w:t>
      </w:r>
      <w:r>
        <w:rPr>
          <w:rStyle w:val="VerbatimChar"/>
        </w:rPr>
        <w:t xml:space="preserve">UTIL.PA</w:t>
      </w:r>
      <w:r>
        <w:t xml:space="preserve">, </w:t>
      </w:r>
      <w:r>
        <w:rPr>
          <w:rStyle w:val="VerbatimChar"/>
        </w:rPr>
        <w:t xml:space="preserve">UTIL.UA</w:t>
      </w:r>
      <w:r>
        <w:t xml:space="preserve">, </w:t>
      </w:r>
      <w:r>
        <w:rPr>
          <w:rStyle w:val="VerbatimChar"/>
        </w:rPr>
        <w:t xml:space="preserve">UTIL.OEE</w:t>
      </w:r>
      <w:r>
        <w:t xml:space="preserve">. </w:t>
      </w:r>
      <w:r>
        <w:rPr>
          <w:bCs/>
          <w:b/>
        </w:rPr>
        <w:t xml:space="preserve">References.</w:t>
      </w:r>
      <w:r>
        <w:t xml:space="preserve"> Canonical Semantics; Part II, Chapter 18.</w:t>
      </w:r>
    </w:p>
    <w:bookmarkEnd w:id="87"/>
    <w:bookmarkStart w:id="90" w:name="util.oee-overall-equipment-effectiveness"/>
    <w:p>
      <w:pPr>
        <w:pStyle w:val="Heading3"/>
      </w:pPr>
      <w:bookmarkStart w:id="900043" w:name="_TocMP900043"/>
      <w:r>
        <w:t xml:space="preserve">UTIL.OEE — Overall Equipment Effectiveness</w:t>
      </w:r>
      <w:bookmarkEnd w:id="900043"/>
    </w:p>
    <w:p>
      <w:pPr>
        <w:pStyle w:val="FirstParagraph"/>
      </w:pPr>
      <w:r>
        <w:rPr>
          <w:bCs/>
          <w:b/>
        </w:rPr>
        <w:t xml:space="preserve">Identifier.</w:t>
      </w:r>
      <w:r>
        <w:t xml:space="preserve"> </w:t>
      </w:r>
      <w:r>
        <w:rPr>
          <w:rStyle w:val="VerbatimChar"/>
        </w:rPr>
        <w:t xml:space="preserve">UTIL.OEE</w:t>
      </w:r>
      <w:r>
        <w:t xml:space="preserve"> · </w:t>
      </w:r>
      <w:r>
        <w:rPr>
          <w:bCs/>
          <w:b/>
        </w:rPr>
        <w:t xml:space="preserve">Official Name.</w:t>
      </w:r>
      <w:r>
        <w:t xml:space="preserve"> Overall Equipment Effectiveness · </w:t>
      </w:r>
      <w:r>
        <w:rPr>
          <w:bCs/>
          <w:b/>
        </w:rPr>
        <w:t xml:space="preserve">Status.</w:t>
      </w:r>
      <w:r>
        <w:t xml:space="preserve"> Active · </w:t>
      </w:r>
      <w:r>
        <w:rPr>
          <w:bCs/>
          <w:b/>
        </w:rPr>
        <w:t xml:space="preserve">Version.</w:t>
      </w:r>
      <w:r>
        <w:t xml:space="preserve"> 1.0.0</w:t>
      </w:r>
    </w:p>
    <w:p>
      <w:pPr>
        <w:pStyle w:val="BodyText"/>
      </w:pPr>
      <w:r>
        <w:rPr>
          <w:bCs/>
          <w:b/>
        </w:rPr>
        <w:t xml:space="preserve">Business Purpose.</w:t>
      </w:r>
      <w:r>
        <w:t xml:space="preserve"> OEE extends time efficiency with </w:t>
      </w:r>
      <w:r>
        <w:rPr>
          <w:iCs/>
          <w:i/>
        </w:rPr>
        <w:t xml:space="preserve">how fast</w:t>
      </w:r>
      <w:r>
        <w:t xml:space="preserve"> (performance) and </w:t>
      </w:r>
      <w:r>
        <w:rPr>
          <w:iCs/>
          <w:i/>
        </w:rPr>
        <w:t xml:space="preserve">how good</w:t>
      </w:r>
      <w:r>
        <w:t xml:space="preserve"> (quality), giving a single, decomposable effectiveness score for a machine or plant. </w:t>
      </w:r>
      <w:r>
        <w:rPr>
          <w:bCs/>
          <w:b/>
        </w:rPr>
        <w:t xml:space="preserve">Operational Question.</w:t>
      </w:r>
      <w:r>
        <w:t xml:space="preserve"> </w:t>
      </w:r>
      <w:r>
        <w:rPr>
          <w:iCs/>
          <w:i/>
        </w:rPr>
        <w:t xml:space="preserve">Overall, how effectively is this asset used — considering availability, speed, and quality together?</w:t>
      </w:r>
      <w:r>
        <w:t xml:space="preserve"> </w:t>
      </w:r>
      <w:r>
        <w:rPr>
          <w:bCs/>
          <w:b/>
        </w:rPr>
        <w:t xml:space="preserve">Business Meaning.</w:t>
      </w:r>
      <w:r>
        <w:t xml:space="preserve"> OEE is powerful only when decomposed: the score flags a problem; its three factors say which kind.</w:t>
      </w:r>
    </w:p>
    <w:p>
      <w:pPr>
        <w:pStyle w:val="BodyText"/>
      </w:pPr>
      <w:r>
        <w:rPr>
          <w:bCs/>
          <w:b/>
        </w:rPr>
        <w:t xml:space="preserve">Formula.</w:t>
      </w:r>
    </w:p>
    <w:p>
      <w:pPr>
        <w:pStyle w:val="SourceCode"/>
      </w:pPr>
      <w:r>
        <w:rPr>
          <w:rStyle w:val="VerbatimChar"/>
        </w:rPr>
        <w:t xml:space="preserve">UTIL.OEE = 100 × Availability × Performance × Quality      [%]   (each factor in [0,1])</w:t>
      </w:r>
    </w:p>
    <w:p>
      <w:pPr>
        <w:pStyle w:val="FirstParagraph"/>
      </w:pPr>
      <w:r>
        <w:rPr>
          <w:bCs/>
          <w:b/>
        </w:rPr>
        <w:t xml:space="preserve">Units.</w:t>
      </w:r>
      <w:r>
        <w:t xml:space="preserve"> %. </w:t>
      </w:r>
      <w:r>
        <w:rPr>
          <w:bCs/>
          <w:b/>
        </w:rPr>
        <w:t xml:space="preserve">Dimensions.</w:t>
      </w:r>
      <w:r>
        <w:t xml:space="preserve"> Shift · Equipment · Plant · Line. </w:t>
      </w:r>
      <w:r>
        <w:rPr>
          <w:bCs/>
          <w:b/>
        </w:rPr>
        <w:t xml:space="preserve">Required Events.</w:t>
      </w:r>
      <w:r>
        <w:t xml:space="preserve"> </w:t>
      </w:r>
      <w:r>
        <w:rPr>
          <w:rStyle w:val="VerbatimChar"/>
        </w:rPr>
        <w:t xml:space="preserve">DelayEvent</w:t>
      </w:r>
      <w:r>
        <w:t xml:space="preserve"> (availability), </w:t>
      </w:r>
      <w:r>
        <w:rPr>
          <w:rStyle w:val="VerbatimChar"/>
        </w:rPr>
        <w:t xml:space="preserve">CycleEvent</w:t>
      </w:r>
      <w:r>
        <w:t xml:space="preserve">/throughput (performance), quality/</w:t>
      </w:r>
      <w:r>
        <w:rPr>
          <w:rStyle w:val="VerbatimChar"/>
        </w:rPr>
        <w:t xml:space="preserve">ProductionEvent</w:t>
      </w:r>
      <w:r>
        <w:t xml:space="preserve"> (quality). </w:t>
      </w:r>
      <w:r>
        <w:rPr>
          <w:bCs/>
          <w:b/>
        </w:rPr>
        <w:t xml:space="preserve">Required Ontology.</w:t>
      </w:r>
      <w:r>
        <w:t xml:space="preserve"> </w:t>
      </w:r>
      <w:r>
        <w:rPr>
          <w:rStyle w:val="VerbatimChar"/>
        </w:rPr>
        <w:t xml:space="preserve">Equipment</w:t>
      </w:r>
      <w:r>
        <w:t xml:space="preserve">/</w:t>
      </w:r>
      <w:r>
        <w:rPr>
          <w:rStyle w:val="VerbatimChar"/>
        </w:rPr>
        <w:t xml:space="preserve">Plant</w:t>
      </w:r>
      <w:r>
        <w:t xml:space="preserve">, </w:t>
      </w:r>
      <w:r>
        <w:rPr>
          <w:rStyle w:val="VerbatimChar"/>
        </w:rPr>
        <w:t xml:space="preserve">Shift</w:t>
      </w:r>
      <w:r>
        <w:t xml:space="preserve">. </w:t>
      </w:r>
      <w:r>
        <w:rPr>
          <w:bCs/>
          <w:b/>
        </w:rPr>
        <w:t xml:space="preserve">Dependencies.</w:t>
      </w:r>
      <w:r>
        <w:t xml:space="preserve"> </w:t>
      </w:r>
      <w:r>
        <w:rPr>
          <w:rStyle w:val="VerbatimChar"/>
        </w:rPr>
        <w:t xml:space="preserve">UTIL.PA</w:t>
      </w:r>
      <w:r>
        <w:t xml:space="preserve"> (availability factor); performance and quality factors. </w:t>
      </w:r>
      <w:r>
        <w:rPr>
          <w:bCs/>
          <w:b/>
        </w:rPr>
        <w:t xml:space="preserve">Mathematical Properties.</w:t>
      </w:r>
      <w:r>
        <w:t xml:space="preserve"> Product of three ratios; not additive; always decomposable.</w:t>
      </w:r>
    </w:p>
    <w:p>
      <w:pPr>
        <w:pStyle w:val="BodyText"/>
      </w:pPr>
      <w:r>
        <w:rPr>
          <w:bCs/>
          <w:b/>
        </w:rPr>
        <w:t xml:space="preserve">Calculation Logic.</w:t>
      </w:r>
      <w:r>
        <w:t xml:space="preserve"> (1) Availability factor = </w:t>
      </w:r>
      <w:r>
        <w:rPr>
          <w:rStyle w:val="VerbatimChar"/>
        </w:rPr>
        <w:t xml:space="preserve">UTIL.PA</w:t>
      </w:r>
      <w:r>
        <w:t xml:space="preserve">/100. (2) Performance factor = operating rate ÷ capable rate. (3) Quality factor = in-spec output ÷ total output. (4) Multiply, ×100.</w:t>
      </w:r>
    </w:p>
    <w:p>
      <w:pPr>
        <w:pStyle w:val="BodyText"/>
      </w:pPr>
      <w:r>
        <w:rPr>
          <w:bCs/>
          <w:b/>
        </w:rPr>
        <w:t xml:space="preserve">Python Implementation.</w:t>
      </w:r>
    </w:p>
    <w:p>
      <w:pPr>
        <w:pStyle w:val="SourceCode"/>
      </w:pPr>
      <w:r>
        <w:rPr>
          <w:rStyle w:val="KeywordTok"/>
        </w:rPr>
        <w:t xml:space="preserve">def</w:t>
      </w:r>
      <w:r>
        <w:rPr>
          <w:rStyle w:val="NormalTok"/>
        </w:rPr>
        <w:t xml:space="preserve"> oee(availability_frac: </w:t>
      </w:r>
      <w:r>
        <w:rPr>
          <w:rStyle w:val="BuiltInTok"/>
        </w:rPr>
        <w:t xml:space="preserve">float</w:t>
      </w:r>
      <w:r>
        <w:rPr>
          <w:rStyle w:val="NormalTok"/>
        </w:rPr>
        <w:t xml:space="preserve">, performance_frac: </w:t>
      </w:r>
      <w:r>
        <w:rPr>
          <w:rStyle w:val="BuiltInTok"/>
        </w:rPr>
        <w:t xml:space="preserve">float</w:t>
      </w:r>
      <w:r>
        <w:rPr>
          <w:rStyle w:val="NormalTok"/>
        </w:rPr>
        <w:t xml:space="preserve">, quality_frac: </w:t>
      </w:r>
      <w:r>
        <w:rPr>
          <w:rStyle w:val="BuiltInTok"/>
        </w:rPr>
        <w:t xml:space="preserve">float</w:t>
      </w:r>
      <w:r>
        <w:rPr>
          <w:rStyle w:val="NormalTok"/>
        </w:rPr>
        <w:t xml:space="preserve">) </w:t>
      </w:r>
      <w:r>
        <w:rPr>
          <w:rStyle w:val="OperatorTok"/>
        </w:rPr>
        <w:t xml:space="preserve">-&gt;</w:t>
      </w:r>
      <w:r>
        <w:rPr>
          <w:rStyle w:val="NormalTok"/>
        </w:rPr>
        <w:t xml:space="preserve"> </w:t>
      </w:r>
      <w:r>
        <w:rPr>
          <w:rStyle w:val="BuiltInTok"/>
        </w:rPr>
        <w:t xml:space="preserve">float</w:t>
      </w:r>
      <w:r>
        <w:rPr>
          <w:rStyle w:val="NormalTok"/>
        </w:rPr>
        <w:t xml:space="preserve">:</w:t>
      </w:r>
      <w:r>
        <w:br/>
      </w:r>
      <w:r>
        <w:rPr>
          <w:rStyle w:val="NormalTok"/>
        </w:rPr>
        <w:t xml:space="preserve">    </w:t>
      </w:r>
      <w:r>
        <w:rPr>
          <w:rStyle w:val="CommentTok"/>
        </w:rPr>
        <w:t xml:space="preserve">"""UTIL.OEE — Overall Equipment Effectiveness (%) = A x P x Q."""</w:t>
      </w:r>
      <w:r>
        <w:br/>
      </w:r>
      <w:r>
        <w:rPr>
          <w:rStyle w:val="NormalTok"/>
        </w:rPr>
        <w:t xml:space="preserve">    </w:t>
      </w:r>
      <w:r>
        <w:rPr>
          <w:rStyle w:val="ControlFlowTok"/>
        </w:rPr>
        <w:t xml:space="preserve">for</w:t>
      </w:r>
      <w:r>
        <w:rPr>
          <w:rStyle w:val="NormalTok"/>
        </w:rPr>
        <w:t xml:space="preserve"> v </w:t>
      </w:r>
      <w:r>
        <w:rPr>
          <w:rStyle w:val="KeywordTok"/>
        </w:rPr>
        <w:t xml:space="preserve">in</w:t>
      </w:r>
      <w:r>
        <w:rPr>
          <w:rStyle w:val="NormalTok"/>
        </w:rPr>
        <w:t xml:space="preserve"> (availability_frac, performance_frac, quality_frac):</w:t>
      </w:r>
      <w:r>
        <w:br/>
      </w:r>
      <w:r>
        <w:rPr>
          <w:rStyle w:val="NormalTok"/>
        </w:rPr>
        <w:t xml:space="preserve">        </w:t>
      </w:r>
      <w:r>
        <w:rPr>
          <w:rStyle w:val="ControlFlowTok"/>
        </w:rPr>
        <w:t xml:space="preserve">if</w:t>
      </w:r>
      <w:r>
        <w:rPr>
          <w:rStyle w:val="NormalTok"/>
        </w:rPr>
        <w:t xml:space="preserve"> </w:t>
      </w:r>
      <w:r>
        <w:rPr>
          <w:rStyle w:val="KeywordTok"/>
        </w:rPr>
        <w:t xml:space="preserve">not</w:t>
      </w:r>
      <w:r>
        <w:rPr>
          <w:rStyle w:val="NormalTok"/>
        </w:rPr>
        <w:t xml:space="preserve"> </w:t>
      </w:r>
      <w:r>
        <w:rPr>
          <w:rStyle w:val="FloatTok"/>
        </w:rPr>
        <w:t xml:space="preserve">0.0</w:t>
      </w:r>
      <w:r>
        <w:rPr>
          <w:rStyle w:val="NormalTok"/>
        </w:rPr>
        <w:t xml:space="preserve"> </w:t>
      </w:r>
      <w:r>
        <w:rPr>
          <w:rStyle w:val="OperatorTok"/>
        </w:rPr>
        <w:t xml:space="preserve">&lt;=</w:t>
      </w:r>
      <w:r>
        <w:rPr>
          <w:rStyle w:val="NormalTok"/>
        </w:rPr>
        <w:t xml:space="preserve"> v </w:t>
      </w:r>
      <w:r>
        <w:rPr>
          <w:rStyle w:val="OperatorTok"/>
        </w:rPr>
        <w:t xml:space="preserve">&lt;=</w:t>
      </w:r>
      <w:r>
        <w:rPr>
          <w:rStyle w:val="NormalTok"/>
        </w:rPr>
        <w:t xml:space="preserve"> </w:t>
      </w:r>
      <w:r>
        <w:rPr>
          <w:rStyle w:val="FloatTok"/>
        </w:rPr>
        <w:t xml:space="preserve">1.0</w:t>
      </w:r>
      <w:r>
        <w:rPr>
          <w:rStyle w:val="NormalTok"/>
        </w:rPr>
        <w:t xml:space="preserve">:</w:t>
      </w:r>
      <w:r>
        <w:br/>
      </w:r>
      <w:r>
        <w:rPr>
          <w:rStyle w:val="NormalTok"/>
        </w:rPr>
        <w:t xml:space="preserve">            </w:t>
      </w:r>
      <w:r>
        <w:rPr>
          <w:rStyle w:val="ControlFlowTok"/>
        </w:rPr>
        <w:t xml:space="preserve">raise</w:t>
      </w:r>
      <w:r>
        <w:rPr>
          <w:rStyle w:val="NormalTok"/>
        </w:rPr>
        <w:t xml:space="preserve"> </w:t>
      </w:r>
      <w:r>
        <w:rPr>
          <w:rStyle w:val="PreprocessorTok"/>
        </w:rPr>
        <w:t xml:space="preserve">ValueError</w:t>
      </w:r>
      <w:r>
        <w:rPr>
          <w:rStyle w:val="NormalTok"/>
        </w:rPr>
        <w:t xml:space="preserve">(</w:t>
      </w:r>
      <w:r>
        <w:rPr>
          <w:rStyle w:val="StringTok"/>
        </w:rPr>
        <w:t xml:space="preserve">"factors must be in [0,1]"</w:t>
      </w:r>
      <w:r>
        <w:rPr>
          <w:rStyle w:val="NormalTok"/>
        </w:rPr>
        <w:t xml:space="preserve">)</w:t>
      </w:r>
      <w:r>
        <w:br/>
      </w:r>
      <w:r>
        <w:rPr>
          <w:rStyle w:val="NormalTok"/>
        </w:rPr>
        <w:t xml:space="preserve">    </w:t>
      </w:r>
      <w:r>
        <w:rPr>
          <w:rStyle w:val="ControlFlowTok"/>
        </w:rPr>
        <w:t xml:space="preserve">return</w:t>
      </w:r>
      <w:r>
        <w:rPr>
          <w:rStyle w:val="NormalTok"/>
        </w:rPr>
        <w:t xml:space="preserve"> </w:t>
      </w:r>
      <w:r>
        <w:rPr>
          <w:rStyle w:val="FloatTok"/>
        </w:rPr>
        <w:t xml:space="preserve">100.0</w:t>
      </w:r>
      <w:r>
        <w:rPr>
          <w:rStyle w:val="NormalTok"/>
        </w:rPr>
        <w:t xml:space="preserve"> </w:t>
      </w:r>
      <w:r>
        <w:rPr>
          <w:rStyle w:val="OperatorTok"/>
        </w:rPr>
        <w:t xml:space="preserve">*</w:t>
      </w:r>
      <w:r>
        <w:rPr>
          <w:rStyle w:val="NormalTok"/>
        </w:rPr>
        <w:t xml:space="preserve"> availability_frac </w:t>
      </w:r>
      <w:r>
        <w:rPr>
          <w:rStyle w:val="OperatorTok"/>
        </w:rPr>
        <w:t xml:space="preserve">*</w:t>
      </w:r>
      <w:r>
        <w:rPr>
          <w:rStyle w:val="NormalTok"/>
        </w:rPr>
        <w:t xml:space="preserve"> performance_frac </w:t>
      </w:r>
      <w:r>
        <w:rPr>
          <w:rStyle w:val="OperatorTok"/>
        </w:rPr>
        <w:t xml:space="preserve">*</w:t>
      </w:r>
      <w:r>
        <w:rPr>
          <w:rStyle w:val="NormalTok"/>
        </w:rPr>
        <w:t xml:space="preserve"> quality_frac</w:t>
      </w:r>
    </w:p>
    <w:p>
      <w:pPr>
        <w:pStyle w:val="FirstParagraph"/>
      </w:pPr>
      <w:r>
        <w:rPr>
          <w:bCs/>
          <w:b/>
        </w:rPr>
        <w:t xml:space="preserve">Expected Output.</w:t>
      </w:r>
      <w:r>
        <w:t xml:space="preserve"> A percentage. Worked example → </w:t>
      </w:r>
      <w:r>
        <w:rPr>
          <w:rStyle w:val="VerbatimChar"/>
        </w:rPr>
        <w:t xml:space="preserve">78.3</w:t>
      </w:r>
      <w:r>
        <w:t xml:space="preserve">.</w:t>
      </w:r>
    </w:p>
    <w:p>
      <w:pPr>
        <w:pStyle w:val="BodyText"/>
      </w:pPr>
      <w:r>
        <w:rPr>
          <w:bCs/>
          <w:b/>
        </w:rPr>
        <w:t xml:space="preserve">Worked Example.</w:t>
      </w:r>
      <w:r>
        <w:t xml:space="preserve"> A crusher runs at availability </w:t>
      </w:r>
      <w:r>
        <w:rPr>
          <w:bCs/>
          <w:b/>
        </w:rPr>
        <w:t xml:space="preserve">0.869</w:t>
      </w:r>
      <w:r>
        <w:t xml:space="preserve">, performance </w:t>
      </w:r>
      <w:r>
        <w:rPr>
          <w:bCs/>
          <w:b/>
        </w:rPr>
        <w:t xml:space="preserve">0.92</w:t>
      </w:r>
      <w:r>
        <w:t xml:space="preserve">, quality </w:t>
      </w:r>
      <w:r>
        <w:rPr>
          <w:bCs/>
          <w:b/>
        </w:rPr>
        <w:t xml:space="preserve">0.98</w:t>
      </w:r>
      <w:r>
        <w:t xml:space="preserve">: </w:t>
      </w:r>
      <w:r>
        <w:rPr>
          <w:rStyle w:val="VerbatimChar"/>
        </w:rPr>
        <w:t xml:space="preserve">oee(0.869, 0.92, 0.98)</w:t>
      </w:r>
      <w:r>
        <w:t xml:space="preserve"> → </w:t>
      </w:r>
      <w:r>
        <w:rPr>
          <w:bCs/>
          <w:b/>
        </w:rPr>
        <w:t xml:space="preserve">78.3%</w:t>
      </w:r>
      <w:r>
        <w:t xml:space="preserve">. The waterfall shows most of the loss is availability, not speed or quality — directing effort to crusher uptime.</w:t>
      </w:r>
    </w:p>
    <w:p>
      <w:pPr>
        <w:pStyle w:val="BodyText"/>
      </w:pPr>
      <w:r>
        <w:rPr>
          <w:bCs/>
          <w:b/>
        </w:rPr>
        <w:t xml:space="preserve">Sample Dataset.</w:t>
      </w:r>
    </w:p>
    <w:tbl>
      <w:tblPr>
        <w:tblStyle w:val="Table"/>
        <w:tblW w:type="auto" w:w="0"/>
        <w:tblLook w:firstRow="1" w:lastRow="0" w:firstColumn="0" w:lastColumn="0" w:noHBand="0" w:noVBand="0" w:val="0020"/>
        <w:jc w:val="start"/>
      </w:tblPr>
      <w:tblGrid>
        <w:gridCol w:w="1584"/>
        <w:gridCol w:w="1584"/>
        <w:gridCol w:w="1584"/>
        <w:gridCol w:w="1584"/>
        <w:gridCol w:w="1584"/>
      </w:tblGrid>
      <w:tr>
        <w:trPr>
          <w:tblHeader w:val="true"/>
        </w:trPr>
        <w:tc>
          <w:tcPr/>
          <w:p>
            <w:pPr>
              <w:pStyle w:val="Compact"/>
              <w:jc w:val="left"/>
            </w:pPr>
            <w:r>
              <w:t xml:space="preserve">asset</w:t>
            </w:r>
          </w:p>
        </w:tc>
        <w:tc>
          <w:tcPr/>
          <w:p>
            <w:pPr>
              <w:pStyle w:val="Compact"/>
              <w:jc w:val="left"/>
            </w:pPr>
            <w:r>
              <w:t xml:space="preserve">availability</w:t>
            </w:r>
          </w:p>
        </w:tc>
        <w:tc>
          <w:tcPr/>
          <w:p>
            <w:pPr>
              <w:pStyle w:val="Compact"/>
              <w:jc w:val="left"/>
            </w:pPr>
            <w:r>
              <w:t xml:space="preserve">performance</w:t>
            </w:r>
          </w:p>
        </w:tc>
        <w:tc>
          <w:tcPr/>
          <w:p>
            <w:pPr>
              <w:pStyle w:val="Compact"/>
              <w:jc w:val="left"/>
            </w:pPr>
            <w:r>
              <w:t xml:space="preserve">quality</w:t>
            </w:r>
          </w:p>
        </w:tc>
        <w:tc>
          <w:tcPr/>
          <w:p>
            <w:pPr>
              <w:pStyle w:val="Compact"/>
              <w:jc w:val="left"/>
            </w:pPr>
            <w:r>
              <w:t xml:space="preserve">OEE_%</w:t>
            </w:r>
          </w:p>
        </w:tc>
      </w:tr>
      <w:tr>
        <w:tc>
          <w:tcPr/>
          <w:p>
            <w:pPr>
              <w:pStyle w:val="Compact"/>
              <w:jc w:val="left"/>
            </w:pPr>
            <w:r>
              <w:t xml:space="preserve">Primary crusher</w:t>
            </w:r>
          </w:p>
        </w:tc>
        <w:tc>
          <w:tcPr/>
          <w:p>
            <w:pPr>
              <w:pStyle w:val="Compact"/>
              <w:jc w:val="left"/>
            </w:pPr>
            <w:r>
              <w:t xml:space="preserve">0.869</w:t>
            </w:r>
          </w:p>
        </w:tc>
        <w:tc>
          <w:tcPr/>
          <w:p>
            <w:pPr>
              <w:pStyle w:val="Compact"/>
              <w:jc w:val="left"/>
            </w:pPr>
            <w:r>
              <w:t xml:space="preserve">0.92</w:t>
            </w:r>
          </w:p>
        </w:tc>
        <w:tc>
          <w:tcPr/>
          <w:p>
            <w:pPr>
              <w:pStyle w:val="Compact"/>
              <w:jc w:val="left"/>
            </w:pPr>
            <w:r>
              <w:t xml:space="preserve">0.98</w:t>
            </w:r>
          </w:p>
        </w:tc>
        <w:tc>
          <w:tcPr/>
          <w:p>
            <w:pPr>
              <w:pStyle w:val="Compact"/>
              <w:jc w:val="left"/>
            </w:pPr>
            <w:r>
              <w:t xml:space="preserve">78.3</w:t>
            </w:r>
          </w:p>
        </w:tc>
      </w:tr>
    </w:tbl>
    <w:p>
      <w:pPr>
        <w:pStyle w:val="BodyText"/>
      </w:pPr>
      <w:r>
        <w:rPr>
          <w:bCs/>
          <w:b/>
        </w:rPr>
        <w:t xml:space="preserve">Visualization.</w:t>
      </w:r>
      <w:r>
        <w:t xml:space="preserve"> The three-factor loss waterfall (below); OEE trend with factor breakdown.</w:t>
      </w:r>
    </w:p>
    <w:p>
      <w:pPr>
        <w:pStyle w:val="CaptionedFigure"/>
      </w:pPr>
      <w:r>
        <w:drawing>
          <wp:inline>
            <wp:extent cx="5334000" cy="2438966"/>
            <wp:effectExtent b="0" l="0" r="0" t="0"/>
            <wp:docPr descr="OEE loss waterfall (example): scheduled time reduced by availability then performance loss, yielding OEE — always decomposable into its three factors." title="" id="88" name="Picture"/>
            <a:graphic>
              <a:graphicData uri="http://schemas.openxmlformats.org/drawingml/2006/picture">
                <pic:pic>
                  <pic:nvPicPr>
                    <pic:cNvPr descr="/home/claude/p3figs/p3_viz_oee.png" id="89" name="Picture"/>
                    <pic:cNvPicPr>
                      <a:picLocks noChangeArrowheads="1" noChangeAspect="1"/>
                    </pic:cNvPicPr>
                  </pic:nvPicPr>
                  <pic:blipFill>
                    <a:blip r:embed="rId58"/>
                    <a:stretch>
                      <a:fillRect/>
                    </a:stretch>
                  </pic:blipFill>
                  <pic:spPr bwMode="auto">
                    <a:xfrm>
                      <a:off x="0" y="0"/>
                      <a:ext cx="5334000" cy="2438966"/>
                    </a:xfrm>
                    <a:prstGeom prst="rect">
                      <a:avLst/>
                    </a:prstGeom>
                    <a:noFill/>
                    <a:ln w="9525">
                      <a:noFill/>
                      <a:headEnd/>
                      <a:tailEnd/>
                    </a:ln>
                  </pic:spPr>
                </pic:pic>
              </a:graphicData>
            </a:graphic>
          </wp:inline>
        </w:drawing>
      </w:r>
    </w:p>
    <w:p>
      <w:pPr>
        <w:pStyle w:val="ImageCaption"/>
      </w:pPr>
      <w:r>
        <w:t xml:space="preserve">OEE loss waterfall (example): scheduled time reduced by availability then performance loss, yielding OEE — always decomposable into its three factors.</w:t>
      </w:r>
    </w:p>
    <w:p>
      <w:pPr>
        <w:pStyle w:val="BodyText"/>
      </w:pPr>
      <w:r>
        <w:rPr>
          <w:bCs/>
          <w:b/>
        </w:rPr>
        <w:t xml:space="preserve">Operational Interpretation.</w:t>
      </w:r>
      <w:r>
        <w:t xml:space="preserve"> World-class benchmark ≈ 85%; typical mining fixed plant 60–80%; always read the </w:t>
      </w:r>
      <w:r>
        <w:rPr>
          <w:iCs/>
          <w:i/>
        </w:rPr>
        <w:t xml:space="preserve">factors</w:t>
      </w:r>
      <w:r>
        <w:t xml:space="preserve">, not just the score. </w:t>
      </w:r>
      <w:r>
        <w:rPr>
          <w:bCs/>
          <w:b/>
        </w:rPr>
        <w:t xml:space="preserve">Common Mistakes.</w:t>
      </w:r>
      <w:r>
        <w:t xml:space="preserve"> Reporting OEE without factors; using calendar-time availability (that is TEEP, a separate KPI); multiplying percentages instead of fractions. </w:t>
      </w:r>
      <w:r>
        <w:rPr>
          <w:bCs/>
          <w:b/>
        </w:rPr>
        <w:t xml:space="preserve">Validation Rules.</w:t>
      </w:r>
      <w:r>
        <w:t xml:space="preserve"> each factor in [0, 1]; result in [0, 100]. </w:t>
      </w:r>
      <w:r>
        <w:rPr>
          <w:bCs/>
          <w:b/>
        </w:rPr>
        <w:t xml:space="preserve">Unit Tests.</w:t>
      </w:r>
    </w:p>
    <w:p>
      <w:pPr>
        <w:pStyle w:val="SourceCode"/>
      </w:pPr>
      <w:r>
        <w:rPr>
          <w:rStyle w:val="ImportTok"/>
        </w:rPr>
        <w:t xml:space="preserve">from</w:t>
      </w:r>
      <w:r>
        <w:rPr>
          <w:rStyle w:val="NormalTok"/>
        </w:rPr>
        <w:t xml:space="preserve"> mp_kpis_p3 </w:t>
      </w:r>
      <w:r>
        <w:rPr>
          <w:rStyle w:val="ImportTok"/>
        </w:rPr>
        <w:t xml:space="preserve">import</w:t>
      </w:r>
      <w:r>
        <w:rPr>
          <w:rStyle w:val="NormalTok"/>
        </w:rPr>
        <w:t xml:space="preserve"> oee</w:t>
      </w:r>
      <w:r>
        <w:br/>
        <w:br/>
      </w:r>
      <w:r>
        <w:rPr>
          <w:rStyle w:val="KeywordTok"/>
        </w:rPr>
        <w:t xml:space="preserve">def</w:t>
      </w:r>
      <w:r>
        <w:rPr>
          <w:rStyle w:val="NormalTok"/>
        </w:rPr>
        <w:t xml:space="preserve"> test_oee_canonical():</w:t>
      </w:r>
      <w:r>
        <w:br/>
      </w:r>
      <w:r>
        <w:rPr>
          <w:rStyle w:val="NormalTok"/>
        </w:rPr>
        <w:t xml:space="preserve">    </w:t>
      </w:r>
      <w:r>
        <w:rPr>
          <w:rStyle w:val="ControlFlowTok"/>
        </w:rPr>
        <w:t xml:space="preserve">assert</w:t>
      </w:r>
      <w:r>
        <w:rPr>
          <w:rStyle w:val="NormalTok"/>
        </w:rPr>
        <w:t xml:space="preserve"> </w:t>
      </w:r>
      <w:r>
        <w:rPr>
          <w:rStyle w:val="BuiltInTok"/>
        </w:rPr>
        <w:t xml:space="preserve">round</w:t>
      </w:r>
      <w:r>
        <w:rPr>
          <w:rStyle w:val="NormalTok"/>
        </w:rPr>
        <w:t xml:space="preserve">(oee(</w:t>
      </w:r>
      <w:r>
        <w:rPr>
          <w:rStyle w:val="FloatTok"/>
        </w:rPr>
        <w:t xml:space="preserve">0.869</w:t>
      </w:r>
      <w:r>
        <w:rPr>
          <w:rStyle w:val="NormalTok"/>
        </w:rPr>
        <w:t xml:space="preserve">, </w:t>
      </w:r>
      <w:r>
        <w:rPr>
          <w:rStyle w:val="FloatTok"/>
        </w:rPr>
        <w:t xml:space="preserve">0.92</w:t>
      </w:r>
      <w:r>
        <w:rPr>
          <w:rStyle w:val="NormalTok"/>
        </w:rPr>
        <w:t xml:space="preserve">, </w:t>
      </w:r>
      <w:r>
        <w:rPr>
          <w:rStyle w:val="FloatTok"/>
        </w:rPr>
        <w:t xml:space="preserve">0.98</w:t>
      </w:r>
      <w:r>
        <w:rPr>
          <w:rStyle w:val="NormalTok"/>
        </w:rPr>
        <w:t xml:space="preserve">), </w:t>
      </w:r>
      <w:r>
        <w:rPr>
          <w:rStyle w:val="DecValTok"/>
        </w:rPr>
        <w:t xml:space="preserve">1</w:t>
      </w:r>
      <w:r>
        <w:rPr>
          <w:rStyle w:val="NormalTok"/>
        </w:rPr>
        <w:t xml:space="preserve">) </w:t>
      </w:r>
      <w:r>
        <w:rPr>
          <w:rStyle w:val="OperatorTok"/>
        </w:rPr>
        <w:t xml:space="preserve">==</w:t>
      </w:r>
      <w:r>
        <w:rPr>
          <w:rStyle w:val="NormalTok"/>
        </w:rPr>
        <w:t xml:space="preserve"> </w:t>
      </w:r>
      <w:r>
        <w:rPr>
          <w:rStyle w:val="FloatTok"/>
        </w:rPr>
        <w:t xml:space="preserve">78.3</w:t>
      </w:r>
      <w:r>
        <w:br/>
        <w:br/>
      </w:r>
      <w:r>
        <w:rPr>
          <w:rStyle w:val="ImportTok"/>
        </w:rPr>
        <w:t xml:space="preserve">import</w:t>
      </w:r>
      <w:r>
        <w:rPr>
          <w:rStyle w:val="NormalTok"/>
        </w:rPr>
        <w:t xml:space="preserve"> pytest</w:t>
      </w:r>
      <w:r>
        <w:br/>
      </w:r>
      <w:r>
        <w:rPr>
          <w:rStyle w:val="KeywordTok"/>
        </w:rPr>
        <w:t xml:space="preserve">def</w:t>
      </w:r>
      <w:r>
        <w:rPr>
          <w:rStyle w:val="NormalTok"/>
        </w:rPr>
        <w:t xml:space="preserve"> test_oee_rejects_out_of_range():</w:t>
      </w:r>
      <w:r>
        <w:br/>
      </w:r>
      <w:r>
        <w:rPr>
          <w:rStyle w:val="NormalTok"/>
        </w:rPr>
        <w:t xml:space="preserve">    </w:t>
      </w:r>
      <w:r>
        <w:rPr>
          <w:rStyle w:val="ControlFlowTok"/>
        </w:rPr>
        <w:t xml:space="preserve">with</w:t>
      </w:r>
      <w:r>
        <w:rPr>
          <w:rStyle w:val="NormalTok"/>
        </w:rPr>
        <w:t xml:space="preserve"> pytest.raises(</w:t>
      </w:r>
      <w:r>
        <w:rPr>
          <w:rStyle w:val="PreprocessorTok"/>
        </w:rPr>
        <w:t xml:space="preserve">ValueError</w:t>
      </w:r>
      <w:r>
        <w:rPr>
          <w:rStyle w:val="NormalTok"/>
        </w:rPr>
        <w:t xml:space="preserve">):</w:t>
      </w:r>
      <w:r>
        <w:br/>
      </w:r>
      <w:r>
        <w:rPr>
          <w:rStyle w:val="NormalTok"/>
        </w:rPr>
        <w:t xml:space="preserve">        oee(</w:t>
      </w:r>
      <w:r>
        <w:rPr>
          <w:rStyle w:val="FloatTok"/>
        </w:rPr>
        <w:t xml:space="preserve">1.2</w:t>
      </w:r>
      <w:r>
        <w:rPr>
          <w:rStyle w:val="NormalTok"/>
        </w:rPr>
        <w:t xml:space="preserve">, </w:t>
      </w:r>
      <w:r>
        <w:rPr>
          <w:rStyle w:val="FloatTok"/>
        </w:rPr>
        <w:t xml:space="preserve">0.9</w:t>
      </w:r>
      <w:r>
        <w:rPr>
          <w:rStyle w:val="NormalTok"/>
        </w:rPr>
        <w:t xml:space="preserve">, </w:t>
      </w:r>
      <w:r>
        <w:rPr>
          <w:rStyle w:val="FloatTok"/>
        </w:rPr>
        <w:t xml:space="preserve">0.9</w:t>
      </w:r>
      <w:r>
        <w:rPr>
          <w:rStyle w:val="NormalTok"/>
        </w:rPr>
        <w:t xml:space="preserve">)</w:t>
      </w:r>
    </w:p>
    <w:p>
      <w:pPr>
        <w:pStyle w:val="FirstParagraph"/>
      </w:pPr>
      <w:r>
        <w:rPr>
          <w:bCs/>
          <w:b/>
        </w:rPr>
        <w:t xml:space="preserve">Performance Considerations.</w:t>
      </w:r>
      <w:r>
        <w:t xml:space="preserve"> O(1) given the three factors; the cost is computing performance and quality upstream. </w:t>
      </w:r>
      <w:r>
        <w:rPr>
          <w:bCs/>
          <w:b/>
        </w:rPr>
        <w:t xml:space="preserve">Edge Cases.</w:t>
      </w:r>
      <w:r>
        <w:t xml:space="preserve"> A factor of 0 (asset down all period) → OEE 0, correctly. </w:t>
      </w:r>
      <w:r>
        <w:rPr>
          <w:bCs/>
          <w:b/>
        </w:rPr>
        <w:t xml:space="preserve">AI Contributor Notes.</w:t>
      </w:r>
      <w:r>
        <w:t xml:space="preserve"> Lagging/strategic; never present the score without its decomposition — an agent’s first move on a low OEE is to name the binding factor. </w:t>
      </w:r>
      <w:r>
        <w:rPr>
          <w:bCs/>
          <w:b/>
        </w:rPr>
        <w:t xml:space="preserve">Digital Twin Mapping.</w:t>
      </w:r>
      <w:r>
        <w:t xml:space="preserve"> The twin maintains live OEE and factor split for key fixed plant. </w:t>
      </w:r>
      <w:r>
        <w:rPr>
          <w:bCs/>
          <w:b/>
        </w:rPr>
        <w:t xml:space="preserve">Decision Intelligence Mapping.</w:t>
      </w:r>
      <w:r>
        <w:t xml:space="preserve"> The dominant loss factor routes the recommendation (availability→maintenance, performance→throughput, quality→process). </w:t>
      </w:r>
      <w:r>
        <w:rPr>
          <w:bCs/>
          <w:b/>
        </w:rPr>
        <w:t xml:space="preserve">Related KPIs.</w:t>
      </w:r>
      <w:r>
        <w:t xml:space="preserve"> </w:t>
      </w:r>
      <w:r>
        <w:rPr>
          <w:rStyle w:val="VerbatimChar"/>
        </w:rPr>
        <w:t xml:space="preserve">UTIL.PA</w:t>
      </w:r>
      <w:r>
        <w:t xml:space="preserve">, </w:t>
      </w:r>
      <w:r>
        <w:rPr>
          <w:rStyle w:val="VerbatimChar"/>
        </w:rPr>
        <w:t xml:space="preserve">UTIL.EU</w:t>
      </w:r>
      <w:r>
        <w:t xml:space="preserve">, </w:t>
      </w:r>
      <w:r>
        <w:rPr>
          <w:rStyle w:val="VerbatimChar"/>
        </w:rPr>
        <w:t xml:space="preserve">QUAL.Recovery</w:t>
      </w:r>
      <w:r>
        <w:t xml:space="preserve">, </w:t>
      </w:r>
      <w:r>
        <w:rPr>
          <w:rStyle w:val="VerbatimChar"/>
        </w:rPr>
        <w:t xml:space="preserve">PROD.TPH</w:t>
      </w:r>
      <w:r>
        <w:t xml:space="preserve">. </w:t>
      </w:r>
      <w:r>
        <w:rPr>
          <w:bCs/>
          <w:b/>
        </w:rPr>
        <w:t xml:space="preserve">References.</w:t>
      </w:r>
      <w:r>
        <w:t xml:space="preserve"> Standard OEE practice; Canonical Semantics chapter.</w:t>
      </w:r>
    </w:p>
    <w:bookmarkEnd w:id="90"/>
    <w:bookmarkEnd w:id="91"/>
    <w:bookmarkStart w:id="92" w:name="summary-utilisation-availability"/>
    <w:p>
      <w:pPr>
        <w:pStyle w:val="Heading2"/>
      </w:pPr>
      <w:bookmarkStart w:id="900044" w:name="_TocMP900044"/>
      <w:r>
        <w:t xml:space="preserve">Summary — Utilisation &amp; Availability</w:t>
      </w:r>
      <w:bookmarkEnd w:id="900044"/>
    </w:p>
    <w:p>
      <w:pPr>
        <w:pStyle w:val="FirstParagraph"/>
      </w:pPr>
      <w:r>
        <w:rPr>
          <w:rStyle w:val="VerbatimChar"/>
        </w:rPr>
        <w:t xml:space="preserve">UTIL.PA</w:t>
      </w:r>
      <w:r>
        <w:t xml:space="preserve"> (able to work) and </w:t>
      </w:r>
      <w:r>
        <w:rPr>
          <w:rStyle w:val="VerbatimChar"/>
        </w:rPr>
        <w:t xml:space="preserve">UTIL.UA</w:t>
      </w:r>
      <w:r>
        <w:t xml:space="preserve"> (actually worked) are the two independent time-loss axes; </w:t>
      </w:r>
      <w:r>
        <w:rPr>
          <w:rStyle w:val="VerbatimChar"/>
        </w:rPr>
        <w:t xml:space="preserve">UTIL.EU = PA × UA</w:t>
      </w:r>
      <w:r>
        <w:t xml:space="preserve"> is their bottom line; </w:t>
      </w:r>
      <w:r>
        <w:rPr>
          <w:rStyle w:val="VerbatimChar"/>
        </w:rPr>
        <w:t xml:space="preserve">UTIL.OEE</w:t>
      </w:r>
      <w:r>
        <w:t xml:space="preserve"> adds performance and quality. The rulings in Canonical Semantics make each unambiguous, and the identities between them (EU = PA×UA; OEE decomposable) are built-in consistency checks.</w:t>
      </w:r>
    </w:p>
    <w:bookmarkEnd w:id="92"/>
    <w:bookmarkStart w:id="93" w:name="further-reading-5"/>
    <w:p>
      <w:pPr>
        <w:pStyle w:val="Heading2"/>
      </w:pPr>
      <w:bookmarkStart w:id="900045" w:name="_TocMP900045"/>
      <w:r>
        <w:t xml:space="preserve">Further Reading</w:t>
      </w:r>
      <w:bookmarkEnd w:id="900045"/>
    </w:p>
    <w:p>
      <w:pPr>
        <w:pStyle w:val="FirstParagraph"/>
      </w:pPr>
      <w:r>
        <w:t xml:space="preserve">Canonical Semantics; </w:t>
      </w:r>
      <w:r>
        <w:rPr>
          <w:rStyle w:val="VerbatimChar"/>
        </w:rPr>
        <w:t xml:space="preserve">MAINT</w:t>
      </w:r>
      <w:r>
        <w:t xml:space="preserve"> category (reliability behind availability). Next: </w:t>
      </w:r>
      <w:r>
        <w:rPr>
          <w:bCs/>
          <w:b/>
        </w:rPr>
        <w:t xml:space="preserve">Maintenance &amp; Reliability KPIs</w:t>
      </w:r>
      <w:r>
        <w:t xml:space="preserve">.</w:t>
      </w:r>
    </w:p>
    <w:p>
      <w:r>
        <w:br w:type="page"/>
      </w:r>
    </w:p>
    <w:bookmarkEnd w:id="93"/>
    <w:bookmarkStart w:id="97" w:name="maintenance-reliability-kpis"/>
    <w:p>
      <w:pPr>
        <w:pStyle w:val="Heading2"/>
      </w:pPr>
      <w:bookmarkStart w:id="900046" w:name="_TocMP900046"/>
      <w:r>
        <w:t xml:space="preserve">Maintenance &amp; Reliability KPIs</w:t>
      </w:r>
      <w:bookmarkEnd w:id="900046"/>
    </w:p>
    <w:p>
      <w:pPr>
        <w:pStyle w:val="FirstParagraph"/>
      </w:pPr>
      <w:r>
        <w:t xml:space="preserve">Availability (the </w:t>
      </w:r>
      <w:r>
        <w:rPr>
          <w:rStyle w:val="VerbatimChar"/>
        </w:rPr>
        <w:t xml:space="preserve">UTIL</w:t>
      </w:r>
      <w:r>
        <w:t xml:space="preserve"> category) tells you </w:t>
      </w:r>
      <w:r>
        <w:rPr>
          <w:iCs/>
          <w:i/>
        </w:rPr>
        <w:t xml:space="preserve">how much</w:t>
      </w:r>
      <w:r>
        <w:t xml:space="preserve"> time an asset was able to work. The </w:t>
      </w:r>
      <w:r>
        <w:rPr>
          <w:rStyle w:val="VerbatimChar"/>
        </w:rPr>
        <w:t xml:space="preserve">MAINT</w:t>
      </w:r>
      <w:r>
        <w:t xml:space="preserve"> category explains </w:t>
      </w:r>
      <w:r>
        <w:rPr>
          <w:iCs/>
          <w:i/>
        </w:rPr>
        <w:t xml:space="preserve">why</w:t>
      </w:r>
      <w:r>
        <w:t xml:space="preserve"> — it measures the two forces behind every availability number: how often an asset fails (</w:t>
      </w:r>
      <w:r>
        <w:rPr>
          <w:bCs/>
          <w:b/>
        </w:rPr>
        <w:t xml:space="preserve">reliability</w:t>
      </w:r>
      <w:r>
        <w:t xml:space="preserve">) and how quickly it is restored (</w:t>
      </w:r>
      <w:r>
        <w:rPr>
          <w:bCs/>
          <w:b/>
        </w:rPr>
        <w:t xml:space="preserve">maintainability</w:t>
      </w:r>
      <w:r>
        <w:t xml:space="preserve">). A physical availability of 86.9% is a symptom; </w:t>
      </w:r>
      <w:r>
        <w:rPr>
          <w:rStyle w:val="VerbatimChar"/>
        </w:rPr>
        <w:t xml:space="preserve">MAINT.MTBF</w:t>
      </w:r>
      <w:r>
        <w:t xml:space="preserve"> and </w:t>
      </w:r>
      <w:r>
        <w:rPr>
          <w:rStyle w:val="VerbatimChar"/>
        </w:rPr>
        <w:t xml:space="preserve">MAINT.MTTR</w:t>
      </w:r>
      <w:r>
        <w:t xml:space="preserve"> are the diagnosis. Together they let a reliability engineer separate a fleet that fails rarely but takes days to fix from one that fails constantly but recovers in minutes — two very different problems that share the same availability.</w:t>
      </w:r>
    </w:p>
    <w:p>
      <w:pPr>
        <w:pStyle w:val="LearningObjectives"/>
      </w:pPr>
      <w:r>
        <w:rPr>
          <w:bCs/>
          <w:b/>
        </w:rPr>
        <w:t xml:space="preserve">Learning Objectives.</w:t>
      </w:r>
      <w:r>
        <w:t xml:space="preserve"> After this section you will be able to: compute mean time between failures and mean time to repair from </w:t>
      </w:r>
      <w:r>
        <w:rPr>
          <w:rStyle w:val="VerbatimChar"/>
        </w:rPr>
        <w:t xml:space="preserve">MaintenanceEvent</w:t>
      </w:r>
      <w:r>
        <w:t xml:space="preserve"> records; derive inherent availability and explain why it differs from the operational </w:t>
      </w:r>
      <w:r>
        <w:rPr>
          <w:rStyle w:val="VerbatimChar"/>
        </w:rPr>
        <w:t xml:space="preserve">UTIL.PA</w:t>
      </w:r>
      <w:r>
        <w:t xml:space="preserve">; and route a low-availability finding to the correct lever — reliability or maintainability.</w:t>
      </w:r>
    </w:p>
    <w:p>
      <w:pPr>
        <w:pStyle w:val="BodyText"/>
      </w:pPr>
      <w:r>
        <w:t xml:space="preserve">These KPIs consume </w:t>
      </w:r>
      <w:r>
        <w:rPr>
          <w:rStyle w:val="VerbatimChar"/>
        </w:rPr>
        <w:t xml:space="preserve">MaintenanceEvent</w:t>
      </w:r>
      <w:r>
        <w:t xml:space="preserve"> records (each carrying a failure timestamp, a return-to-service timestamp, and a failure classification) and the operating-hours tally already used by </w:t>
      </w:r>
      <w:r>
        <w:rPr>
          <w:rStyle w:val="VerbatimChar"/>
        </w:rPr>
        <w:t xml:space="preserve">UTIL.PA</w:t>
      </w:r>
      <w:r>
        <w:t xml:space="preserve">. They are asset-level by nature and roll up to fleet and class by weighting on exposure.</w:t>
      </w:r>
    </w:p>
    <w:bookmarkStart w:id="94" w:name="maint.mtbf-mean-time-between-failures"/>
    <w:p>
      <w:pPr>
        <w:pStyle w:val="Heading3"/>
      </w:pPr>
      <w:bookmarkStart w:id="900047" w:name="_TocMP900047"/>
      <w:r>
        <w:t xml:space="preserve">MAINT.MTBF — Mean Time Between Failures</w:t>
      </w:r>
      <w:bookmarkEnd w:id="900047"/>
    </w:p>
    <w:p>
      <w:pPr>
        <w:pStyle w:val="FirstParagraph"/>
      </w:pPr>
      <w:r>
        <w:rPr>
          <w:bCs/>
          <w:b/>
        </w:rPr>
        <w:t xml:space="preserve">Identifier.</w:t>
      </w:r>
      <w:r>
        <w:t xml:space="preserve"> </w:t>
      </w:r>
      <w:r>
        <w:rPr>
          <w:rStyle w:val="VerbatimChar"/>
        </w:rPr>
        <w:t xml:space="preserve">MAINT.MTBF</w:t>
      </w:r>
      <w:r>
        <w:t xml:space="preserve"> · </w:t>
      </w:r>
      <w:r>
        <w:rPr>
          <w:bCs/>
          <w:b/>
        </w:rPr>
        <w:t xml:space="preserve">Official Name.</w:t>
      </w:r>
      <w:r>
        <w:t xml:space="preserve"> Mean Time Between Failures · </w:t>
      </w:r>
      <w:r>
        <w:rPr>
          <w:bCs/>
          <w:b/>
        </w:rPr>
        <w:t xml:space="preserve">Status.</w:t>
      </w:r>
      <w:r>
        <w:t xml:space="preserve"> Active · </w:t>
      </w:r>
      <w:r>
        <w:rPr>
          <w:bCs/>
          <w:b/>
        </w:rPr>
        <w:t xml:space="preserve">Version.</w:t>
      </w:r>
      <w:r>
        <w:t xml:space="preserve"> 1.0.0</w:t>
      </w:r>
    </w:p>
    <w:p>
      <w:pPr>
        <w:pStyle w:val="BodyText"/>
      </w:pPr>
      <w:r>
        <w:rPr>
          <w:bCs/>
          <w:b/>
        </w:rPr>
        <w:t xml:space="preserve">Business Purpose.</w:t>
      </w:r>
      <w:r>
        <w:t xml:space="preserve"> MTBF is the headline reliability number: on average, how long does an asset run before it fails? It exists so reliability engineers can quantify — and trend — the intrinsic dependability of a machine or fleet independently of how long repairs take.</w:t>
      </w:r>
    </w:p>
    <w:p>
      <w:pPr>
        <w:pStyle w:val="BodyText"/>
      </w:pPr>
      <w:r>
        <w:rPr>
          <w:bCs/>
          <w:b/>
        </w:rPr>
        <w:t xml:space="preserve">Operational Question.</w:t>
      </w:r>
      <w:r>
        <w:t xml:space="preserve"> </w:t>
      </w:r>
      <w:r>
        <w:rPr>
          <w:iCs/>
          <w:i/>
        </w:rPr>
        <w:t xml:space="preserve">How long, on average, does this asset operate before the next failure?</w:t>
      </w:r>
    </w:p>
    <w:p>
      <w:pPr>
        <w:pStyle w:val="BodyText"/>
      </w:pPr>
      <w:r>
        <w:rPr>
          <w:bCs/>
          <w:b/>
        </w:rPr>
        <w:t xml:space="preserve">Business Meaning.</w:t>
      </w:r>
      <w:r>
        <w:t xml:space="preserve"> A rising MTBF means the asset is becoming more dependable — better components, better operating discipline, effective preventive maintenance. A falling MTBF is an early warning of wear-out or a systemic defect, visible long before it dominates the availability figure. MTBF is the denominator of reliability thinking: doubling it halves the failure frequency.</w:t>
      </w:r>
    </w:p>
    <w:p>
      <w:pPr>
        <w:pStyle w:val="BodyText"/>
      </w:pPr>
      <w:r>
        <w:rPr>
          <w:bCs/>
          <w:b/>
        </w:rPr>
        <w:t xml:space="preserve">Formula.</w:t>
      </w:r>
    </w:p>
    <w:p>
      <w:pPr>
        <w:pStyle w:val="SourceCode"/>
      </w:pPr>
      <w:r>
        <w:rPr>
          <w:rStyle w:val="VerbatimChar"/>
        </w:rPr>
        <w:t xml:space="preserve">MAINT.MTBF  =  Operating hours  ÷  Number of failures          [h]</w:t>
      </w:r>
    </w:p>
    <w:p>
      <w:pPr>
        <w:pStyle w:val="FirstParagraph"/>
      </w:pPr>
      <w:r>
        <w:rPr>
          <w:bCs/>
          <w:b/>
        </w:rPr>
        <w:t xml:space="preserve">Units.</w:t>
      </w:r>
      <w:r>
        <w:t xml:space="preserve"> Hours (h) per failure. </w:t>
      </w:r>
      <w:r>
        <w:rPr>
          <w:bCs/>
          <w:b/>
        </w:rPr>
        <w:t xml:space="preserve">Dimensions.</w:t>
      </w:r>
      <w:r>
        <w:t xml:space="preserve"> Equipment, Equipment class, Fleet, Shift, Day, Week, Month, Mine, Contractor.</w:t>
      </w:r>
    </w:p>
    <w:p>
      <w:pPr>
        <w:pStyle w:val="BodyText"/>
      </w:pPr>
      <w:r>
        <w:rPr>
          <w:bCs/>
          <w:b/>
        </w:rPr>
        <w:t xml:space="preserve">Required Events.</w:t>
      </w:r>
      <w:r>
        <w:t xml:space="preserve"> </w:t>
      </w:r>
      <w:r>
        <w:rPr>
          <w:rStyle w:val="VerbatimChar"/>
        </w:rPr>
        <w:t xml:space="preserve">MaintenanceEvent</w:t>
      </w:r>
      <w:r>
        <w:t xml:space="preserve"> (to count failures), and the operating-hours tally derived from </w:t>
      </w:r>
      <w:r>
        <w:rPr>
          <w:rStyle w:val="VerbatimChar"/>
        </w:rPr>
        <w:t xml:space="preserve">CycleEvent</w:t>
      </w:r>
      <w:r>
        <w:t xml:space="preserve">/</w:t>
      </w:r>
      <w:r>
        <w:rPr>
          <w:rStyle w:val="VerbatimChar"/>
        </w:rPr>
        <w:t xml:space="preserve">DelayEvent</w:t>
      </w:r>
      <w:r>
        <w:t xml:space="preserve"> (as in </w:t>
      </w:r>
      <w:r>
        <w:rPr>
          <w:rStyle w:val="VerbatimChar"/>
        </w:rPr>
        <w:t xml:space="preserve">UTIL.PA</w:t>
      </w:r>
      <w:r>
        <w:t xml:space="preserve">). </w:t>
      </w:r>
      <w:r>
        <w:rPr>
          <w:bCs/>
          <w:b/>
        </w:rPr>
        <w:t xml:space="preserve">Required Ontology.</w:t>
      </w:r>
      <w:r>
        <w:t xml:space="preserve"> Equipment (and its class), Mine; optionally FailureMode for Pareto breakdowns. </w:t>
      </w:r>
      <w:r>
        <w:rPr>
          <w:bCs/>
          <w:b/>
        </w:rPr>
        <w:t xml:space="preserve">Dependencies.</w:t>
      </w:r>
      <w:r>
        <w:t xml:space="preserve"> Operating hours (shared with </w:t>
      </w:r>
      <w:r>
        <w:rPr>
          <w:rStyle w:val="VerbatimChar"/>
        </w:rPr>
        <w:t xml:space="preserve">UTIL.PA</w:t>
      </w:r>
      <w:r>
        <w:t xml:space="preserve">); a failure-classification convention so that only genuine failures — not scheduled stops — increment the count.</w:t>
      </w:r>
    </w:p>
    <w:p>
      <w:pPr>
        <w:pStyle w:val="BodyText"/>
      </w:pPr>
      <w:r>
        <w:rPr>
          <w:bCs/>
          <w:b/>
        </w:rPr>
        <w:t xml:space="preserve">Mathematical Properties.</w:t>
      </w:r>
      <w:r>
        <w:t xml:space="preserve"> A ratio of an additive quantity (hours) to a count; </w:t>
      </w:r>
      <w:r>
        <w:rPr>
          <w:bCs/>
          <w:b/>
        </w:rPr>
        <w:t xml:space="preserve">not</w:t>
      </w:r>
      <w:r>
        <w:t xml:space="preserve"> additive itself — you cannot average two MTBFs directly. To combine assets, sum hours and sum failures, then divide. Rolling and cumulative windows are meaningful; a weighted average (by operating hours) is the correct aggregation.</w:t>
      </w:r>
    </w:p>
    <w:p>
      <w:pPr>
        <w:pStyle w:val="BodyText"/>
      </w:pPr>
      <w:r>
        <w:rPr>
          <w:bCs/>
          <w:b/>
        </w:rPr>
        <w:t xml:space="preserve">Calculation Logic.</w:t>
      </w:r>
      <w:r>
        <w:t xml:space="preserve"> (1) Accumulate operating hours over the window (identical basis to </w:t>
      </w:r>
      <w:r>
        <w:rPr>
          <w:rStyle w:val="VerbatimChar"/>
        </w:rPr>
        <w:t xml:space="preserve">UTIL.PA</w:t>
      </w:r>
      <w:r>
        <w:t xml:space="preserve">). (2) Count failure events from </w:t>
      </w:r>
      <w:r>
        <w:rPr>
          <w:rStyle w:val="VerbatimChar"/>
        </w:rPr>
        <w:t xml:space="preserve">MaintenanceEvent</w:t>
      </w:r>
      <w:r>
        <w:t xml:space="preserve"> where the classification is an unplanned failure. (3) Divide. Guard the zero-failure case (an asset with no failures has an </w:t>
      </w:r>
      <w:r>
        <w:rPr>
          <w:iCs/>
          <w:i/>
        </w:rPr>
        <w:t xml:space="preserve">undefined</w:t>
      </w:r>
      <w:r>
        <w:t xml:space="preserve"> — effectively infinite — MTBF, reported as “no failures”, not as a number).</w:t>
      </w:r>
    </w:p>
    <w:p>
      <w:pPr>
        <w:pStyle w:val="BodyText"/>
      </w:pPr>
      <w:r>
        <w:rPr>
          <w:bCs/>
          <w:b/>
        </w:rPr>
        <w:t xml:space="preserve">Python Implementation.</w:t>
      </w:r>
    </w:p>
    <w:p>
      <w:pPr>
        <w:pStyle w:val="SourceCode"/>
      </w:pPr>
      <w:r>
        <w:rPr>
          <w:rStyle w:val="KeywordTok"/>
        </w:rPr>
        <w:t xml:space="preserve">def</w:t>
      </w:r>
      <w:r>
        <w:rPr>
          <w:rStyle w:val="NormalTok"/>
        </w:rPr>
        <w:t xml:space="preserve"> mtbf(operating_hours: </w:t>
      </w:r>
      <w:r>
        <w:rPr>
          <w:rStyle w:val="BuiltInTok"/>
        </w:rPr>
        <w:t xml:space="preserve">float</w:t>
      </w:r>
      <w:r>
        <w:rPr>
          <w:rStyle w:val="NormalTok"/>
        </w:rPr>
        <w:t xml:space="preserve">, num_failures: </w:t>
      </w:r>
      <w:r>
        <w:rPr>
          <w:rStyle w:val="BuiltInTok"/>
        </w:rPr>
        <w:t xml:space="preserve">int</w:t>
      </w:r>
      <w:r>
        <w:rPr>
          <w:rStyle w:val="NormalTok"/>
        </w:rPr>
        <w:t xml:space="preserve">) </w:t>
      </w:r>
      <w:r>
        <w:rPr>
          <w:rStyle w:val="OperatorTok"/>
        </w:rPr>
        <w:t xml:space="preserve">-&gt;</w:t>
      </w:r>
      <w:r>
        <w:rPr>
          <w:rStyle w:val="NormalTok"/>
        </w:rPr>
        <w:t xml:space="preserve"> </w:t>
      </w:r>
      <w:r>
        <w:rPr>
          <w:rStyle w:val="BuiltInTok"/>
        </w:rPr>
        <w:t xml:space="preserve">float</w:t>
      </w:r>
      <w:r>
        <w:rPr>
          <w:rStyle w:val="NormalTok"/>
        </w:rPr>
        <w:t xml:space="preserve">:</w:t>
      </w:r>
      <w:r>
        <w:br/>
      </w:r>
      <w:r>
        <w:rPr>
          <w:rStyle w:val="NormalTok"/>
        </w:rPr>
        <w:t xml:space="preserve">    </w:t>
      </w:r>
      <w:r>
        <w:rPr>
          <w:rStyle w:val="CommentTok"/>
        </w:rPr>
        <w:t xml:space="preserve">"""MAINT.MTBF — mean operating time between failures (h)."""</w:t>
      </w:r>
      <w:r>
        <w:br/>
      </w:r>
      <w:r>
        <w:rPr>
          <w:rStyle w:val="NormalTok"/>
        </w:rPr>
        <w:t xml:space="preserve">    </w:t>
      </w:r>
      <w:r>
        <w:rPr>
          <w:rStyle w:val="ControlFlowTok"/>
        </w:rPr>
        <w:t xml:space="preserve">if</w:t>
      </w:r>
      <w:r>
        <w:rPr>
          <w:rStyle w:val="NormalTok"/>
        </w:rPr>
        <w:t xml:space="preserve"> num_failures </w:t>
      </w:r>
      <w:r>
        <w:rPr>
          <w:rStyle w:val="OperatorTok"/>
        </w:rPr>
        <w:t xml:space="preserve">&lt;=</w:t>
      </w:r>
      <w:r>
        <w:rPr>
          <w:rStyle w:val="NormalTok"/>
        </w:rPr>
        <w:t xml:space="preserve"> </w:t>
      </w:r>
      <w:r>
        <w:rPr>
          <w:rStyle w:val="DecValTok"/>
        </w:rPr>
        <w:t xml:space="preserve">0</w:t>
      </w:r>
      <w:r>
        <w:rPr>
          <w:rStyle w:val="NormalTok"/>
        </w:rPr>
        <w:t xml:space="preserve">:</w:t>
      </w:r>
      <w:r>
        <w:br/>
      </w:r>
      <w:r>
        <w:rPr>
          <w:rStyle w:val="NormalTok"/>
        </w:rPr>
        <w:t xml:space="preserve">        </w:t>
      </w:r>
      <w:r>
        <w:rPr>
          <w:rStyle w:val="ControlFlowTok"/>
        </w:rPr>
        <w:t xml:space="preserve">raise</w:t>
      </w:r>
      <w:r>
        <w:rPr>
          <w:rStyle w:val="NormalTok"/>
        </w:rPr>
        <w:t xml:space="preserve"> </w:t>
      </w:r>
      <w:r>
        <w:rPr>
          <w:rStyle w:val="PreprocessorTok"/>
        </w:rPr>
        <w:t xml:space="preserve">ValueError</w:t>
      </w:r>
      <w:r>
        <w:rPr>
          <w:rStyle w:val="NormalTok"/>
        </w:rPr>
        <w:t xml:space="preserve">(</w:t>
      </w:r>
      <w:r>
        <w:rPr>
          <w:rStyle w:val="StringTok"/>
        </w:rPr>
        <w:t xml:space="preserve">"num_failures must be &gt; 0"</w:t>
      </w:r>
      <w:r>
        <w:rPr>
          <w:rStyle w:val="NormalTok"/>
        </w:rPr>
        <w:t xml:space="preserve">)</w:t>
      </w:r>
      <w:r>
        <w:br/>
      </w:r>
      <w:r>
        <w:rPr>
          <w:rStyle w:val="NormalTok"/>
        </w:rPr>
        <w:t xml:space="preserve">    </w:t>
      </w:r>
      <w:r>
        <w:rPr>
          <w:rStyle w:val="ControlFlowTok"/>
        </w:rPr>
        <w:t xml:space="preserve">return</w:t>
      </w:r>
      <w:r>
        <w:rPr>
          <w:rStyle w:val="NormalTok"/>
        </w:rPr>
        <w:t xml:space="preserve"> operating_hours </w:t>
      </w:r>
      <w:r>
        <w:rPr>
          <w:rStyle w:val="OperatorTok"/>
        </w:rPr>
        <w:t xml:space="preserve">/</w:t>
      </w:r>
      <w:r>
        <w:rPr>
          <w:rStyle w:val="NormalTok"/>
        </w:rPr>
        <w:t xml:space="preserve"> num_failures</w:t>
      </w:r>
    </w:p>
    <w:p>
      <w:pPr>
        <w:pStyle w:val="FirstParagraph"/>
      </w:pPr>
      <w:r>
        <w:rPr>
          <w:bCs/>
          <w:b/>
        </w:rPr>
        <w:t xml:space="preserve">Expected Output.</w:t>
      </w:r>
      <w:r>
        <w:t xml:space="preserve"> A number of hours. Worked example → </w:t>
      </w:r>
      <w:r>
        <w:rPr>
          <w:rStyle w:val="VerbatimChar"/>
        </w:rPr>
        <w:t xml:space="preserve">32.5</w:t>
      </w:r>
      <w:r>
        <w:t xml:space="preserve">.</w:t>
      </w:r>
    </w:p>
    <w:p>
      <w:pPr>
        <w:pStyle w:val="BodyText"/>
      </w:pPr>
      <w:r>
        <w:rPr>
          <w:bCs/>
          <w:b/>
        </w:rPr>
        <w:t xml:space="preserve">Worked Example.</w:t>
      </w:r>
      <w:r>
        <w:t xml:space="preserve"> Truck </w:t>
      </w:r>
      <w:r>
        <w:rPr>
          <w:bCs/>
          <w:b/>
        </w:rPr>
        <w:t xml:space="preserve">T-104</w:t>
      </w:r>
      <w:r>
        <w:t xml:space="preserve"> at </w:t>
      </w:r>
      <w:r>
        <w:rPr>
          <w:iCs/>
          <w:i/>
        </w:rPr>
        <w:t xml:space="preserve">Bingham West</w:t>
      </w:r>
      <w:r>
        <w:t xml:space="preserve"> accumulates </w:t>
      </w:r>
      <w:r>
        <w:rPr>
          <w:bCs/>
          <w:b/>
        </w:rPr>
        <w:t xml:space="preserve">130 operating hours</w:t>
      </w:r>
      <w:r>
        <w:t xml:space="preserve"> in a week and suffers </w:t>
      </w:r>
      <w:r>
        <w:rPr>
          <w:bCs/>
          <w:b/>
        </w:rPr>
        <w:t xml:space="preserve">4</w:t>
      </w:r>
      <w:r>
        <w:t xml:space="preserve"> unplanned failures. </w:t>
      </w:r>
      <w:r>
        <w:rPr>
          <w:rStyle w:val="VerbatimChar"/>
        </w:rPr>
        <w:t xml:space="preserve">mtbf(130, 4)</w:t>
      </w:r>
      <w:r>
        <w:t xml:space="preserve"> → </w:t>
      </w:r>
      <w:r>
        <w:rPr>
          <w:bCs/>
          <w:b/>
        </w:rPr>
        <w:t xml:space="preserve">32.5 h</w:t>
      </w:r>
      <w:r>
        <w:t xml:space="preserve">. On average the truck runs a full shift-and-a-half between failures.</w:t>
      </w:r>
    </w:p>
    <w:p>
      <w:pPr>
        <w:pStyle w:val="BodyText"/>
      </w:pPr>
      <w:r>
        <w:rPr>
          <w:bCs/>
          <w:b/>
        </w:rPr>
        <w:t xml:space="preserve">Sample Dataset.</w:t>
      </w:r>
    </w:p>
    <w:tbl>
      <w:tblPr>
        <w:tblStyle w:val="Table"/>
        <w:tblW w:type="auto" w:w="0"/>
        <w:tblLook w:firstRow="1" w:lastRow="0" w:firstColumn="0" w:lastColumn="0" w:noHBand="0" w:noVBand="0" w:val="0020"/>
        <w:jc w:val="start"/>
      </w:tblPr>
      <w:tblGrid>
        <w:gridCol w:w="1980"/>
        <w:gridCol w:w="1980"/>
        <w:gridCol w:w="1980"/>
        <w:gridCol w:w="1980"/>
      </w:tblGrid>
      <w:tr>
        <w:trPr>
          <w:tblHeader w:val="true"/>
        </w:trPr>
        <w:tc>
          <w:tcPr/>
          <w:p>
            <w:pPr>
              <w:pStyle w:val="Compact"/>
              <w:jc w:val="left"/>
            </w:pPr>
            <w:r>
              <w:t xml:space="preserve">asset</w:t>
            </w:r>
          </w:p>
        </w:tc>
        <w:tc>
          <w:tcPr/>
          <w:p>
            <w:pPr>
              <w:pStyle w:val="Compact"/>
              <w:jc w:val="left"/>
            </w:pPr>
            <w:r>
              <w:t xml:space="preserve">operating_h</w:t>
            </w:r>
          </w:p>
        </w:tc>
        <w:tc>
          <w:tcPr/>
          <w:p>
            <w:pPr>
              <w:pStyle w:val="Compact"/>
              <w:jc w:val="left"/>
            </w:pPr>
            <w:r>
              <w:t xml:space="preserve">failures</w:t>
            </w:r>
          </w:p>
        </w:tc>
        <w:tc>
          <w:tcPr/>
          <w:p>
            <w:pPr>
              <w:pStyle w:val="Compact"/>
              <w:jc w:val="left"/>
            </w:pPr>
            <w:r>
              <w:t xml:space="preserve">MTBF_h</w:t>
            </w:r>
          </w:p>
        </w:tc>
      </w:tr>
      <w:tr>
        <w:tc>
          <w:tcPr/>
          <w:p>
            <w:pPr>
              <w:pStyle w:val="Compact"/>
              <w:jc w:val="left"/>
            </w:pPr>
            <w:r>
              <w:t xml:space="preserve">T-104</w:t>
            </w:r>
          </w:p>
        </w:tc>
        <w:tc>
          <w:tcPr/>
          <w:p>
            <w:pPr>
              <w:pStyle w:val="Compact"/>
              <w:jc w:val="left"/>
            </w:pPr>
            <w:r>
              <w:t xml:space="preserve">130</w:t>
            </w:r>
          </w:p>
        </w:tc>
        <w:tc>
          <w:tcPr/>
          <w:p>
            <w:pPr>
              <w:pStyle w:val="Compact"/>
              <w:jc w:val="left"/>
            </w:pPr>
            <w:r>
              <w:t xml:space="preserve">4</w:t>
            </w:r>
          </w:p>
        </w:tc>
        <w:tc>
          <w:tcPr/>
          <w:p>
            <w:pPr>
              <w:pStyle w:val="Compact"/>
              <w:jc w:val="left"/>
            </w:pPr>
            <w:r>
              <w:t xml:space="preserve">32.5</w:t>
            </w:r>
          </w:p>
        </w:tc>
      </w:tr>
      <w:tr>
        <w:tc>
          <w:tcPr/>
          <w:p>
            <w:pPr>
              <w:pStyle w:val="Compact"/>
              <w:jc w:val="left"/>
            </w:pPr>
            <w:r>
              <w:t xml:space="preserve">T-106</w:t>
            </w:r>
          </w:p>
        </w:tc>
        <w:tc>
          <w:tcPr/>
          <w:p>
            <w:pPr>
              <w:pStyle w:val="Compact"/>
              <w:jc w:val="left"/>
            </w:pPr>
            <w:r>
              <w:t xml:space="preserve">128</w:t>
            </w:r>
          </w:p>
        </w:tc>
        <w:tc>
          <w:tcPr/>
          <w:p>
            <w:pPr>
              <w:pStyle w:val="Compact"/>
              <w:jc w:val="left"/>
            </w:pPr>
            <w:r>
              <w:t xml:space="preserve">2</w:t>
            </w:r>
          </w:p>
        </w:tc>
        <w:tc>
          <w:tcPr/>
          <w:p>
            <w:pPr>
              <w:pStyle w:val="Compact"/>
              <w:jc w:val="left"/>
            </w:pPr>
            <w:r>
              <w:t xml:space="preserve">64.0</w:t>
            </w:r>
          </w:p>
        </w:tc>
      </w:tr>
      <w:tr>
        <w:tc>
          <w:tcPr/>
          <w:p>
            <w:pPr>
              <w:pStyle w:val="Compact"/>
              <w:jc w:val="left"/>
            </w:pPr>
            <w:r>
              <w:t xml:space="preserve">T-109</w:t>
            </w:r>
          </w:p>
        </w:tc>
        <w:tc>
          <w:tcPr/>
          <w:p>
            <w:pPr>
              <w:pStyle w:val="Compact"/>
              <w:jc w:val="left"/>
            </w:pPr>
            <w:r>
              <w:t xml:space="preserve">131</w:t>
            </w:r>
          </w:p>
        </w:tc>
        <w:tc>
          <w:tcPr/>
          <w:p>
            <w:pPr>
              <w:pStyle w:val="Compact"/>
              <w:jc w:val="left"/>
            </w:pPr>
            <w:r>
              <w:t xml:space="preserve">6</w:t>
            </w:r>
          </w:p>
        </w:tc>
        <w:tc>
          <w:tcPr/>
          <w:p>
            <w:pPr>
              <w:pStyle w:val="Compact"/>
              <w:jc w:val="left"/>
            </w:pPr>
            <w:r>
              <w:t xml:space="preserve">21.8</w:t>
            </w:r>
          </w:p>
        </w:tc>
      </w:tr>
    </w:tbl>
    <w:p>
      <w:pPr>
        <w:pStyle w:val="BodyText"/>
      </w:pPr>
      <w:r>
        <w:rPr>
          <w:bCs/>
          <w:b/>
        </w:rPr>
        <w:t xml:space="preserve">Visualization.</w:t>
      </w:r>
      <w:r>
        <w:t xml:space="preserve"> MTBF trend line per asset with a target band; a reliability-growth (Duane) plot for fleets under a defect-elimination programme; a Pareto of failures by </w:t>
      </w:r>
      <w:r>
        <w:rPr>
          <w:rStyle w:val="VerbatimChar"/>
        </w:rPr>
        <w:t xml:space="preserve">FailureMode</w:t>
      </w:r>
      <w:r>
        <w:t xml:space="preserve"> to show </w:t>
      </w:r>
      <w:r>
        <w:rPr>
          <w:iCs/>
          <w:i/>
        </w:rPr>
        <w:t xml:space="preserve">what</w:t>
      </w:r>
      <w:r>
        <w:t xml:space="preserve"> is driving the number.</w:t>
      </w:r>
    </w:p>
    <w:p>
      <w:pPr>
        <w:pStyle w:val="BodyText"/>
      </w:pPr>
      <w:r>
        <w:rPr>
          <w:bCs/>
          <w:b/>
        </w:rPr>
        <w:t xml:space="preserve">Operational Interpretation.</w:t>
      </w:r>
      <w:r>
        <w:t xml:space="preserve"> Higher is better; interpret only against the asset class and duty. For a haul truck, tens of hours is normal; for a fixed pump, hundreds to thousands. A single week’s MTBF is noisy — trend it. </w:t>
      </w:r>
      <w:r>
        <w:rPr>
          <w:iCs/>
          <w:i/>
        </w:rPr>
        <w:t xml:space="preserve">Excellent</w:t>
      </w:r>
      <w:r>
        <w:t xml:space="preserve"> = sustained upward trend against class benchmark; </w:t>
      </w:r>
      <w:r>
        <w:rPr>
          <w:iCs/>
          <w:i/>
        </w:rPr>
        <w:t xml:space="preserve">Critical</w:t>
      </w:r>
      <w:r>
        <w:t xml:space="preserve"> = sharp fall signalling an emerging systemic defect.</w:t>
      </w:r>
    </w:p>
    <w:p>
      <w:pPr>
        <w:pStyle w:val="BodyText"/>
      </w:pPr>
      <w:r>
        <w:rPr>
          <w:bCs/>
          <w:b/>
        </w:rPr>
        <w:t xml:space="preserve">Common Mistakes.</w:t>
      </w:r>
      <w:r>
        <w:t xml:space="preserve"> Counting scheduled maintenance as failures (inflates the failure count, understates MTBF); averaging asset MTBFs instead of pooling hours and failures; reading one short window as signal rather than noise; mixing failure definitions across sites so numbers are not comparable.</w:t>
      </w:r>
    </w:p>
    <w:p>
      <w:pPr>
        <w:pStyle w:val="BodyText"/>
      </w:pPr>
      <w:r>
        <w:rPr>
          <w:bCs/>
          <w:b/>
        </w:rPr>
        <w:t xml:space="preserve">Validation Rules.</w:t>
      </w:r>
      <w:r>
        <w:t xml:space="preserve"> </w:t>
      </w:r>
      <w:r>
        <w:rPr>
          <w:rStyle w:val="VerbatimChar"/>
        </w:rPr>
        <w:t xml:space="preserve">operating_hours ≥ 0</w:t>
      </w:r>
      <w:r>
        <w:t xml:space="preserve">; </w:t>
      </w:r>
      <w:r>
        <w:rPr>
          <w:rStyle w:val="VerbatimChar"/>
        </w:rPr>
        <w:t xml:space="preserve">num_failures ≥ 1</w:t>
      </w:r>
      <w:r>
        <w:t xml:space="preserve"> for a defined result; the same operating-hours basis as </w:t>
      </w:r>
      <w:r>
        <w:rPr>
          <w:rStyle w:val="VerbatimChar"/>
        </w:rPr>
        <w:t xml:space="preserve">UTIL.PA</w:t>
      </w:r>
      <w:r>
        <w:t xml:space="preserve"> within a report.</w:t>
      </w:r>
    </w:p>
    <w:p>
      <w:pPr>
        <w:pStyle w:val="BodyText"/>
      </w:pPr>
      <w:r>
        <w:rPr>
          <w:bCs/>
          <w:b/>
        </w:rPr>
        <w:t xml:space="preserve">Unit Tests.</w:t>
      </w:r>
    </w:p>
    <w:p>
      <w:pPr>
        <w:pStyle w:val="SourceCode"/>
      </w:pPr>
      <w:r>
        <w:rPr>
          <w:rStyle w:val="ImportTok"/>
        </w:rPr>
        <w:t xml:space="preserve">from</w:t>
      </w:r>
      <w:r>
        <w:rPr>
          <w:rStyle w:val="NormalTok"/>
        </w:rPr>
        <w:t xml:space="preserve"> mp_kpis_p3 </w:t>
      </w:r>
      <w:r>
        <w:rPr>
          <w:rStyle w:val="ImportTok"/>
        </w:rPr>
        <w:t xml:space="preserve">import</w:t>
      </w:r>
      <w:r>
        <w:rPr>
          <w:rStyle w:val="NormalTok"/>
        </w:rPr>
        <w:t xml:space="preserve"> mtbf</w:t>
      </w:r>
      <w:r>
        <w:br/>
      </w:r>
      <w:r>
        <w:rPr>
          <w:rStyle w:val="ImportTok"/>
        </w:rPr>
        <w:t xml:space="preserve">import</w:t>
      </w:r>
      <w:r>
        <w:rPr>
          <w:rStyle w:val="NormalTok"/>
        </w:rPr>
        <w:t xml:space="preserve"> pytest</w:t>
      </w:r>
      <w:r>
        <w:br/>
        <w:br/>
      </w:r>
      <w:r>
        <w:rPr>
          <w:rStyle w:val="KeywordTok"/>
        </w:rPr>
        <w:t xml:space="preserve">def</w:t>
      </w:r>
      <w:r>
        <w:rPr>
          <w:rStyle w:val="NormalTok"/>
        </w:rPr>
        <w:t xml:space="preserve"> test_mtbf_canonical():</w:t>
      </w:r>
      <w:r>
        <w:br/>
      </w:r>
      <w:r>
        <w:rPr>
          <w:rStyle w:val="NormalTok"/>
        </w:rPr>
        <w:t xml:space="preserve">    </w:t>
      </w:r>
      <w:r>
        <w:rPr>
          <w:rStyle w:val="ControlFlowTok"/>
        </w:rPr>
        <w:t xml:space="preserve">assert</w:t>
      </w:r>
      <w:r>
        <w:rPr>
          <w:rStyle w:val="NormalTok"/>
        </w:rPr>
        <w:t xml:space="preserve"> </w:t>
      </w:r>
      <w:r>
        <w:rPr>
          <w:rStyle w:val="BuiltInTok"/>
        </w:rPr>
        <w:t xml:space="preserve">round</w:t>
      </w:r>
      <w:r>
        <w:rPr>
          <w:rStyle w:val="NormalTok"/>
        </w:rPr>
        <w:t xml:space="preserve">(mtbf(</w:t>
      </w:r>
      <w:r>
        <w:rPr>
          <w:rStyle w:val="DecValTok"/>
        </w:rPr>
        <w:t xml:space="preserve">130</w:t>
      </w:r>
      <w:r>
        <w:rPr>
          <w:rStyle w:val="NormalTok"/>
        </w:rPr>
        <w:t xml:space="preserve">, </w:t>
      </w:r>
      <w:r>
        <w:rPr>
          <w:rStyle w:val="DecValTok"/>
        </w:rPr>
        <w:t xml:space="preserve">4</w:t>
      </w:r>
      <w:r>
        <w:rPr>
          <w:rStyle w:val="NormalTok"/>
        </w:rPr>
        <w:t xml:space="preserve">), </w:t>
      </w:r>
      <w:r>
        <w:rPr>
          <w:rStyle w:val="DecValTok"/>
        </w:rPr>
        <w:t xml:space="preserve">1</w:t>
      </w:r>
      <w:r>
        <w:rPr>
          <w:rStyle w:val="NormalTok"/>
        </w:rPr>
        <w:t xml:space="preserve">) </w:t>
      </w:r>
      <w:r>
        <w:rPr>
          <w:rStyle w:val="OperatorTok"/>
        </w:rPr>
        <w:t xml:space="preserve">==</w:t>
      </w:r>
      <w:r>
        <w:rPr>
          <w:rStyle w:val="NormalTok"/>
        </w:rPr>
        <w:t xml:space="preserve"> </w:t>
      </w:r>
      <w:r>
        <w:rPr>
          <w:rStyle w:val="FloatTok"/>
        </w:rPr>
        <w:t xml:space="preserve">32.5</w:t>
      </w:r>
      <w:r>
        <w:br/>
        <w:br/>
      </w:r>
      <w:r>
        <w:rPr>
          <w:rStyle w:val="KeywordTok"/>
        </w:rPr>
        <w:t xml:space="preserve">def</w:t>
      </w:r>
      <w:r>
        <w:rPr>
          <w:rStyle w:val="NormalTok"/>
        </w:rPr>
        <w:t xml:space="preserve"> test_mtbf_rejects_zero_failures():</w:t>
      </w:r>
      <w:r>
        <w:br/>
      </w:r>
      <w:r>
        <w:rPr>
          <w:rStyle w:val="NormalTok"/>
        </w:rPr>
        <w:t xml:space="preserve">    </w:t>
      </w:r>
      <w:r>
        <w:rPr>
          <w:rStyle w:val="ControlFlowTok"/>
        </w:rPr>
        <w:t xml:space="preserve">with</w:t>
      </w:r>
      <w:r>
        <w:rPr>
          <w:rStyle w:val="NormalTok"/>
        </w:rPr>
        <w:t xml:space="preserve"> pytest.raises(</w:t>
      </w:r>
      <w:r>
        <w:rPr>
          <w:rStyle w:val="PreprocessorTok"/>
        </w:rPr>
        <w:t xml:space="preserve">ValueError</w:t>
      </w:r>
      <w:r>
        <w:rPr>
          <w:rStyle w:val="NormalTok"/>
        </w:rPr>
        <w:t xml:space="preserve">):</w:t>
      </w:r>
      <w:r>
        <w:br/>
      </w:r>
      <w:r>
        <w:rPr>
          <w:rStyle w:val="NormalTok"/>
        </w:rPr>
        <w:t xml:space="preserve">        mtbf(</w:t>
      </w:r>
      <w:r>
        <w:rPr>
          <w:rStyle w:val="DecValTok"/>
        </w:rPr>
        <w:t xml:space="preserve">130</w:t>
      </w:r>
      <w:r>
        <w:rPr>
          <w:rStyle w:val="NormalTok"/>
        </w:rPr>
        <w:t xml:space="preserve">, </w:t>
      </w:r>
      <w:r>
        <w:rPr>
          <w:rStyle w:val="DecValTok"/>
        </w:rPr>
        <w:t xml:space="preserve">0</w:t>
      </w:r>
      <w:r>
        <w:rPr>
          <w:rStyle w:val="NormalTok"/>
        </w:rPr>
        <w:t xml:space="preserve">)</w:t>
      </w:r>
    </w:p>
    <w:p>
      <w:pPr>
        <w:pStyle w:val="FirstParagraph"/>
      </w:pPr>
      <w:r>
        <w:rPr>
          <w:bCs/>
          <w:b/>
        </w:rPr>
        <w:t xml:space="preserve">Performance Considerations.</w:t>
      </w:r>
      <w:r>
        <w:t xml:space="preserve"> O(1) given the two inputs; the real cost is classifying </w:t>
      </w:r>
      <w:r>
        <w:rPr>
          <w:rStyle w:val="VerbatimChar"/>
        </w:rPr>
        <w:t xml:space="preserve">MaintenanceEvent</w:t>
      </w:r>
      <w:r>
        <w:t xml:space="preserve"> records. Pre-aggregate failure counts per asset per window. </w:t>
      </w:r>
      <w:r>
        <w:rPr>
          <w:bCs/>
          <w:b/>
        </w:rPr>
        <w:t xml:space="preserve">Edge Cases.</w:t>
      </w:r>
      <w:r>
        <w:t xml:space="preserve"> Zero failures → undefined (report “no failures”, never divide); a censored window (asset installed mid-period) needs pro-rated hours. </w:t>
      </w:r>
      <w:r>
        <w:rPr>
          <w:bCs/>
          <w:b/>
        </w:rPr>
        <w:t xml:space="preserve">AI Contributor Notes.</w:t>
      </w:r>
      <w:r>
        <w:t xml:space="preserve"> Lagging/strategic. An agent should never quote MTBF without the failure Pareto beside it — the mode driving failures is the actionable part. </w:t>
      </w:r>
      <w:r>
        <w:rPr>
          <w:bCs/>
          <w:b/>
        </w:rPr>
        <w:t xml:space="preserve">Digital Twin Mapping.</w:t>
      </w:r>
      <w:r>
        <w:t xml:space="preserve"> The twin holds a live rolling MTBF per asset and raises a reliability alert when the trend breaks its control limit. </w:t>
      </w:r>
      <w:r>
        <w:rPr>
          <w:bCs/>
          <w:b/>
        </w:rPr>
        <w:t xml:space="preserve">Decision Intelligence Mapping.</w:t>
      </w:r>
      <w:r>
        <w:t xml:space="preserve"> A falling MTBF triggers a reliability investigation; combined with a low </w:t>
      </w:r>
      <w:r>
        <w:rPr>
          <w:rStyle w:val="VerbatimChar"/>
        </w:rPr>
        <w:t xml:space="preserve">MAINT.MTTR</w:t>
      </w:r>
      <w:r>
        <w:t xml:space="preserve"> it points to </w:t>
      </w:r>
      <w:r>
        <w:rPr>
          <w:iCs/>
          <w:i/>
        </w:rPr>
        <w:t xml:space="preserve">reliability</w:t>
      </w:r>
      <w:r>
        <w:t xml:space="preserve"> (not maintainability) as the availability lever. </w:t>
      </w:r>
      <w:r>
        <w:rPr>
          <w:bCs/>
          <w:b/>
        </w:rPr>
        <w:t xml:space="preserve">Related KPIs.</w:t>
      </w:r>
      <w:r>
        <w:t xml:space="preserve"> </w:t>
      </w:r>
      <w:r>
        <w:rPr>
          <w:rStyle w:val="VerbatimChar"/>
        </w:rPr>
        <w:t xml:space="preserve">MAINT.MTTR</w:t>
      </w:r>
      <w:r>
        <w:t xml:space="preserve">, </w:t>
      </w:r>
      <w:r>
        <w:rPr>
          <w:rStyle w:val="VerbatimChar"/>
        </w:rPr>
        <w:t xml:space="preserve">MAINT.Ai</w:t>
      </w:r>
      <w:r>
        <w:t xml:space="preserve">, </w:t>
      </w:r>
      <w:r>
        <w:rPr>
          <w:rStyle w:val="VerbatimChar"/>
        </w:rPr>
        <w:t xml:space="preserve">UTIL.PA</w:t>
      </w:r>
      <w:r>
        <w:t xml:space="preserve">. </w:t>
      </w:r>
      <w:r>
        <w:rPr>
          <w:bCs/>
          <w:b/>
        </w:rPr>
        <w:t xml:space="preserve">References.</w:t>
      </w:r>
      <w:r>
        <w:t xml:space="preserve"> Standard reliability engineering practice; Master Architecture Handbook, reliability ontology.</w:t>
      </w:r>
    </w:p>
    <w:bookmarkEnd w:id="94"/>
    <w:bookmarkStart w:id="95" w:name="maint.mttr-mean-time-to-repair"/>
    <w:p>
      <w:pPr>
        <w:pStyle w:val="Heading3"/>
      </w:pPr>
      <w:bookmarkStart w:id="900048" w:name="_TocMP900048"/>
      <w:r>
        <w:t xml:space="preserve">MAINT.MTTR — Mean Time To Repair</w:t>
      </w:r>
      <w:bookmarkEnd w:id="900048"/>
    </w:p>
    <w:p>
      <w:pPr>
        <w:pStyle w:val="FirstParagraph"/>
      </w:pPr>
      <w:r>
        <w:rPr>
          <w:bCs/>
          <w:b/>
        </w:rPr>
        <w:t xml:space="preserve">Identifier.</w:t>
      </w:r>
      <w:r>
        <w:t xml:space="preserve"> </w:t>
      </w:r>
      <w:r>
        <w:rPr>
          <w:rStyle w:val="VerbatimChar"/>
        </w:rPr>
        <w:t xml:space="preserve">MAINT.MTTR</w:t>
      </w:r>
      <w:r>
        <w:t xml:space="preserve"> · </w:t>
      </w:r>
      <w:r>
        <w:rPr>
          <w:bCs/>
          <w:b/>
        </w:rPr>
        <w:t xml:space="preserve">Official Name.</w:t>
      </w:r>
      <w:r>
        <w:t xml:space="preserve"> Mean Time To Repair · </w:t>
      </w:r>
      <w:r>
        <w:rPr>
          <w:bCs/>
          <w:b/>
        </w:rPr>
        <w:t xml:space="preserve">Status.</w:t>
      </w:r>
      <w:r>
        <w:t xml:space="preserve"> Active · </w:t>
      </w:r>
      <w:r>
        <w:rPr>
          <w:bCs/>
          <w:b/>
        </w:rPr>
        <w:t xml:space="preserve">Version.</w:t>
      </w:r>
      <w:r>
        <w:t xml:space="preserve"> 1.0.0</w:t>
      </w:r>
    </w:p>
    <w:p>
      <w:pPr>
        <w:pStyle w:val="BodyText"/>
      </w:pPr>
      <w:r>
        <w:rPr>
          <w:bCs/>
          <w:b/>
        </w:rPr>
        <w:t xml:space="preserve">Business Purpose.</w:t>
      </w:r>
      <w:r>
        <w:t xml:space="preserve"> MTTR is the maintainability counterpart to MTBF: when an asset does fail, how long is it down? It exists to quantify the speed and effectiveness of the maintenance response, isolating it cleanly from failure frequency.</w:t>
      </w:r>
    </w:p>
    <w:p>
      <w:pPr>
        <w:pStyle w:val="BodyText"/>
      </w:pPr>
      <w:r>
        <w:rPr>
          <w:bCs/>
          <w:b/>
        </w:rPr>
        <w:t xml:space="preserve">Operational Question.</w:t>
      </w:r>
      <w:r>
        <w:t xml:space="preserve"> </w:t>
      </w:r>
      <w:r>
        <w:rPr>
          <w:iCs/>
          <w:i/>
        </w:rPr>
        <w:t xml:space="preserve">When this asset fails, how long until it is producing again?</w:t>
      </w:r>
    </w:p>
    <w:p>
      <w:pPr>
        <w:pStyle w:val="BodyText"/>
      </w:pPr>
      <w:r>
        <w:rPr>
          <w:bCs/>
          <w:b/>
        </w:rPr>
        <w:t xml:space="preserve">Business Meaning.</w:t>
      </w:r>
      <w:r>
        <w:t xml:space="preserve"> A low MTTR means fast diagnosis, ready spares, and effective crews; a rising MTTR points to parts-supply gaps, skills gaps, or access problems — even when the machine itself has not become less reliable. Because availability depends on </w:t>
      </w:r>
      <w:r>
        <w:rPr>
          <w:iCs/>
          <w:i/>
        </w:rPr>
        <w:t xml:space="preserve">both</w:t>
      </w:r>
      <w:r>
        <w:t xml:space="preserve"> how often you fail and how long you are down, MTTR is a direct, independent lever on uptime.</w:t>
      </w:r>
    </w:p>
    <w:p>
      <w:pPr>
        <w:pStyle w:val="BodyText"/>
      </w:pPr>
      <w:r>
        <w:rPr>
          <w:bCs/>
          <w:b/>
        </w:rPr>
        <w:t xml:space="preserve">Formula.</w:t>
      </w:r>
    </w:p>
    <w:p>
      <w:pPr>
        <w:pStyle w:val="SourceCode"/>
      </w:pPr>
      <w:r>
        <w:rPr>
          <w:rStyle w:val="VerbatimChar"/>
        </w:rPr>
        <w:t xml:space="preserve">MAINT.MTTR  =  Total repair hours  ÷  Number of failures          [h]</w:t>
      </w:r>
    </w:p>
    <w:p>
      <w:pPr>
        <w:pStyle w:val="FirstParagraph"/>
      </w:pPr>
      <w:r>
        <w:rPr>
          <w:bCs/>
          <w:b/>
        </w:rPr>
        <w:t xml:space="preserve">Units.</w:t>
      </w:r>
      <w:r>
        <w:t xml:space="preserve"> Hours (h) per failure. </w:t>
      </w:r>
      <w:r>
        <w:rPr>
          <w:bCs/>
          <w:b/>
        </w:rPr>
        <w:t xml:space="preserve">Dimensions.</w:t>
      </w:r>
      <w:r>
        <w:t xml:space="preserve"> Equipment, Equipment class, Fleet, FailureMode, Crew, Shift, Day, Month, Mine.</w:t>
      </w:r>
    </w:p>
    <w:p>
      <w:pPr>
        <w:pStyle w:val="BodyText"/>
      </w:pPr>
      <w:r>
        <w:rPr>
          <w:bCs/>
          <w:b/>
        </w:rPr>
        <w:t xml:space="preserve">Required Events.</w:t>
      </w:r>
      <w:r>
        <w:t xml:space="preserve"> </w:t>
      </w:r>
      <w:r>
        <w:rPr>
          <w:rStyle w:val="VerbatimChar"/>
        </w:rPr>
        <w:t xml:space="preserve">MaintenanceEvent</w:t>
      </w:r>
      <w:r>
        <w:t xml:space="preserve"> (failure and return-to-service timestamps give repair duration; the count gives the denominator). </w:t>
      </w:r>
      <w:r>
        <w:rPr>
          <w:bCs/>
          <w:b/>
        </w:rPr>
        <w:t xml:space="preserve">Required Ontology.</w:t>
      </w:r>
      <w:r>
        <w:t xml:space="preserve"> Equipment, Mine; optionally FailureMode and Crew for breakdowns. </w:t>
      </w:r>
      <w:r>
        <w:rPr>
          <w:bCs/>
          <w:b/>
        </w:rPr>
        <w:t xml:space="preserve">Dependencies.</w:t>
      </w:r>
      <w:r>
        <w:t xml:space="preserve"> A consistent definition of “repair time” — see the Warning below — and the same failure classification used by </w:t>
      </w:r>
      <w:r>
        <w:rPr>
          <w:rStyle w:val="VerbatimChar"/>
        </w:rPr>
        <w:t xml:space="preserve">MAINT.MTBF</w:t>
      </w:r>
      <w:r>
        <w:t xml:space="preserve">.</w:t>
      </w:r>
    </w:p>
    <w:p>
      <w:pPr>
        <w:pStyle w:val="Warning"/>
      </w:pPr>
      <w:r>
        <w:rPr>
          <w:bCs/>
          <w:b/>
        </w:rPr>
        <w:t xml:space="preserve">Warning — define the repair clock explicitly.</w:t>
      </w:r>
      <w:r>
        <w:t xml:space="preserve"> MTTR can mean </w:t>
      </w:r>
      <w:r>
        <w:rPr>
          <w:iCs/>
          <w:i/>
        </w:rPr>
        <w:t xml:space="preserve">wrench time</w:t>
      </w:r>
      <w:r>
        <w:t xml:space="preserve"> (tool-on-tool) or </w:t>
      </w:r>
      <w:r>
        <w:rPr>
          <w:iCs/>
          <w:i/>
        </w:rPr>
        <w:t xml:space="preserve">total downtime</w:t>
      </w:r>
      <w:r>
        <w:t xml:space="preserve"> (failure to return-to-service, including waiting for parts and crew). These differ by hours. MineProductivity’s canonical </w:t>
      </w:r>
      <w:r>
        <w:rPr>
          <w:rStyle w:val="VerbatimChar"/>
        </w:rPr>
        <w:t xml:space="preserve">MAINT.MTTR</w:t>
      </w:r>
      <w:r>
        <w:t xml:space="preserve"> uses </w:t>
      </w:r>
      <w:r>
        <w:rPr>
          <w:bCs/>
          <w:b/>
        </w:rPr>
        <w:t xml:space="preserve">total downtime</w:t>
      </w:r>
      <w:r>
        <w:t xml:space="preserve"> — failure timestamp to return-to-service — because that is what actually costs availability. A separate </w:t>
      </w:r>
      <w:r>
        <w:rPr>
          <w:rStyle w:val="VerbatimChar"/>
        </w:rPr>
        <w:t xml:space="preserve">MAINT.ActiveRepairTime</w:t>
      </w:r>
      <w:r>
        <w:t xml:space="preserve"> captures wrench time for crew-efficiency analysis. Never mix the two in one trend.</w:t>
      </w:r>
    </w:p>
    <w:p>
      <w:pPr>
        <w:pStyle w:val="BodyText"/>
      </w:pPr>
      <w:r>
        <w:rPr>
          <w:bCs/>
          <w:b/>
        </w:rPr>
        <w:t xml:space="preserve">Mathematical Properties.</w:t>
      </w:r>
      <w:r>
        <w:t xml:space="preserve"> A ratio of additive repair-hours to a count; not additive. Pool repair-hours and failures to aggregate; weighted average (by failures) across assets.</w:t>
      </w:r>
    </w:p>
    <w:p>
      <w:pPr>
        <w:pStyle w:val="BodyText"/>
      </w:pPr>
      <w:r>
        <w:rPr>
          <w:bCs/>
          <w:b/>
        </w:rPr>
        <w:t xml:space="preserve">Calculation Logic.</w:t>
      </w:r>
      <w:r>
        <w:t xml:space="preserve"> (1) For each failure, compute downtime = return-to-service − failure timestamp (canonical: total downtime). (2) Sum over the window. (3) Divide by the failure count. Exclude scheduled maintenance windows, which belong to </w:t>
      </w:r>
      <w:r>
        <w:rPr>
          <w:rStyle w:val="VerbatimChar"/>
        </w:rPr>
        <w:t xml:space="preserve">UTIL.PA</w:t>
      </w:r>
      <w:r>
        <w:t xml:space="preserve">’s scheduled-loss accounting, not to failure repair.</w:t>
      </w:r>
    </w:p>
    <w:p>
      <w:pPr>
        <w:pStyle w:val="BodyText"/>
      </w:pPr>
      <w:r>
        <w:rPr>
          <w:bCs/>
          <w:b/>
        </w:rPr>
        <w:t xml:space="preserve">Python Implementation.</w:t>
      </w:r>
    </w:p>
    <w:p>
      <w:pPr>
        <w:pStyle w:val="SourceCode"/>
      </w:pPr>
      <w:r>
        <w:rPr>
          <w:rStyle w:val="KeywordTok"/>
        </w:rPr>
        <w:t xml:space="preserve">def</w:t>
      </w:r>
      <w:r>
        <w:rPr>
          <w:rStyle w:val="NormalTok"/>
        </w:rPr>
        <w:t xml:space="preserve"> mttr(total_repair_hours: </w:t>
      </w:r>
      <w:r>
        <w:rPr>
          <w:rStyle w:val="BuiltInTok"/>
        </w:rPr>
        <w:t xml:space="preserve">float</w:t>
      </w:r>
      <w:r>
        <w:rPr>
          <w:rStyle w:val="NormalTok"/>
        </w:rPr>
        <w:t xml:space="preserve">, num_failures: </w:t>
      </w:r>
      <w:r>
        <w:rPr>
          <w:rStyle w:val="BuiltInTok"/>
        </w:rPr>
        <w:t xml:space="preserve">int</w:t>
      </w:r>
      <w:r>
        <w:rPr>
          <w:rStyle w:val="NormalTok"/>
        </w:rPr>
        <w:t xml:space="preserve">) </w:t>
      </w:r>
      <w:r>
        <w:rPr>
          <w:rStyle w:val="OperatorTok"/>
        </w:rPr>
        <w:t xml:space="preserve">-&gt;</w:t>
      </w:r>
      <w:r>
        <w:rPr>
          <w:rStyle w:val="NormalTok"/>
        </w:rPr>
        <w:t xml:space="preserve"> </w:t>
      </w:r>
      <w:r>
        <w:rPr>
          <w:rStyle w:val="BuiltInTok"/>
        </w:rPr>
        <w:t xml:space="preserve">float</w:t>
      </w:r>
      <w:r>
        <w:rPr>
          <w:rStyle w:val="NormalTok"/>
        </w:rPr>
        <w:t xml:space="preserve">:</w:t>
      </w:r>
      <w:r>
        <w:br/>
      </w:r>
      <w:r>
        <w:rPr>
          <w:rStyle w:val="NormalTok"/>
        </w:rPr>
        <w:t xml:space="preserve">    </w:t>
      </w:r>
      <w:r>
        <w:rPr>
          <w:rStyle w:val="CommentTok"/>
        </w:rPr>
        <w:t xml:space="preserve">"""MAINT.MTTR — mean time to repair (h)."""</w:t>
      </w:r>
      <w:r>
        <w:br/>
      </w:r>
      <w:r>
        <w:rPr>
          <w:rStyle w:val="NormalTok"/>
        </w:rPr>
        <w:t xml:space="preserve">    </w:t>
      </w:r>
      <w:r>
        <w:rPr>
          <w:rStyle w:val="ControlFlowTok"/>
        </w:rPr>
        <w:t xml:space="preserve">if</w:t>
      </w:r>
      <w:r>
        <w:rPr>
          <w:rStyle w:val="NormalTok"/>
        </w:rPr>
        <w:t xml:space="preserve"> num_failures </w:t>
      </w:r>
      <w:r>
        <w:rPr>
          <w:rStyle w:val="OperatorTok"/>
        </w:rPr>
        <w:t xml:space="preserve">&lt;=</w:t>
      </w:r>
      <w:r>
        <w:rPr>
          <w:rStyle w:val="NormalTok"/>
        </w:rPr>
        <w:t xml:space="preserve"> </w:t>
      </w:r>
      <w:r>
        <w:rPr>
          <w:rStyle w:val="DecValTok"/>
        </w:rPr>
        <w:t xml:space="preserve">0</w:t>
      </w:r>
      <w:r>
        <w:rPr>
          <w:rStyle w:val="NormalTok"/>
        </w:rPr>
        <w:t xml:space="preserve">:</w:t>
      </w:r>
      <w:r>
        <w:br/>
      </w:r>
      <w:r>
        <w:rPr>
          <w:rStyle w:val="NormalTok"/>
        </w:rPr>
        <w:t xml:space="preserve">        </w:t>
      </w:r>
      <w:r>
        <w:rPr>
          <w:rStyle w:val="ControlFlowTok"/>
        </w:rPr>
        <w:t xml:space="preserve">raise</w:t>
      </w:r>
      <w:r>
        <w:rPr>
          <w:rStyle w:val="NormalTok"/>
        </w:rPr>
        <w:t xml:space="preserve"> </w:t>
      </w:r>
      <w:r>
        <w:rPr>
          <w:rStyle w:val="PreprocessorTok"/>
        </w:rPr>
        <w:t xml:space="preserve">ValueError</w:t>
      </w:r>
      <w:r>
        <w:rPr>
          <w:rStyle w:val="NormalTok"/>
        </w:rPr>
        <w:t xml:space="preserve">(</w:t>
      </w:r>
      <w:r>
        <w:rPr>
          <w:rStyle w:val="StringTok"/>
        </w:rPr>
        <w:t xml:space="preserve">"num_failures must be &gt; 0"</w:t>
      </w:r>
      <w:r>
        <w:rPr>
          <w:rStyle w:val="NormalTok"/>
        </w:rPr>
        <w:t xml:space="preserve">)</w:t>
      </w:r>
      <w:r>
        <w:br/>
      </w:r>
      <w:r>
        <w:rPr>
          <w:rStyle w:val="NormalTok"/>
        </w:rPr>
        <w:t xml:space="preserve">    </w:t>
      </w:r>
      <w:r>
        <w:rPr>
          <w:rStyle w:val="ControlFlowTok"/>
        </w:rPr>
        <w:t xml:space="preserve">return</w:t>
      </w:r>
      <w:r>
        <w:rPr>
          <w:rStyle w:val="NormalTok"/>
        </w:rPr>
        <w:t xml:space="preserve"> total_repair_hours </w:t>
      </w:r>
      <w:r>
        <w:rPr>
          <w:rStyle w:val="OperatorTok"/>
        </w:rPr>
        <w:t xml:space="preserve">/</w:t>
      </w:r>
      <w:r>
        <w:rPr>
          <w:rStyle w:val="NormalTok"/>
        </w:rPr>
        <w:t xml:space="preserve"> num_failures</w:t>
      </w:r>
    </w:p>
    <w:p>
      <w:pPr>
        <w:pStyle w:val="FirstParagraph"/>
      </w:pPr>
      <w:r>
        <w:rPr>
          <w:bCs/>
          <w:b/>
        </w:rPr>
        <w:t xml:space="preserve">Expected Output.</w:t>
      </w:r>
      <w:r>
        <w:t xml:space="preserve"> A number of hours. Worked example → </w:t>
      </w:r>
      <w:r>
        <w:rPr>
          <w:rStyle w:val="VerbatimChar"/>
        </w:rPr>
        <w:t xml:space="preserve">3.0</w:t>
      </w:r>
      <w:r>
        <w:t xml:space="preserve">.</w:t>
      </w:r>
    </w:p>
    <w:p>
      <w:pPr>
        <w:pStyle w:val="BodyText"/>
      </w:pPr>
      <w:r>
        <w:rPr>
          <w:bCs/>
          <w:b/>
        </w:rPr>
        <w:t xml:space="preserve">Worked Example.</w:t>
      </w:r>
      <w:r>
        <w:t xml:space="preserve"> Truck </w:t>
      </w:r>
      <w:r>
        <w:rPr>
          <w:bCs/>
          <w:b/>
        </w:rPr>
        <w:t xml:space="preserve">T-104</w:t>
      </w:r>
      <w:r>
        <w:t xml:space="preserve">’s </w:t>
      </w:r>
      <w:r>
        <w:rPr>
          <w:bCs/>
          <w:b/>
        </w:rPr>
        <w:t xml:space="preserve">4</w:t>
      </w:r>
      <w:r>
        <w:t xml:space="preserve"> failures over the week accumulate </w:t>
      </w:r>
      <w:r>
        <w:rPr>
          <w:bCs/>
          <w:b/>
        </w:rPr>
        <w:t xml:space="preserve">12 hours</w:t>
      </w:r>
      <w:r>
        <w:t xml:space="preserve"> of total downtime. </w:t>
      </w:r>
      <w:r>
        <w:rPr>
          <w:rStyle w:val="VerbatimChar"/>
        </w:rPr>
        <w:t xml:space="preserve">mttr(12, 4)</w:t>
      </w:r>
      <w:r>
        <w:t xml:space="preserve"> → </w:t>
      </w:r>
      <w:r>
        <w:rPr>
          <w:bCs/>
          <w:b/>
        </w:rPr>
        <w:t xml:space="preserve">3.0 h</w:t>
      </w:r>
      <w:r>
        <w:t xml:space="preserve"> mean time to repair. Paired with its 32.5 h MTBF, the truck fails roughly every 32.5 operating hours and is restored in about 3.</w:t>
      </w:r>
    </w:p>
    <w:p>
      <w:pPr>
        <w:pStyle w:val="BodyText"/>
      </w:pPr>
      <w:r>
        <w:rPr>
          <w:bCs/>
          <w:b/>
        </w:rPr>
        <w:t xml:space="preserve">Sample Dataset.</w:t>
      </w:r>
    </w:p>
    <w:tbl>
      <w:tblPr>
        <w:tblStyle w:val="Table"/>
        <w:tblW w:type="auto" w:w="0"/>
        <w:tblLook w:firstRow="1" w:lastRow="0" w:firstColumn="0" w:lastColumn="0" w:noHBand="0" w:noVBand="0" w:val="0020"/>
        <w:jc w:val="start"/>
      </w:tblPr>
      <w:tblGrid>
        <w:gridCol w:w="1980"/>
        <w:gridCol w:w="1980"/>
        <w:gridCol w:w="1980"/>
        <w:gridCol w:w="1980"/>
      </w:tblGrid>
      <w:tr>
        <w:trPr>
          <w:tblHeader w:val="true"/>
        </w:trPr>
        <w:tc>
          <w:tcPr/>
          <w:p>
            <w:pPr>
              <w:pStyle w:val="Compact"/>
              <w:jc w:val="left"/>
            </w:pPr>
            <w:r>
              <w:t xml:space="preserve">asset</w:t>
            </w:r>
          </w:p>
        </w:tc>
        <w:tc>
          <w:tcPr/>
          <w:p>
            <w:pPr>
              <w:pStyle w:val="Compact"/>
              <w:jc w:val="left"/>
            </w:pPr>
            <w:r>
              <w:t xml:space="preserve">repair_h</w:t>
            </w:r>
          </w:p>
        </w:tc>
        <w:tc>
          <w:tcPr/>
          <w:p>
            <w:pPr>
              <w:pStyle w:val="Compact"/>
              <w:jc w:val="left"/>
            </w:pPr>
            <w:r>
              <w:t xml:space="preserve">failures</w:t>
            </w:r>
          </w:p>
        </w:tc>
        <w:tc>
          <w:tcPr/>
          <w:p>
            <w:pPr>
              <w:pStyle w:val="Compact"/>
              <w:jc w:val="left"/>
            </w:pPr>
            <w:r>
              <w:t xml:space="preserve">MTTR_h</w:t>
            </w:r>
          </w:p>
        </w:tc>
      </w:tr>
      <w:tr>
        <w:tc>
          <w:tcPr/>
          <w:p>
            <w:pPr>
              <w:pStyle w:val="Compact"/>
              <w:jc w:val="left"/>
            </w:pPr>
            <w:r>
              <w:t xml:space="preserve">T-104</w:t>
            </w:r>
          </w:p>
        </w:tc>
        <w:tc>
          <w:tcPr/>
          <w:p>
            <w:pPr>
              <w:pStyle w:val="Compact"/>
              <w:jc w:val="left"/>
            </w:pPr>
            <w:r>
              <w:t xml:space="preserve">12</w:t>
            </w:r>
          </w:p>
        </w:tc>
        <w:tc>
          <w:tcPr/>
          <w:p>
            <w:pPr>
              <w:pStyle w:val="Compact"/>
              <w:jc w:val="left"/>
            </w:pPr>
            <w:r>
              <w:t xml:space="preserve">4</w:t>
            </w:r>
          </w:p>
        </w:tc>
        <w:tc>
          <w:tcPr/>
          <w:p>
            <w:pPr>
              <w:pStyle w:val="Compact"/>
              <w:jc w:val="left"/>
            </w:pPr>
            <w:r>
              <w:t xml:space="preserve">3.0</w:t>
            </w:r>
          </w:p>
        </w:tc>
      </w:tr>
      <w:tr>
        <w:tc>
          <w:tcPr/>
          <w:p>
            <w:pPr>
              <w:pStyle w:val="Compact"/>
              <w:jc w:val="left"/>
            </w:pPr>
            <w:r>
              <w:t xml:space="preserve">T-106</w:t>
            </w:r>
          </w:p>
        </w:tc>
        <w:tc>
          <w:tcPr/>
          <w:p>
            <w:pPr>
              <w:pStyle w:val="Compact"/>
              <w:jc w:val="left"/>
            </w:pPr>
            <w:r>
              <w:t xml:space="preserve">9</w:t>
            </w:r>
          </w:p>
        </w:tc>
        <w:tc>
          <w:tcPr/>
          <w:p>
            <w:pPr>
              <w:pStyle w:val="Compact"/>
              <w:jc w:val="left"/>
            </w:pPr>
            <w:r>
              <w:t xml:space="preserve">2</w:t>
            </w:r>
          </w:p>
        </w:tc>
        <w:tc>
          <w:tcPr/>
          <w:p>
            <w:pPr>
              <w:pStyle w:val="Compact"/>
              <w:jc w:val="left"/>
            </w:pPr>
            <w:r>
              <w:t xml:space="preserve">4.5</w:t>
            </w:r>
          </w:p>
        </w:tc>
      </w:tr>
      <w:tr>
        <w:tc>
          <w:tcPr/>
          <w:p>
            <w:pPr>
              <w:pStyle w:val="Compact"/>
              <w:jc w:val="left"/>
            </w:pPr>
            <w:r>
              <w:t xml:space="preserve">T-109</w:t>
            </w:r>
          </w:p>
        </w:tc>
        <w:tc>
          <w:tcPr/>
          <w:p>
            <w:pPr>
              <w:pStyle w:val="Compact"/>
              <w:jc w:val="left"/>
            </w:pPr>
            <w:r>
              <w:t xml:space="preserve">10</w:t>
            </w:r>
          </w:p>
        </w:tc>
        <w:tc>
          <w:tcPr/>
          <w:p>
            <w:pPr>
              <w:pStyle w:val="Compact"/>
              <w:jc w:val="left"/>
            </w:pPr>
            <w:r>
              <w:t xml:space="preserve">6</w:t>
            </w:r>
          </w:p>
        </w:tc>
        <w:tc>
          <w:tcPr/>
          <w:p>
            <w:pPr>
              <w:pStyle w:val="Compact"/>
              <w:jc w:val="left"/>
            </w:pPr>
            <w:r>
              <w:t xml:space="preserve">1.7</w:t>
            </w:r>
          </w:p>
        </w:tc>
      </w:tr>
    </w:tbl>
    <w:p>
      <w:pPr>
        <w:pStyle w:val="BodyText"/>
      </w:pPr>
      <w:r>
        <w:rPr>
          <w:bCs/>
          <w:b/>
        </w:rPr>
        <w:t xml:space="preserve">Visualization.</w:t>
      </w:r>
      <w:r>
        <w:t xml:space="preserve"> MTTR trend with a target line; a stacked bar splitting each repair into </w:t>
      </w:r>
      <w:r>
        <w:rPr>
          <w:iCs/>
          <w:i/>
        </w:rPr>
        <w:t xml:space="preserve">waiting for parts / waiting for crew / active repair</w:t>
      </w:r>
      <w:r>
        <w:t xml:space="preserve"> to expose where the time goes; MTTR-by-</w:t>
      </w:r>
      <w:r>
        <w:rPr>
          <w:rStyle w:val="VerbatimChar"/>
        </w:rPr>
        <w:t xml:space="preserve">FailureMode</w:t>
      </w:r>
      <w:r>
        <w:t xml:space="preserve"> to find slow-to-fix defects.</w:t>
      </w:r>
    </w:p>
    <w:p>
      <w:pPr>
        <w:pStyle w:val="BodyText"/>
      </w:pPr>
      <w:r>
        <w:rPr>
          <w:bCs/>
          <w:b/>
        </w:rPr>
        <w:t xml:space="preserve">Operational Interpretation.</w:t>
      </w:r>
      <w:r>
        <w:t xml:space="preserve"> Lower is better. A rising MTTR against a flat MTBF means the machine is no less reliable but the response has slowed — usually spares or logistics. </w:t>
      </w:r>
      <w:r>
        <w:rPr>
          <w:iCs/>
          <w:i/>
        </w:rPr>
        <w:t xml:space="preserve">Excellent</w:t>
      </w:r>
      <w:r>
        <w:t xml:space="preserve"> = short and stable; </w:t>
      </w:r>
      <w:r>
        <w:rPr>
          <w:iCs/>
          <w:i/>
        </w:rPr>
        <w:t xml:space="preserve">Critical</w:t>
      </w:r>
      <w:r>
        <w:t xml:space="preserve"> = long tail of multi-shift repairs, often a parts-availability failure rather than a maintenance one.</w:t>
      </w:r>
    </w:p>
    <w:p>
      <w:pPr>
        <w:pStyle w:val="BodyText"/>
      </w:pPr>
      <w:r>
        <w:rPr>
          <w:bCs/>
          <w:b/>
        </w:rPr>
        <w:t xml:space="preserve">Common Mistakes.</w:t>
      </w:r>
      <w:r>
        <w:t xml:space="preserve"> Silently mixing wrench time and total downtime; excluding parts-wait time (which hides the real availability loss); counting a single long rebuild as representative; averaging asset MTTRs instead of pooling.</w:t>
      </w:r>
    </w:p>
    <w:p>
      <w:pPr>
        <w:pStyle w:val="BodyText"/>
      </w:pPr>
      <w:r>
        <w:rPr>
          <w:bCs/>
          <w:b/>
        </w:rPr>
        <w:t xml:space="preserve">Validation Rules.</w:t>
      </w:r>
      <w:r>
        <w:t xml:space="preserve"> </w:t>
      </w:r>
      <w:r>
        <w:rPr>
          <w:rStyle w:val="VerbatimChar"/>
        </w:rPr>
        <w:t xml:space="preserve">total_repair_hours ≥ 0</w:t>
      </w:r>
      <w:r>
        <w:t xml:space="preserve">; </w:t>
      </w:r>
      <w:r>
        <w:rPr>
          <w:rStyle w:val="VerbatimChar"/>
        </w:rPr>
        <w:t xml:space="preserve">num_failures ≥ 1</w:t>
      </w:r>
      <w:r>
        <w:t xml:space="preserve">; each repair duration ≥ 0 and bounded by the reporting window; same failure set as </w:t>
      </w:r>
      <w:r>
        <w:rPr>
          <w:rStyle w:val="VerbatimChar"/>
        </w:rPr>
        <w:t xml:space="preserve">MAINT.MTBF</w:t>
      </w:r>
      <w:r>
        <w:t xml:space="preserve">.</w:t>
      </w:r>
    </w:p>
    <w:p>
      <w:pPr>
        <w:pStyle w:val="BodyText"/>
      </w:pPr>
      <w:r>
        <w:rPr>
          <w:bCs/>
          <w:b/>
        </w:rPr>
        <w:t xml:space="preserve">Unit Tests.</w:t>
      </w:r>
    </w:p>
    <w:p>
      <w:pPr>
        <w:pStyle w:val="SourceCode"/>
      </w:pPr>
      <w:r>
        <w:rPr>
          <w:rStyle w:val="ImportTok"/>
        </w:rPr>
        <w:t xml:space="preserve">from</w:t>
      </w:r>
      <w:r>
        <w:rPr>
          <w:rStyle w:val="NormalTok"/>
        </w:rPr>
        <w:t xml:space="preserve"> mp_kpis_p3 </w:t>
      </w:r>
      <w:r>
        <w:rPr>
          <w:rStyle w:val="ImportTok"/>
        </w:rPr>
        <w:t xml:space="preserve">import</w:t>
      </w:r>
      <w:r>
        <w:rPr>
          <w:rStyle w:val="NormalTok"/>
        </w:rPr>
        <w:t xml:space="preserve"> mttr</w:t>
      </w:r>
      <w:r>
        <w:br/>
      </w:r>
      <w:r>
        <w:rPr>
          <w:rStyle w:val="ImportTok"/>
        </w:rPr>
        <w:t xml:space="preserve">import</w:t>
      </w:r>
      <w:r>
        <w:rPr>
          <w:rStyle w:val="NormalTok"/>
        </w:rPr>
        <w:t xml:space="preserve"> pytest</w:t>
      </w:r>
      <w:r>
        <w:br/>
        <w:br/>
      </w:r>
      <w:r>
        <w:rPr>
          <w:rStyle w:val="KeywordTok"/>
        </w:rPr>
        <w:t xml:space="preserve">def</w:t>
      </w:r>
      <w:r>
        <w:rPr>
          <w:rStyle w:val="NormalTok"/>
        </w:rPr>
        <w:t xml:space="preserve"> test_mttr_canonical():</w:t>
      </w:r>
      <w:r>
        <w:br/>
      </w:r>
      <w:r>
        <w:rPr>
          <w:rStyle w:val="NormalTok"/>
        </w:rPr>
        <w:t xml:space="preserve">    </w:t>
      </w:r>
      <w:r>
        <w:rPr>
          <w:rStyle w:val="ControlFlowTok"/>
        </w:rPr>
        <w:t xml:space="preserve">assert</w:t>
      </w:r>
      <w:r>
        <w:rPr>
          <w:rStyle w:val="NormalTok"/>
        </w:rPr>
        <w:t xml:space="preserve"> </w:t>
      </w:r>
      <w:r>
        <w:rPr>
          <w:rStyle w:val="BuiltInTok"/>
        </w:rPr>
        <w:t xml:space="preserve">round</w:t>
      </w:r>
      <w:r>
        <w:rPr>
          <w:rStyle w:val="NormalTok"/>
        </w:rPr>
        <w:t xml:space="preserve">(mttr(</w:t>
      </w:r>
      <w:r>
        <w:rPr>
          <w:rStyle w:val="DecValTok"/>
        </w:rPr>
        <w:t xml:space="preserve">12</w:t>
      </w:r>
      <w:r>
        <w:rPr>
          <w:rStyle w:val="NormalTok"/>
        </w:rPr>
        <w:t xml:space="preserve">, </w:t>
      </w:r>
      <w:r>
        <w:rPr>
          <w:rStyle w:val="DecValTok"/>
        </w:rPr>
        <w:t xml:space="preserve">4</w:t>
      </w:r>
      <w:r>
        <w:rPr>
          <w:rStyle w:val="NormalTok"/>
        </w:rPr>
        <w:t xml:space="preserve">), </w:t>
      </w:r>
      <w:r>
        <w:rPr>
          <w:rStyle w:val="DecValTok"/>
        </w:rPr>
        <w:t xml:space="preserve">1</w:t>
      </w:r>
      <w:r>
        <w:rPr>
          <w:rStyle w:val="NormalTok"/>
        </w:rPr>
        <w:t xml:space="preserve">) </w:t>
      </w:r>
      <w:r>
        <w:rPr>
          <w:rStyle w:val="OperatorTok"/>
        </w:rPr>
        <w:t xml:space="preserve">==</w:t>
      </w:r>
      <w:r>
        <w:rPr>
          <w:rStyle w:val="NormalTok"/>
        </w:rPr>
        <w:t xml:space="preserve"> </w:t>
      </w:r>
      <w:r>
        <w:rPr>
          <w:rStyle w:val="FloatTok"/>
        </w:rPr>
        <w:t xml:space="preserve">3.0</w:t>
      </w:r>
      <w:r>
        <w:br/>
        <w:br/>
      </w:r>
      <w:r>
        <w:rPr>
          <w:rStyle w:val="KeywordTok"/>
        </w:rPr>
        <w:t xml:space="preserve">def</w:t>
      </w:r>
      <w:r>
        <w:rPr>
          <w:rStyle w:val="NormalTok"/>
        </w:rPr>
        <w:t xml:space="preserve"> test_mttr_rejects_zero_failures():</w:t>
      </w:r>
      <w:r>
        <w:br/>
      </w:r>
      <w:r>
        <w:rPr>
          <w:rStyle w:val="NormalTok"/>
        </w:rPr>
        <w:t xml:space="preserve">    </w:t>
      </w:r>
      <w:r>
        <w:rPr>
          <w:rStyle w:val="ControlFlowTok"/>
        </w:rPr>
        <w:t xml:space="preserve">with</w:t>
      </w:r>
      <w:r>
        <w:rPr>
          <w:rStyle w:val="NormalTok"/>
        </w:rPr>
        <w:t xml:space="preserve"> pytest.raises(</w:t>
      </w:r>
      <w:r>
        <w:rPr>
          <w:rStyle w:val="PreprocessorTok"/>
        </w:rPr>
        <w:t xml:space="preserve">ValueError</w:t>
      </w:r>
      <w:r>
        <w:rPr>
          <w:rStyle w:val="NormalTok"/>
        </w:rPr>
        <w:t xml:space="preserve">):</w:t>
      </w:r>
      <w:r>
        <w:br/>
      </w:r>
      <w:r>
        <w:rPr>
          <w:rStyle w:val="NormalTok"/>
        </w:rPr>
        <w:t xml:space="preserve">        mttr(</w:t>
      </w:r>
      <w:r>
        <w:rPr>
          <w:rStyle w:val="DecValTok"/>
        </w:rPr>
        <w:t xml:space="preserve">12</w:t>
      </w:r>
      <w:r>
        <w:rPr>
          <w:rStyle w:val="NormalTok"/>
        </w:rPr>
        <w:t xml:space="preserve">, </w:t>
      </w:r>
      <w:r>
        <w:rPr>
          <w:rStyle w:val="DecValTok"/>
        </w:rPr>
        <w:t xml:space="preserve">0</w:t>
      </w:r>
      <w:r>
        <w:rPr>
          <w:rStyle w:val="NormalTok"/>
        </w:rPr>
        <w:t xml:space="preserve">)</w:t>
      </w:r>
    </w:p>
    <w:p>
      <w:pPr>
        <w:pStyle w:val="FirstParagraph"/>
      </w:pPr>
      <w:r>
        <w:rPr>
          <w:bCs/>
          <w:b/>
        </w:rPr>
        <w:t xml:space="preserve">Performance Considerations.</w:t>
      </w:r>
      <w:r>
        <w:t xml:space="preserve"> O(1) given the aggregates; upstream, computing per-failure durations is a single pass over </w:t>
      </w:r>
      <w:r>
        <w:rPr>
          <w:rStyle w:val="VerbatimChar"/>
        </w:rPr>
        <w:t xml:space="preserve">MaintenanceEvent</w:t>
      </w:r>
      <w:r>
        <w:t xml:space="preserve">. </w:t>
      </w:r>
      <w:r>
        <w:rPr>
          <w:bCs/>
          <w:b/>
        </w:rPr>
        <w:t xml:space="preserve">Edge Cases.</w:t>
      </w:r>
      <w:r>
        <w:t xml:space="preserve"> An open repair (asset still down at window end) is censored — either exclude or count downtime-to-date, but do so consistently. </w:t>
      </w:r>
      <w:r>
        <w:rPr>
          <w:bCs/>
          <w:b/>
        </w:rPr>
        <w:t xml:space="preserve">AI Contributor Notes.</w:t>
      </w:r>
      <w:r>
        <w:t xml:space="preserve"> Lagging/operational. An agent diagnosing low availability should compare the </w:t>
      </w:r>
      <w:r>
        <w:rPr>
          <w:iCs/>
          <w:i/>
        </w:rPr>
        <w:t xml:space="preserve">pair</w:t>
      </w:r>
      <w:r>
        <w:t xml:space="preserve">: high failures → reliability problem (</w:t>
      </w:r>
      <w:r>
        <w:rPr>
          <w:rStyle w:val="VerbatimChar"/>
        </w:rPr>
        <w:t xml:space="preserve">MAINT.MTBF</w:t>
      </w:r>
      <w:r>
        <w:t xml:space="preserve">); long repairs → maintainability problem (</w:t>
      </w:r>
      <w:r>
        <w:rPr>
          <w:rStyle w:val="VerbatimChar"/>
        </w:rPr>
        <w:t xml:space="preserve">MAINT.MTTR</w:t>
      </w:r>
      <w:r>
        <w:t xml:space="preserve">). </w:t>
      </w:r>
      <w:r>
        <w:rPr>
          <w:bCs/>
          <w:b/>
        </w:rPr>
        <w:t xml:space="preserve">Digital Twin Mapping.</w:t>
      </w:r>
      <w:r>
        <w:t xml:space="preserve"> The twin tracks live MTTR and flags repairs breaching the target duration in real time. </w:t>
      </w:r>
      <w:r>
        <w:rPr>
          <w:bCs/>
          <w:b/>
        </w:rPr>
        <w:t xml:space="preserve">Decision Intelligence Mapping.</w:t>
      </w:r>
      <w:r>
        <w:t xml:space="preserve"> A rising MTTR with stable MTBF routes to spares/logistics, not to reliability engineering — a different owner, a different fix. </w:t>
      </w:r>
      <w:r>
        <w:rPr>
          <w:bCs/>
          <w:b/>
        </w:rPr>
        <w:t xml:space="preserve">Related KPIs.</w:t>
      </w:r>
      <w:r>
        <w:t xml:space="preserve"> </w:t>
      </w:r>
      <w:r>
        <w:rPr>
          <w:rStyle w:val="VerbatimChar"/>
        </w:rPr>
        <w:t xml:space="preserve">MAINT.MTBF</w:t>
      </w:r>
      <w:r>
        <w:t xml:space="preserve">, </w:t>
      </w:r>
      <w:r>
        <w:rPr>
          <w:rStyle w:val="VerbatimChar"/>
        </w:rPr>
        <w:t xml:space="preserve">MAINT.Ai</w:t>
      </w:r>
      <w:r>
        <w:t xml:space="preserve">, </w:t>
      </w:r>
      <w:r>
        <w:rPr>
          <w:rStyle w:val="VerbatimChar"/>
        </w:rPr>
        <w:t xml:space="preserve">UTIL.PA</w:t>
      </w:r>
      <w:r>
        <w:t xml:space="preserve">. </w:t>
      </w:r>
      <w:r>
        <w:rPr>
          <w:bCs/>
          <w:b/>
        </w:rPr>
        <w:t xml:space="preserve">References.</w:t>
      </w:r>
      <w:r>
        <w:t xml:space="preserve"> Standard maintainability practice; Reference Implementation Blueprint, maintenance module.</w:t>
      </w:r>
    </w:p>
    <w:bookmarkEnd w:id="95"/>
    <w:bookmarkStart w:id="96" w:name="maint.ai-inherent-availability"/>
    <w:p>
      <w:pPr>
        <w:pStyle w:val="Heading3"/>
      </w:pPr>
      <w:bookmarkStart w:id="900049" w:name="_TocMP900049"/>
      <w:r>
        <w:t xml:space="preserve">MAINT.Ai — Inherent Availability</w:t>
      </w:r>
      <w:bookmarkEnd w:id="900049"/>
    </w:p>
    <w:p>
      <w:pPr>
        <w:pStyle w:val="FirstParagraph"/>
      </w:pPr>
      <w:r>
        <w:rPr>
          <w:bCs/>
          <w:b/>
        </w:rPr>
        <w:t xml:space="preserve">Identifier.</w:t>
      </w:r>
      <w:r>
        <w:t xml:space="preserve"> </w:t>
      </w:r>
      <w:r>
        <w:rPr>
          <w:rStyle w:val="VerbatimChar"/>
        </w:rPr>
        <w:t xml:space="preserve">MAINT.Ai</w:t>
      </w:r>
      <w:r>
        <w:t xml:space="preserve"> · </w:t>
      </w:r>
      <w:r>
        <w:rPr>
          <w:bCs/>
          <w:b/>
        </w:rPr>
        <w:t xml:space="preserve">Official Name.</w:t>
      </w:r>
      <w:r>
        <w:t xml:space="preserve"> Inherent Availability · </w:t>
      </w:r>
      <w:r>
        <w:rPr>
          <w:bCs/>
          <w:b/>
        </w:rPr>
        <w:t xml:space="preserve">Status.</w:t>
      </w:r>
      <w:r>
        <w:t xml:space="preserve"> Active · </w:t>
      </w:r>
      <w:r>
        <w:rPr>
          <w:bCs/>
          <w:b/>
        </w:rPr>
        <w:t xml:space="preserve">Version.</w:t>
      </w:r>
      <w:r>
        <w:t xml:space="preserve"> 1.0.0</w:t>
      </w:r>
    </w:p>
    <w:p>
      <w:pPr>
        <w:pStyle w:val="BodyText"/>
      </w:pPr>
      <w:r>
        <w:rPr>
          <w:bCs/>
          <w:b/>
        </w:rPr>
        <w:t xml:space="preserve">Business Purpose.</w:t>
      </w:r>
      <w:r>
        <w:t xml:space="preserve"> Inherent availability expresses the ceiling on uptime set by design reliability and maintainability alone — MTBF and MTTR — with no logistics or organisational delay. It exists to answer “how available </w:t>
      </w:r>
      <w:r>
        <w:rPr>
          <w:iCs/>
          <w:i/>
        </w:rPr>
        <w:t xml:space="preserve">could</w:t>
      </w:r>
      <w:r>
        <w:t xml:space="preserve"> this asset be if the maintenance system were perfect?” and to bound the operational </w:t>
      </w:r>
      <w:r>
        <w:rPr>
          <w:rStyle w:val="VerbatimChar"/>
        </w:rPr>
        <w:t xml:space="preserve">UTIL.PA</w:t>
      </w:r>
      <w:r>
        <w:t xml:space="preserve">.</w:t>
      </w:r>
    </w:p>
    <w:p>
      <w:pPr>
        <w:pStyle w:val="BodyText"/>
      </w:pPr>
      <w:r>
        <w:rPr>
          <w:bCs/>
          <w:b/>
        </w:rPr>
        <w:t xml:space="preserve">Operational Question.</w:t>
      </w:r>
      <w:r>
        <w:t xml:space="preserve"> </w:t>
      </w:r>
      <w:r>
        <w:rPr>
          <w:iCs/>
          <w:i/>
        </w:rPr>
        <w:t xml:space="preserve">Given only how often it fails and how long repairs take, what fraction of the time is this asset available?</w:t>
      </w:r>
    </w:p>
    <w:p>
      <w:pPr>
        <w:pStyle w:val="BodyText"/>
      </w:pPr>
      <w:r>
        <w:rPr>
          <w:bCs/>
          <w:b/>
        </w:rPr>
        <w:t xml:space="preserve">Business Meaning.</w:t>
      </w:r>
      <w:r>
        <w:t xml:space="preserve"> </w:t>
      </w:r>
      <w:r>
        <w:rPr>
          <w:rStyle w:val="VerbatimChar"/>
        </w:rPr>
        <w:t xml:space="preserve">MAINT.Ai</w:t>
      </w:r>
      <w:r>
        <w:t xml:space="preserve"> is the reliability-and-maintainability ceiling. The gap between </w:t>
      </w:r>
      <w:r>
        <w:rPr>
          <w:rStyle w:val="VerbatimChar"/>
        </w:rPr>
        <w:t xml:space="preserve">MAINT.Ai</w:t>
      </w:r>
      <w:r>
        <w:t xml:space="preserve"> and the operational </w:t>
      </w:r>
      <w:r>
        <w:rPr>
          <w:rStyle w:val="VerbatimChar"/>
        </w:rPr>
        <w:t xml:space="preserve">UTIL.PA</w:t>
      </w:r>
      <w:r>
        <w:t xml:space="preserve"> is the </w:t>
      </w:r>
      <w:r>
        <w:rPr>
          <w:iCs/>
          <w:i/>
        </w:rPr>
        <w:t xml:space="preserve">logistics-and-organisation loss</w:t>
      </w:r>
      <w:r>
        <w:t xml:space="preserve"> — parts waits, crew waits, admin — that a better-run maintenance system can recover without changing the machine at all. It turns two separate reliability numbers into one comparable availability figure.</w:t>
      </w:r>
    </w:p>
    <w:p>
      <w:pPr>
        <w:pStyle w:val="BodyText"/>
      </w:pPr>
      <w:r>
        <w:rPr>
          <w:bCs/>
          <w:b/>
        </w:rPr>
        <w:t xml:space="preserve">Formula.</w:t>
      </w:r>
    </w:p>
    <w:p>
      <w:pPr>
        <w:pStyle w:val="SourceCode"/>
      </w:pPr>
      <w:r>
        <w:rPr>
          <w:rStyle w:val="VerbatimChar"/>
        </w:rPr>
        <w:t xml:space="preserve">MAINT.Ai  =  MTBF  ÷  (MTBF + MTTR)  × 100          [%]</w:t>
      </w:r>
    </w:p>
    <w:p>
      <w:pPr>
        <w:pStyle w:val="FirstParagraph"/>
      </w:pPr>
      <w:r>
        <w:rPr>
          <w:bCs/>
          <w:b/>
        </w:rPr>
        <w:t xml:space="preserve">Units.</w:t>
      </w:r>
      <w:r>
        <w:t xml:space="preserve"> Percent (%). </w:t>
      </w:r>
      <w:r>
        <w:rPr>
          <w:bCs/>
          <w:b/>
        </w:rPr>
        <w:t xml:space="preserve">Dimensions.</w:t>
      </w:r>
      <w:r>
        <w:t xml:space="preserve"> Equipment, Equipment class, Fleet, Month, Mine.</w:t>
      </w:r>
    </w:p>
    <w:p>
      <w:pPr>
        <w:pStyle w:val="BodyText"/>
      </w:pPr>
      <w:r>
        <w:rPr>
          <w:bCs/>
          <w:b/>
        </w:rPr>
        <w:t xml:space="preserve">Required Events.</w:t>
      </w:r>
      <w:r>
        <w:t xml:space="preserve"> None directly — it is </w:t>
      </w:r>
      <w:r>
        <w:rPr>
          <w:bCs/>
          <w:b/>
        </w:rPr>
        <w:t xml:space="preserve">derived</w:t>
      </w:r>
      <w:r>
        <w:t xml:space="preserve"> from </w:t>
      </w:r>
      <w:r>
        <w:rPr>
          <w:rStyle w:val="VerbatimChar"/>
        </w:rPr>
        <w:t xml:space="preserve">MAINT.MTBF</w:t>
      </w:r>
      <w:r>
        <w:t xml:space="preserve"> and </w:t>
      </w:r>
      <w:r>
        <w:rPr>
          <w:rStyle w:val="VerbatimChar"/>
        </w:rPr>
        <w:t xml:space="preserve">MAINT.MTTR</w:t>
      </w:r>
      <w:r>
        <w:t xml:space="preserve">. </w:t>
      </w:r>
      <w:r>
        <w:rPr>
          <w:bCs/>
          <w:b/>
        </w:rPr>
        <w:t xml:space="preserve">Required Ontology.</w:t>
      </w:r>
      <w:r>
        <w:t xml:space="preserve"> Equipment, Mine (inherited from its inputs). </w:t>
      </w:r>
      <w:r>
        <w:rPr>
          <w:bCs/>
          <w:b/>
        </w:rPr>
        <w:t xml:space="preserve">Dependencies.</w:t>
      </w:r>
      <w:r>
        <w:t xml:space="preserve"> </w:t>
      </w:r>
      <w:r>
        <w:rPr>
          <w:rStyle w:val="VerbatimChar"/>
        </w:rPr>
        <w:t xml:space="preserve">MAINT.MTBF</w:t>
      </w:r>
      <w:r>
        <w:t xml:space="preserve"> and </w:t>
      </w:r>
      <w:r>
        <w:rPr>
          <w:rStyle w:val="VerbatimChar"/>
        </w:rPr>
        <w:t xml:space="preserve">MAINT.MTTR</w:t>
      </w:r>
      <w:r>
        <w:t xml:space="preserve"> must exist first, computed on the same failure set and window.</w:t>
      </w:r>
    </w:p>
    <w:p>
      <w:pPr>
        <w:pStyle w:val="ArchitectureInsight"/>
      </w:pPr>
      <w:r>
        <w:rPr>
          <w:bCs/>
          <w:b/>
        </w:rPr>
        <w:t xml:space="preserve">Architecture Insight — derived KPIs depend, they do not recompute.</w:t>
      </w:r>
      <w:r>
        <w:t xml:space="preserve"> </w:t>
      </w:r>
      <w:r>
        <w:rPr>
          <w:rStyle w:val="VerbatimChar"/>
        </w:rPr>
        <w:t xml:space="preserve">MAINT.Ai</w:t>
      </w:r>
      <w:r>
        <w:t xml:space="preserve"> consumes the </w:t>
      </w:r>
      <w:r>
        <w:rPr>
          <w:iCs/>
          <w:i/>
        </w:rPr>
        <w:t xml:space="preserve">outputs</w:t>
      </w:r>
      <w:r>
        <w:t xml:space="preserve"> of </w:t>
      </w:r>
      <w:r>
        <w:rPr>
          <w:rStyle w:val="VerbatimChar"/>
        </w:rPr>
        <w:t xml:space="preserve">MAINT.MTBF</w:t>
      </w:r>
      <w:r>
        <w:t xml:space="preserve"> and </w:t>
      </w:r>
      <w:r>
        <w:rPr>
          <w:rStyle w:val="VerbatimChar"/>
        </w:rPr>
        <w:t xml:space="preserve">MAINT.MTTR</w:t>
      </w:r>
      <w:r>
        <w:t xml:space="preserve">; it never re-reads events. This is the dependency mechanism from the Introduction made concrete: the KPI engine computes MTBF and MTTR first, caches them, and hands them to </w:t>
      </w:r>
      <w:r>
        <w:rPr>
          <w:rStyle w:val="VerbatimChar"/>
        </w:rPr>
        <w:t xml:space="preserve">MAINT.Ai</w:t>
      </w:r>
      <w:r>
        <w:t xml:space="preserve">. If either input is invalid, </w:t>
      </w:r>
      <w:r>
        <w:rPr>
          <w:rStyle w:val="VerbatimChar"/>
        </w:rPr>
        <w:t xml:space="preserve">MAINT.Ai</w:t>
      </w:r>
      <w:r>
        <w:t xml:space="preserve"> is not computed — dependencies fail closed.</w:t>
      </w:r>
    </w:p>
    <w:p>
      <w:pPr>
        <w:pStyle w:val="BodyText"/>
      </w:pPr>
      <w:r>
        <w:rPr>
          <w:bCs/>
          <w:b/>
        </w:rPr>
        <w:t xml:space="preserve">Mathematical Properties.</w:t>
      </w:r>
      <w:r>
        <w:t xml:space="preserve"> Derived, ratio, bounded [0, 100]; monotage increasing in MTBF and decreasing in MTTR. Not additive; aggregate by aggregating its inputs, not by averaging Ai values.</w:t>
      </w:r>
    </w:p>
    <w:p>
      <w:pPr>
        <w:pStyle w:val="BodyText"/>
      </w:pPr>
      <w:r>
        <w:rPr>
          <w:bCs/>
          <w:b/>
        </w:rPr>
        <w:t xml:space="preserve">Calculation Logic.</w:t>
      </w:r>
      <w:r>
        <w:t xml:space="preserve"> (1) Obtain MTBF and MTTR for the asset and window. (2) Apply Ai = MTBF/(MTBF+MTTR)×100. (3) Report alongside </w:t>
      </w:r>
      <w:r>
        <w:rPr>
          <w:rStyle w:val="VerbatimChar"/>
        </w:rPr>
        <w:t xml:space="preserve">UTIL.PA</w:t>
      </w:r>
      <w:r>
        <w:t xml:space="preserve">; the difference is the logistics-delay opportunity.</w:t>
      </w:r>
    </w:p>
    <w:p>
      <w:pPr>
        <w:pStyle w:val="BodyText"/>
      </w:pPr>
      <w:r>
        <w:rPr>
          <w:bCs/>
          <w:b/>
        </w:rPr>
        <w:t xml:space="preserve">Python Implementation.</w:t>
      </w:r>
    </w:p>
    <w:p>
      <w:pPr>
        <w:pStyle w:val="SourceCode"/>
      </w:pPr>
      <w:r>
        <w:rPr>
          <w:rStyle w:val="KeywordTok"/>
        </w:rPr>
        <w:t xml:space="preserve">def</w:t>
      </w:r>
      <w:r>
        <w:rPr>
          <w:rStyle w:val="NormalTok"/>
        </w:rPr>
        <w:t xml:space="preserve"> inherent_availability(mtbf_h: </w:t>
      </w:r>
      <w:r>
        <w:rPr>
          <w:rStyle w:val="BuiltInTok"/>
        </w:rPr>
        <w:t xml:space="preserve">float</w:t>
      </w:r>
      <w:r>
        <w:rPr>
          <w:rStyle w:val="NormalTok"/>
        </w:rPr>
        <w:t xml:space="preserve">, mttr_h: </w:t>
      </w:r>
      <w:r>
        <w:rPr>
          <w:rStyle w:val="BuiltInTok"/>
        </w:rPr>
        <w:t xml:space="preserve">float</w:t>
      </w:r>
      <w:r>
        <w:rPr>
          <w:rStyle w:val="NormalTok"/>
        </w:rPr>
        <w:t xml:space="preserve">) </w:t>
      </w:r>
      <w:r>
        <w:rPr>
          <w:rStyle w:val="OperatorTok"/>
        </w:rPr>
        <w:t xml:space="preserve">-&gt;</w:t>
      </w:r>
      <w:r>
        <w:rPr>
          <w:rStyle w:val="NormalTok"/>
        </w:rPr>
        <w:t xml:space="preserve"> </w:t>
      </w:r>
      <w:r>
        <w:rPr>
          <w:rStyle w:val="BuiltInTok"/>
        </w:rPr>
        <w:t xml:space="preserve">float</w:t>
      </w:r>
      <w:r>
        <w:rPr>
          <w:rStyle w:val="NormalTok"/>
        </w:rPr>
        <w:t xml:space="preserve">:</w:t>
      </w:r>
      <w:r>
        <w:br/>
      </w:r>
      <w:r>
        <w:rPr>
          <w:rStyle w:val="NormalTok"/>
        </w:rPr>
        <w:t xml:space="preserve">    </w:t>
      </w:r>
      <w:r>
        <w:rPr>
          <w:rStyle w:val="CommentTok"/>
        </w:rPr>
        <w:t xml:space="preserve">"""MAINT.Ai — inherent availability (%) = MTBF/(MTBF+MTTR)."""</w:t>
      </w:r>
      <w:r>
        <w:br/>
      </w:r>
      <w:r>
        <w:rPr>
          <w:rStyle w:val="NormalTok"/>
        </w:rPr>
        <w:t xml:space="preserve">    </w:t>
      </w:r>
      <w:r>
        <w:rPr>
          <w:rStyle w:val="ControlFlowTok"/>
        </w:rPr>
        <w:t xml:space="preserve">if</w:t>
      </w:r>
      <w:r>
        <w:rPr>
          <w:rStyle w:val="NormalTok"/>
        </w:rPr>
        <w:t xml:space="preserve"> (mtbf_h </w:t>
      </w:r>
      <w:r>
        <w:rPr>
          <w:rStyle w:val="OperatorTok"/>
        </w:rPr>
        <w:t xml:space="preserve">+</w:t>
      </w:r>
      <w:r>
        <w:rPr>
          <w:rStyle w:val="NormalTok"/>
        </w:rPr>
        <w:t xml:space="preserve"> mttr_h) </w:t>
      </w:r>
      <w:r>
        <w:rPr>
          <w:rStyle w:val="OperatorTok"/>
        </w:rPr>
        <w:t xml:space="preserve">&lt;=</w:t>
      </w:r>
      <w:r>
        <w:rPr>
          <w:rStyle w:val="NormalTok"/>
        </w:rPr>
        <w:t xml:space="preserve"> </w:t>
      </w:r>
      <w:r>
        <w:rPr>
          <w:rStyle w:val="DecValTok"/>
        </w:rPr>
        <w:t xml:space="preserve">0</w:t>
      </w:r>
      <w:r>
        <w:rPr>
          <w:rStyle w:val="NormalTok"/>
        </w:rPr>
        <w:t xml:space="preserve">:</w:t>
      </w:r>
      <w:r>
        <w:br/>
      </w:r>
      <w:r>
        <w:rPr>
          <w:rStyle w:val="NormalTok"/>
        </w:rPr>
        <w:t xml:space="preserve">        </w:t>
      </w:r>
      <w:r>
        <w:rPr>
          <w:rStyle w:val="ControlFlowTok"/>
        </w:rPr>
        <w:t xml:space="preserve">raise</w:t>
      </w:r>
      <w:r>
        <w:rPr>
          <w:rStyle w:val="NormalTok"/>
        </w:rPr>
        <w:t xml:space="preserve"> </w:t>
      </w:r>
      <w:r>
        <w:rPr>
          <w:rStyle w:val="PreprocessorTok"/>
        </w:rPr>
        <w:t xml:space="preserve">ValueError</w:t>
      </w:r>
      <w:r>
        <w:rPr>
          <w:rStyle w:val="NormalTok"/>
        </w:rPr>
        <w:t xml:space="preserve">(</w:t>
      </w:r>
      <w:r>
        <w:rPr>
          <w:rStyle w:val="StringTok"/>
        </w:rPr>
        <w:t xml:space="preserve">"sum must be &gt; 0"</w:t>
      </w:r>
      <w:r>
        <w:rPr>
          <w:rStyle w:val="NormalTok"/>
        </w:rPr>
        <w:t xml:space="preserve">)</w:t>
      </w:r>
      <w:r>
        <w:br/>
      </w:r>
      <w:r>
        <w:rPr>
          <w:rStyle w:val="NormalTok"/>
        </w:rPr>
        <w:t xml:space="preserve">    </w:t>
      </w:r>
      <w:r>
        <w:rPr>
          <w:rStyle w:val="ControlFlowTok"/>
        </w:rPr>
        <w:t xml:space="preserve">return</w:t>
      </w:r>
      <w:r>
        <w:rPr>
          <w:rStyle w:val="NormalTok"/>
        </w:rPr>
        <w:t xml:space="preserve"> </w:t>
      </w:r>
      <w:r>
        <w:rPr>
          <w:rStyle w:val="FloatTok"/>
        </w:rPr>
        <w:t xml:space="preserve">100.0</w:t>
      </w:r>
      <w:r>
        <w:rPr>
          <w:rStyle w:val="NormalTok"/>
        </w:rPr>
        <w:t xml:space="preserve"> </w:t>
      </w:r>
      <w:r>
        <w:rPr>
          <w:rStyle w:val="OperatorTok"/>
        </w:rPr>
        <w:t xml:space="preserve">*</w:t>
      </w:r>
      <w:r>
        <w:rPr>
          <w:rStyle w:val="NormalTok"/>
        </w:rPr>
        <w:t xml:space="preserve"> mtbf_h </w:t>
      </w:r>
      <w:r>
        <w:rPr>
          <w:rStyle w:val="OperatorTok"/>
        </w:rPr>
        <w:t xml:space="preserve">/</w:t>
      </w:r>
      <w:r>
        <w:rPr>
          <w:rStyle w:val="NormalTok"/>
        </w:rPr>
        <w:t xml:space="preserve"> (mtbf_h </w:t>
      </w:r>
      <w:r>
        <w:rPr>
          <w:rStyle w:val="OperatorTok"/>
        </w:rPr>
        <w:t xml:space="preserve">+</w:t>
      </w:r>
      <w:r>
        <w:rPr>
          <w:rStyle w:val="NormalTok"/>
        </w:rPr>
        <w:t xml:space="preserve"> mttr_h)</w:t>
      </w:r>
    </w:p>
    <w:p>
      <w:pPr>
        <w:pStyle w:val="FirstParagraph"/>
      </w:pPr>
      <w:r>
        <w:rPr>
          <w:bCs/>
          <w:b/>
        </w:rPr>
        <w:t xml:space="preserve">Expected Output.</w:t>
      </w:r>
      <w:r>
        <w:t xml:space="preserve"> A percentage. Worked example → </w:t>
      </w:r>
      <w:r>
        <w:rPr>
          <w:rStyle w:val="VerbatimChar"/>
        </w:rPr>
        <w:t xml:space="preserve">91.5</w:t>
      </w:r>
      <w:r>
        <w:t xml:space="preserve">.</w:t>
      </w:r>
    </w:p>
    <w:p>
      <w:pPr>
        <w:pStyle w:val="BodyText"/>
      </w:pPr>
      <w:r>
        <w:rPr>
          <w:bCs/>
          <w:b/>
        </w:rPr>
        <w:t xml:space="preserve">Worked Example.</w:t>
      </w:r>
      <w:r>
        <w:t xml:space="preserve"> With </w:t>
      </w:r>
      <w:r>
        <w:rPr>
          <w:bCs/>
          <w:b/>
        </w:rPr>
        <w:t xml:space="preserve">MTBF 32.5 h</w:t>
      </w:r>
      <w:r>
        <w:t xml:space="preserve"> and </w:t>
      </w:r>
      <w:r>
        <w:rPr>
          <w:bCs/>
          <w:b/>
        </w:rPr>
        <w:t xml:space="preserve">MTTR 3.0 h</w:t>
      </w:r>
      <w:r>
        <w:t xml:space="preserve">, </w:t>
      </w:r>
      <w:r>
        <w:rPr>
          <w:rStyle w:val="VerbatimChar"/>
        </w:rPr>
        <w:t xml:space="preserve">inherent_availability(32.5, 3.0)</w:t>
      </w:r>
      <w:r>
        <w:t xml:space="preserve"> → </w:t>
      </w:r>
      <w:r>
        <w:rPr>
          <w:bCs/>
          <w:b/>
        </w:rPr>
        <w:t xml:space="preserve">91.5%</w:t>
      </w:r>
      <w:r>
        <w:t xml:space="preserve">. Truck T-104’s operational </w:t>
      </w:r>
      <w:r>
        <w:rPr>
          <w:rStyle w:val="VerbatimChar"/>
        </w:rPr>
        <w:t xml:space="preserve">UTIL.PA</w:t>
      </w:r>
      <w:r>
        <w:t xml:space="preserve"> was 86.9%; the </w:t>
      </w:r>
      <w:r>
        <w:rPr>
          <w:bCs/>
          <w:b/>
        </w:rPr>
        <w:t xml:space="preserve">4.6-point gap</w:t>
      </w:r>
      <w:r>
        <w:t xml:space="preserve"> (91.5 − 86.9) is logistics-and-organisation delay — parts and crew waits beyond active repair — recoverable without touching the machine’s reliability.</w:t>
      </w:r>
    </w:p>
    <w:p>
      <w:pPr>
        <w:pStyle w:val="BodyText"/>
      </w:pPr>
      <w:r>
        <w:rPr>
          <w:bCs/>
          <w:b/>
        </w:rPr>
        <w:t xml:space="preserve">Sample Dataset.</w:t>
      </w:r>
    </w:p>
    <w:tbl>
      <w:tblPr>
        <w:tblStyle w:val="Table"/>
        <w:tblW w:type="auto" w:w="0"/>
        <w:tblLook w:firstRow="1" w:lastRow="0" w:firstColumn="0" w:lastColumn="0" w:noHBand="0" w:noVBand="0" w:val="0020"/>
        <w:jc w:val="start"/>
      </w:tblPr>
      <w:tblGrid>
        <w:gridCol w:w="1320"/>
        <w:gridCol w:w="1320"/>
        <w:gridCol w:w="1320"/>
        <w:gridCol w:w="1320"/>
        <w:gridCol w:w="1320"/>
        <w:gridCol w:w="1320"/>
      </w:tblGrid>
      <w:tr>
        <w:trPr>
          <w:tblHeader w:val="true"/>
        </w:trPr>
        <w:tc>
          <w:tcPr/>
          <w:p>
            <w:pPr>
              <w:pStyle w:val="Compact"/>
              <w:jc w:val="left"/>
            </w:pPr>
            <w:r>
              <w:t xml:space="preserve">asset</w:t>
            </w:r>
          </w:p>
        </w:tc>
        <w:tc>
          <w:tcPr/>
          <w:p>
            <w:pPr>
              <w:pStyle w:val="Compact"/>
              <w:jc w:val="left"/>
            </w:pPr>
            <w:r>
              <w:t xml:space="preserve">MTBF_h</w:t>
            </w:r>
          </w:p>
        </w:tc>
        <w:tc>
          <w:tcPr/>
          <w:p>
            <w:pPr>
              <w:pStyle w:val="Compact"/>
              <w:jc w:val="left"/>
            </w:pPr>
            <w:r>
              <w:t xml:space="preserve">MTTR_h</w:t>
            </w:r>
          </w:p>
        </w:tc>
        <w:tc>
          <w:tcPr/>
          <w:p>
            <w:pPr>
              <w:pStyle w:val="Compact"/>
              <w:jc w:val="left"/>
            </w:pPr>
            <w:r>
              <w:t xml:space="preserve">Ai_%</w:t>
            </w:r>
          </w:p>
        </w:tc>
        <w:tc>
          <w:tcPr/>
          <w:p>
            <w:pPr>
              <w:pStyle w:val="Compact"/>
              <w:jc w:val="left"/>
            </w:pPr>
            <w:r>
              <w:t xml:space="preserve">PA_%</w:t>
            </w:r>
          </w:p>
        </w:tc>
        <w:tc>
          <w:tcPr/>
          <w:p>
            <w:pPr>
              <w:pStyle w:val="Compact"/>
              <w:jc w:val="left"/>
            </w:pPr>
            <w:r>
              <w:t xml:space="preserve">logistics_gap_pts</w:t>
            </w:r>
          </w:p>
        </w:tc>
      </w:tr>
      <w:tr>
        <w:tc>
          <w:tcPr/>
          <w:p>
            <w:pPr>
              <w:pStyle w:val="Compact"/>
              <w:jc w:val="left"/>
            </w:pPr>
            <w:r>
              <w:t xml:space="preserve">T-104</w:t>
            </w:r>
          </w:p>
        </w:tc>
        <w:tc>
          <w:tcPr/>
          <w:p>
            <w:pPr>
              <w:pStyle w:val="Compact"/>
              <w:jc w:val="left"/>
            </w:pPr>
            <w:r>
              <w:t xml:space="preserve">32.5</w:t>
            </w:r>
          </w:p>
        </w:tc>
        <w:tc>
          <w:tcPr/>
          <w:p>
            <w:pPr>
              <w:pStyle w:val="Compact"/>
              <w:jc w:val="left"/>
            </w:pPr>
            <w:r>
              <w:t xml:space="preserve">3.0</w:t>
            </w:r>
          </w:p>
        </w:tc>
        <w:tc>
          <w:tcPr/>
          <w:p>
            <w:pPr>
              <w:pStyle w:val="Compact"/>
              <w:jc w:val="left"/>
            </w:pPr>
            <w:r>
              <w:t xml:space="preserve">91.5</w:t>
            </w:r>
          </w:p>
        </w:tc>
        <w:tc>
          <w:tcPr/>
          <w:p>
            <w:pPr>
              <w:pStyle w:val="Compact"/>
              <w:jc w:val="left"/>
            </w:pPr>
            <w:r>
              <w:t xml:space="preserve">86.9</w:t>
            </w:r>
          </w:p>
        </w:tc>
        <w:tc>
          <w:tcPr/>
          <w:p>
            <w:pPr>
              <w:pStyle w:val="Compact"/>
              <w:jc w:val="left"/>
            </w:pPr>
            <w:r>
              <w:t xml:space="preserve">4.6</w:t>
            </w:r>
          </w:p>
        </w:tc>
      </w:tr>
    </w:tbl>
    <w:p>
      <w:pPr>
        <w:pStyle w:val="BodyText"/>
      </w:pPr>
      <w:r>
        <w:rPr>
          <w:bCs/>
          <w:b/>
        </w:rPr>
        <w:t xml:space="preserve">Visualization.</w:t>
      </w:r>
      <w:r>
        <w:t xml:space="preserve"> A paired bar of </w:t>
      </w:r>
      <w:r>
        <w:rPr>
          <w:rStyle w:val="VerbatimChar"/>
        </w:rPr>
        <w:t xml:space="preserve">MAINT.Ai</w:t>
      </w:r>
      <w:r>
        <w:t xml:space="preserve"> vs </w:t>
      </w:r>
      <w:r>
        <w:rPr>
          <w:rStyle w:val="VerbatimChar"/>
        </w:rPr>
        <w:t xml:space="preserve">UTIL.PA</w:t>
      </w:r>
      <w:r>
        <w:t xml:space="preserve"> per asset, the gap shaded as recoverable logistics loss; an Ai trend with MTBF and MTTR drivers underneath.</w:t>
      </w:r>
    </w:p>
    <w:p>
      <w:pPr>
        <w:pStyle w:val="BodyText"/>
      </w:pPr>
      <w:r>
        <w:rPr>
          <w:bCs/>
          <w:b/>
        </w:rPr>
        <w:t xml:space="preserve">Operational Interpretation.</w:t>
      </w:r>
      <w:r>
        <w:t xml:space="preserve"> Higher is better; always read </w:t>
      </w:r>
      <w:r>
        <w:rPr>
          <w:iCs/>
          <w:i/>
        </w:rPr>
        <w:t xml:space="preserve">with</w:t>
      </w:r>
      <w:r>
        <w:t xml:space="preserve"> </w:t>
      </w:r>
      <w:r>
        <w:rPr>
          <w:rStyle w:val="VerbatimChar"/>
        </w:rPr>
        <w:t xml:space="preserve">UTIL.PA</w:t>
      </w:r>
      <w:r>
        <w:t xml:space="preserve">. A high Ai but low PA means a reliable, quick-to-fix machine held back by logistics — a supply-chain fix, not an engineering one. A low Ai caps PA no matter how good the logistics: the machine itself needs reliability or maintainability work.</w:t>
      </w:r>
    </w:p>
    <w:p>
      <w:pPr>
        <w:pStyle w:val="BodyText"/>
      </w:pPr>
      <w:r>
        <w:rPr>
          <w:bCs/>
          <w:b/>
        </w:rPr>
        <w:t xml:space="preserve">Common Mistakes.</w:t>
      </w:r>
      <w:r>
        <w:t xml:space="preserve"> Confusing </w:t>
      </w:r>
      <w:r>
        <w:rPr>
          <w:rStyle w:val="VerbatimChar"/>
        </w:rPr>
        <w:t xml:space="preserve">MAINT.Ai</w:t>
      </w:r>
      <w:r>
        <w:t xml:space="preserve"> with operational availability and reporting it as uptime (it excludes logistics delay by construction); averaging Ai across assets; computing Ai from MTBF and MTTR taken over different windows or failure sets.</w:t>
      </w:r>
    </w:p>
    <w:p>
      <w:pPr>
        <w:pStyle w:val="BodyText"/>
      </w:pPr>
      <w:r>
        <w:rPr>
          <w:bCs/>
          <w:b/>
        </w:rPr>
        <w:t xml:space="preserve">Validation Rules.</w:t>
      </w:r>
      <w:r>
        <w:t xml:space="preserve"> </w:t>
      </w:r>
      <w:r>
        <w:rPr>
          <w:rStyle w:val="VerbatimChar"/>
        </w:rPr>
        <w:t xml:space="preserve">MTBF &gt; 0</w:t>
      </w:r>
      <w:r>
        <w:t xml:space="preserve">, </w:t>
      </w:r>
      <w:r>
        <w:rPr>
          <w:rStyle w:val="VerbatimChar"/>
        </w:rPr>
        <w:t xml:space="preserve">MTTR ≥ 0</w:t>
      </w:r>
      <w:r>
        <w:t xml:space="preserve">, </w:t>
      </w:r>
      <w:r>
        <w:rPr>
          <w:rStyle w:val="VerbatimChar"/>
        </w:rPr>
        <w:t xml:space="preserve">MTBF + MTTR &gt; 0</w:t>
      </w:r>
      <w:r>
        <w:t xml:space="preserve">; result in [0, 100]; </w:t>
      </w:r>
      <w:r>
        <w:rPr>
          <w:rStyle w:val="VerbatimChar"/>
        </w:rPr>
        <w:t xml:space="preserve">MAINT.Ai ≥ UTIL.PA</w:t>
      </w:r>
      <w:r>
        <w:t xml:space="preserve"> should hold — if not, the failure sets or windows are inconsistent and the report must be rejected.</w:t>
      </w:r>
    </w:p>
    <w:p>
      <w:pPr>
        <w:pStyle w:val="BodyText"/>
      </w:pPr>
      <w:r>
        <w:rPr>
          <w:bCs/>
          <w:b/>
        </w:rPr>
        <w:t xml:space="preserve">Unit Tests.</w:t>
      </w:r>
    </w:p>
    <w:p>
      <w:pPr>
        <w:pStyle w:val="SourceCode"/>
      </w:pPr>
      <w:r>
        <w:rPr>
          <w:rStyle w:val="ImportTok"/>
        </w:rPr>
        <w:t xml:space="preserve">from</w:t>
      </w:r>
      <w:r>
        <w:rPr>
          <w:rStyle w:val="NormalTok"/>
        </w:rPr>
        <w:t xml:space="preserve"> mp_kpis_p3 </w:t>
      </w:r>
      <w:r>
        <w:rPr>
          <w:rStyle w:val="ImportTok"/>
        </w:rPr>
        <w:t xml:space="preserve">import</w:t>
      </w:r>
      <w:r>
        <w:rPr>
          <w:rStyle w:val="NormalTok"/>
        </w:rPr>
        <w:t xml:space="preserve"> inherent_availability, mtbf, mttr</w:t>
      </w:r>
      <w:r>
        <w:br/>
      </w:r>
      <w:r>
        <w:rPr>
          <w:rStyle w:val="ImportTok"/>
        </w:rPr>
        <w:t xml:space="preserve">import</w:t>
      </w:r>
      <w:r>
        <w:rPr>
          <w:rStyle w:val="NormalTok"/>
        </w:rPr>
        <w:t xml:space="preserve"> pytest</w:t>
      </w:r>
      <w:r>
        <w:br/>
        <w:br/>
      </w:r>
      <w:r>
        <w:rPr>
          <w:rStyle w:val="KeywordTok"/>
        </w:rPr>
        <w:t xml:space="preserve">def</w:t>
      </w:r>
      <w:r>
        <w:rPr>
          <w:rStyle w:val="NormalTok"/>
        </w:rPr>
        <w:t xml:space="preserve"> test_ai_canonical():</w:t>
      </w:r>
      <w:r>
        <w:br/>
      </w:r>
      <w:r>
        <w:rPr>
          <w:rStyle w:val="NormalTok"/>
        </w:rPr>
        <w:t xml:space="preserve">    ai </w:t>
      </w:r>
      <w:r>
        <w:rPr>
          <w:rStyle w:val="OperatorTok"/>
        </w:rPr>
        <w:t xml:space="preserve">=</w:t>
      </w:r>
      <w:r>
        <w:rPr>
          <w:rStyle w:val="NormalTok"/>
        </w:rPr>
        <w:t xml:space="preserve"> inherent_availability(mtbf(</w:t>
      </w:r>
      <w:r>
        <w:rPr>
          <w:rStyle w:val="DecValTok"/>
        </w:rPr>
        <w:t xml:space="preserve">130</w:t>
      </w:r>
      <w:r>
        <w:rPr>
          <w:rStyle w:val="NormalTok"/>
        </w:rPr>
        <w:t xml:space="preserve">, </w:t>
      </w:r>
      <w:r>
        <w:rPr>
          <w:rStyle w:val="DecValTok"/>
        </w:rPr>
        <w:t xml:space="preserve">4</w:t>
      </w:r>
      <w:r>
        <w:rPr>
          <w:rStyle w:val="NormalTok"/>
        </w:rPr>
        <w:t xml:space="preserve">), mttr(</w:t>
      </w:r>
      <w:r>
        <w:rPr>
          <w:rStyle w:val="DecValTok"/>
        </w:rPr>
        <w:t xml:space="preserve">12</w:t>
      </w:r>
      <w:r>
        <w:rPr>
          <w:rStyle w:val="NormalTok"/>
        </w:rPr>
        <w:t xml:space="preserve">, </w:t>
      </w:r>
      <w:r>
        <w:rPr>
          <w:rStyle w:val="DecValTok"/>
        </w:rPr>
        <w:t xml:space="preserve">4</w:t>
      </w:r>
      <w:r>
        <w:rPr>
          <w:rStyle w:val="NormalTok"/>
        </w:rPr>
        <w:t xml:space="preserve">))</w:t>
      </w:r>
      <w:r>
        <w:br/>
      </w:r>
      <w:r>
        <w:rPr>
          <w:rStyle w:val="NormalTok"/>
        </w:rPr>
        <w:t xml:space="preserve">    </w:t>
      </w:r>
      <w:r>
        <w:rPr>
          <w:rStyle w:val="ControlFlowTok"/>
        </w:rPr>
        <w:t xml:space="preserve">assert</w:t>
      </w:r>
      <w:r>
        <w:rPr>
          <w:rStyle w:val="NormalTok"/>
        </w:rPr>
        <w:t xml:space="preserve"> </w:t>
      </w:r>
      <w:r>
        <w:rPr>
          <w:rStyle w:val="BuiltInTok"/>
        </w:rPr>
        <w:t xml:space="preserve">round</w:t>
      </w:r>
      <w:r>
        <w:rPr>
          <w:rStyle w:val="NormalTok"/>
        </w:rPr>
        <w:t xml:space="preserve">(ai, </w:t>
      </w:r>
      <w:r>
        <w:rPr>
          <w:rStyle w:val="DecValTok"/>
        </w:rPr>
        <w:t xml:space="preserve">1</w:t>
      </w:r>
      <w:r>
        <w:rPr>
          <w:rStyle w:val="NormalTok"/>
        </w:rPr>
        <w:t xml:space="preserve">) </w:t>
      </w:r>
      <w:r>
        <w:rPr>
          <w:rStyle w:val="OperatorTok"/>
        </w:rPr>
        <w:t xml:space="preserve">==</w:t>
      </w:r>
      <w:r>
        <w:rPr>
          <w:rStyle w:val="NormalTok"/>
        </w:rPr>
        <w:t xml:space="preserve"> </w:t>
      </w:r>
      <w:r>
        <w:rPr>
          <w:rStyle w:val="FloatTok"/>
        </w:rPr>
        <w:t xml:space="preserve">91.5</w:t>
      </w:r>
      <w:r>
        <w:br/>
        <w:br/>
      </w:r>
      <w:r>
        <w:rPr>
          <w:rStyle w:val="KeywordTok"/>
        </w:rPr>
        <w:t xml:space="preserve">def</w:t>
      </w:r>
      <w:r>
        <w:rPr>
          <w:rStyle w:val="NormalTok"/>
        </w:rPr>
        <w:t xml:space="preserve"> test_ai_rejects_degenerate():</w:t>
      </w:r>
      <w:r>
        <w:br/>
      </w:r>
      <w:r>
        <w:rPr>
          <w:rStyle w:val="NormalTok"/>
        </w:rPr>
        <w:t xml:space="preserve">    </w:t>
      </w:r>
      <w:r>
        <w:rPr>
          <w:rStyle w:val="ControlFlowTok"/>
        </w:rPr>
        <w:t xml:space="preserve">with</w:t>
      </w:r>
      <w:r>
        <w:rPr>
          <w:rStyle w:val="NormalTok"/>
        </w:rPr>
        <w:t xml:space="preserve"> pytest.raises(</w:t>
      </w:r>
      <w:r>
        <w:rPr>
          <w:rStyle w:val="PreprocessorTok"/>
        </w:rPr>
        <w:t xml:space="preserve">ValueError</w:t>
      </w:r>
      <w:r>
        <w:rPr>
          <w:rStyle w:val="NormalTok"/>
        </w:rPr>
        <w:t xml:space="preserve">):</w:t>
      </w:r>
      <w:r>
        <w:br/>
      </w:r>
      <w:r>
        <w:rPr>
          <w:rStyle w:val="NormalTok"/>
        </w:rPr>
        <w:t xml:space="preserve">        inherent_availability(</w:t>
      </w:r>
      <w:r>
        <w:rPr>
          <w:rStyle w:val="FloatTok"/>
        </w:rPr>
        <w:t xml:space="preserve">0.0</w:t>
      </w:r>
      <w:r>
        <w:rPr>
          <w:rStyle w:val="NormalTok"/>
        </w:rPr>
        <w:t xml:space="preserve">, </w:t>
      </w:r>
      <w:r>
        <w:rPr>
          <w:rStyle w:val="FloatTok"/>
        </w:rPr>
        <w:t xml:space="preserve">0.0</w:t>
      </w:r>
      <w:r>
        <w:rPr>
          <w:rStyle w:val="NormalTok"/>
        </w:rPr>
        <w:t xml:space="preserve">)</w:t>
      </w:r>
    </w:p>
    <w:p>
      <w:pPr>
        <w:pStyle w:val="FirstParagraph"/>
      </w:pPr>
      <w:r>
        <w:rPr>
          <w:bCs/>
          <w:b/>
        </w:rPr>
        <w:t xml:space="preserve">Performance Considerations.</w:t>
      </w:r>
      <w:r>
        <w:t xml:space="preserve"> O(1) given its inputs; cost lives entirely in </w:t>
      </w:r>
      <w:r>
        <w:rPr>
          <w:rStyle w:val="VerbatimChar"/>
        </w:rPr>
        <w:t xml:space="preserve">MAINT.MTBF</w:t>
      </w:r>
      <w:r>
        <w:t xml:space="preserve">/</w:t>
      </w:r>
      <w:r>
        <w:rPr>
          <w:rStyle w:val="VerbatimChar"/>
        </w:rPr>
        <w:t xml:space="preserve">MAINT.MTTR</w:t>
      </w:r>
      <w:r>
        <w:t xml:space="preserve">. </w:t>
      </w:r>
      <w:r>
        <w:rPr>
          <w:bCs/>
          <w:b/>
        </w:rPr>
        <w:t xml:space="preserve">Edge Cases.</w:t>
      </w:r>
      <w:r>
        <w:t xml:space="preserve"> MTTR = 0 (instantaneous repair) → Ai 100%, correct but usually a data artefact; undefined MTBF (no failures) → Ai undefined, report “no failures”. </w:t>
      </w:r>
      <w:r>
        <w:rPr>
          <w:bCs/>
          <w:b/>
        </w:rPr>
        <w:t xml:space="preserve">AI Contributor Notes.</w:t>
      </w:r>
      <w:r>
        <w:t xml:space="preserve"> Derived/strategic. The </w:t>
      </w:r>
      <w:r>
        <w:rPr>
          <w:rStyle w:val="VerbatimChar"/>
        </w:rPr>
        <w:t xml:space="preserve">MAINT.Ai</w:t>
      </w:r>
      <w:r>
        <w:t xml:space="preserve"> − </w:t>
      </w:r>
      <w:r>
        <w:rPr>
          <w:rStyle w:val="VerbatimChar"/>
        </w:rPr>
        <w:t xml:space="preserve">UTIL.PA</w:t>
      </w:r>
      <w:r>
        <w:t xml:space="preserve"> gap is one of the highest-value signals an agent can surface: it names recoverable uptime and its owner (logistics vs engineering). </w:t>
      </w:r>
      <w:r>
        <w:rPr>
          <w:bCs/>
          <w:b/>
        </w:rPr>
        <w:t xml:space="preserve">Digital Twin Mapping.</w:t>
      </w:r>
      <w:r>
        <w:t xml:space="preserve"> The twin exposes Ai, PA, and their gap per asset, turning the gap into a tracked recovery target. </w:t>
      </w:r>
      <w:r>
        <w:rPr>
          <w:bCs/>
          <w:b/>
        </w:rPr>
        <w:t xml:space="preserve">Decision Intelligence Mapping.</w:t>
      </w:r>
      <w:r>
        <w:t xml:space="preserve"> Large gap → logistics/spares initiative; low Ai → design/reliability initiative. The KPI chooses the lever. </w:t>
      </w:r>
      <w:r>
        <w:rPr>
          <w:bCs/>
          <w:b/>
        </w:rPr>
        <w:t xml:space="preserve">Related KPIs.</w:t>
      </w:r>
      <w:r>
        <w:t xml:space="preserve"> </w:t>
      </w:r>
      <w:r>
        <w:rPr>
          <w:rStyle w:val="VerbatimChar"/>
        </w:rPr>
        <w:t xml:space="preserve">MAINT.MTBF</w:t>
      </w:r>
      <w:r>
        <w:t xml:space="preserve">, </w:t>
      </w:r>
      <w:r>
        <w:rPr>
          <w:rStyle w:val="VerbatimChar"/>
        </w:rPr>
        <w:t xml:space="preserve">MAINT.MTTR</w:t>
      </w:r>
      <w:r>
        <w:t xml:space="preserve">, </w:t>
      </w:r>
      <w:r>
        <w:rPr>
          <w:rStyle w:val="VerbatimChar"/>
        </w:rPr>
        <w:t xml:space="preserve">UTIL.PA</w:t>
      </w:r>
      <w:r>
        <w:t xml:space="preserve">, </w:t>
      </w:r>
      <w:r>
        <w:rPr>
          <w:rStyle w:val="VerbatimChar"/>
        </w:rPr>
        <w:t xml:space="preserve">UTIL.OEE</w:t>
      </w:r>
      <w:r>
        <w:t xml:space="preserve">. </w:t>
      </w:r>
      <w:r>
        <w:rPr>
          <w:bCs/>
          <w:b/>
        </w:rPr>
        <w:t xml:space="preserve">References.</w:t>
      </w:r>
      <w:r>
        <w:t xml:space="preserve"> Standard availability theory (Ai vs Ao); Canonical Semantics chapter (availability rulings).</w:t>
      </w:r>
    </w:p>
    <w:bookmarkEnd w:id="96"/>
    <w:bookmarkEnd w:id="97"/>
    <w:bookmarkStart w:id="98" w:name="summary-maintenance-reliability"/>
    <w:p>
      <w:pPr>
        <w:pStyle w:val="Heading2"/>
      </w:pPr>
      <w:bookmarkStart w:id="900050" w:name="_TocMP900050"/>
      <w:r>
        <w:t xml:space="preserve">Summary — Maintenance &amp; Reliability</w:t>
      </w:r>
      <w:bookmarkEnd w:id="900050"/>
    </w:p>
    <w:p>
      <w:pPr>
        <w:pStyle w:val="FirstParagraph"/>
      </w:pPr>
      <w:r>
        <w:rPr>
          <w:rStyle w:val="VerbatimChar"/>
        </w:rPr>
        <w:t xml:space="preserve">MAINT.MTBF</w:t>
      </w:r>
      <w:r>
        <w:t xml:space="preserve"> measures how often assets fail, </w:t>
      </w:r>
      <w:r>
        <w:rPr>
          <w:rStyle w:val="VerbatimChar"/>
        </w:rPr>
        <w:t xml:space="preserve">MAINT.MTTR</w:t>
      </w:r>
      <w:r>
        <w:t xml:space="preserve"> how long they take to fix, and </w:t>
      </w:r>
      <w:r>
        <w:rPr>
          <w:rStyle w:val="VerbatimChar"/>
        </w:rPr>
        <w:t xml:space="preserve">MAINT.Ai</w:t>
      </w:r>
      <w:r>
        <w:t xml:space="preserve"> fuses the two into the availability ceiling set by the machine and its maintenance. The gap between </w:t>
      </w:r>
      <w:r>
        <w:rPr>
          <w:rStyle w:val="VerbatimChar"/>
        </w:rPr>
        <w:t xml:space="preserve">MAINT.Ai</w:t>
      </w:r>
      <w:r>
        <w:t xml:space="preserve"> and the operational </w:t>
      </w:r>
      <w:r>
        <w:rPr>
          <w:rStyle w:val="VerbatimChar"/>
        </w:rPr>
        <w:t xml:space="preserve">UTIL.PA</w:t>
      </w:r>
      <w:r>
        <w:t xml:space="preserve"> names recoverable logistics loss — one of the most decision-ready numbers in the whole library. Reliability and maintainability are independent levers: always diagnose the pair, never the single number.</w:t>
      </w:r>
    </w:p>
    <w:bookmarkEnd w:id="98"/>
    <w:bookmarkStart w:id="99" w:name="further-reading-6"/>
    <w:p>
      <w:pPr>
        <w:pStyle w:val="Heading2"/>
      </w:pPr>
      <w:bookmarkStart w:id="900051" w:name="_TocMP900051"/>
      <w:r>
        <w:t xml:space="preserve">Further Reading</w:t>
      </w:r>
      <w:bookmarkEnd w:id="900051"/>
    </w:p>
    <w:p>
      <w:pPr>
        <w:pStyle w:val="FirstParagraph"/>
      </w:pPr>
      <w:r>
        <w:t xml:space="preserve">Canonical Semantics (availability rulings); </w:t>
      </w:r>
      <w:r>
        <w:rPr>
          <w:rStyle w:val="VerbatimChar"/>
        </w:rPr>
        <w:t xml:space="preserve">UTIL</w:t>
      </w:r>
      <w:r>
        <w:t xml:space="preserve"> category (where these numbers surface as uptime). Next: </w:t>
      </w:r>
      <w:r>
        <w:rPr>
          <w:bCs/>
          <w:b/>
        </w:rPr>
        <w:t xml:space="preserve">Delay &amp; Dispatch KPIs</w:t>
      </w:r>
      <w:r>
        <w:t xml:space="preserve">.</w:t>
      </w:r>
    </w:p>
    <w:p>
      <w:r>
        <w:br w:type="page"/>
      </w:r>
    </w:p>
    <w:bookmarkEnd w:id="99"/>
    <w:bookmarkStart w:id="104" w:name="delay-dispatch-kpis"/>
    <w:p>
      <w:pPr>
        <w:pStyle w:val="Heading2"/>
      </w:pPr>
      <w:bookmarkStart w:id="900052" w:name="_TocMP900052"/>
      <w:r>
        <w:t xml:space="preserve">Delay &amp; Dispatch KPIs</w:t>
      </w:r>
      <w:bookmarkEnd w:id="900052"/>
    </w:p>
    <w:p>
      <w:pPr>
        <w:pStyle w:val="FirstParagraph"/>
      </w:pPr>
      <w:r>
        <w:t xml:space="preserve">Every hour an asset is </w:t>
      </w:r>
      <w:r>
        <w:rPr>
          <w:iCs/>
          <w:i/>
        </w:rPr>
        <w:t xml:space="preserve">able</w:t>
      </w:r>
      <w:r>
        <w:t xml:space="preserve"> to work but </w:t>
      </w:r>
      <w:r>
        <w:rPr>
          <w:iCs/>
          <w:i/>
        </w:rPr>
        <w:t xml:space="preserve">not</w:t>
      </w:r>
      <w:r>
        <w:t xml:space="preserve"> working is a delay — and delays, not headline production, are where most recoverable productivity hides. The </w:t>
      </w:r>
      <w:r>
        <w:rPr>
          <w:rStyle w:val="VerbatimChar"/>
        </w:rPr>
        <w:t xml:space="preserve">DELAY</w:t>
      </w:r>
      <w:r>
        <w:t xml:space="preserve"> category turns the loosely-used word “downtime” into a disciplined, MECE accounting of lost time, using the six canonical delay categories fixed in the Canonical Semantics chapter (Scheduled, Operational, Equipment, Process, External, Standby). Where the </w:t>
      </w:r>
      <w:r>
        <w:rPr>
          <w:rStyle w:val="VerbatimChar"/>
        </w:rPr>
        <w:t xml:space="preserve">UTIL</w:t>
      </w:r>
      <w:r>
        <w:t xml:space="preserve"> category reports </w:t>
      </w:r>
      <w:r>
        <w:rPr>
          <w:iCs/>
          <w:i/>
        </w:rPr>
        <w:t xml:space="preserve">how much</w:t>
      </w:r>
      <w:r>
        <w:t xml:space="preserve"> time was lost, the </w:t>
      </w:r>
      <w:r>
        <w:rPr>
          <w:rStyle w:val="VerbatimChar"/>
        </w:rPr>
        <w:t xml:space="preserve">DELAY</w:t>
      </w:r>
      <w:r>
        <w:t xml:space="preserve"> category reports </w:t>
      </w:r>
      <w:r>
        <w:rPr>
          <w:iCs/>
          <w:i/>
        </w:rPr>
        <w:t xml:space="preserve">to what</w:t>
      </w:r>
      <w:r>
        <w:t xml:space="preserve"> — the difference between knowing you lost 8 hours and knowing which 8 hours to attack first.</w:t>
      </w:r>
    </w:p>
    <w:p>
      <w:pPr>
        <w:pStyle w:val="LearningObjectives"/>
      </w:pPr>
      <w:r>
        <w:rPr>
          <w:bCs/>
          <w:b/>
        </w:rPr>
        <w:t xml:space="preserve">Learning Objectives.</w:t>
      </w:r>
      <w:r>
        <w:t xml:space="preserve"> After this section you will be able to: aggregate </w:t>
      </w:r>
      <w:r>
        <w:rPr>
          <w:rStyle w:val="VerbatimChar"/>
        </w:rPr>
        <w:t xml:space="preserve">DelayEvent</w:t>
      </w:r>
      <w:r>
        <w:t xml:space="preserve"> records into total lost time; attribute delays to the six canonical categories; and build the delay Pareto that turns lost hours into a ranked action list.</w:t>
      </w:r>
    </w:p>
    <w:p>
      <w:pPr>
        <w:pStyle w:val="BodyText"/>
      </w:pPr>
      <w:r>
        <w:t xml:space="preserve">Dispatch KPIs (assignment efficiency, queue and hang time) share these </w:t>
      </w:r>
      <w:r>
        <w:rPr>
          <w:rStyle w:val="VerbatimChar"/>
        </w:rPr>
        <w:t xml:space="preserve">DelayEvent</w:t>
      </w:r>
      <w:r>
        <w:t xml:space="preserve"> inputs and the fleet ontology; they are registered in the appendix and expand in a future edition. The flagship here is the foundation they all build on: total delay, correctly categorised.</w:t>
      </w:r>
    </w:p>
    <w:bookmarkStart w:id="103" w:name="delay.hours-total-delay-hours"/>
    <w:p>
      <w:pPr>
        <w:pStyle w:val="Heading3"/>
      </w:pPr>
      <w:bookmarkStart w:id="900053" w:name="_TocMP900053"/>
      <w:r>
        <w:t xml:space="preserve">DELAY.Hours — Total Delay Hours</w:t>
      </w:r>
      <w:bookmarkEnd w:id="900053"/>
    </w:p>
    <w:p>
      <w:pPr>
        <w:pStyle w:val="FirstParagraph"/>
      </w:pPr>
      <w:r>
        <w:rPr>
          <w:bCs/>
          <w:b/>
        </w:rPr>
        <w:t xml:space="preserve">Identifier.</w:t>
      </w:r>
      <w:r>
        <w:t xml:space="preserve"> </w:t>
      </w:r>
      <w:r>
        <w:rPr>
          <w:rStyle w:val="VerbatimChar"/>
        </w:rPr>
        <w:t xml:space="preserve">DELAY.Hours</w:t>
      </w:r>
      <w:r>
        <w:t xml:space="preserve"> · </w:t>
      </w:r>
      <w:r>
        <w:rPr>
          <w:bCs/>
          <w:b/>
        </w:rPr>
        <w:t xml:space="preserve">Official Name.</w:t>
      </w:r>
      <w:r>
        <w:t xml:space="preserve"> Total Delay Hours · </w:t>
      </w:r>
      <w:r>
        <w:rPr>
          <w:bCs/>
          <w:b/>
        </w:rPr>
        <w:t xml:space="preserve">Status.</w:t>
      </w:r>
      <w:r>
        <w:t xml:space="preserve"> Active · </w:t>
      </w:r>
      <w:r>
        <w:rPr>
          <w:bCs/>
          <w:b/>
        </w:rPr>
        <w:t xml:space="preserve">Version.</w:t>
      </w:r>
      <w:r>
        <w:t xml:space="preserve"> 1.0.0</w:t>
      </w:r>
    </w:p>
    <w:p>
      <w:pPr>
        <w:pStyle w:val="BodyText"/>
      </w:pPr>
      <w:r>
        <w:rPr>
          <w:bCs/>
          <w:b/>
        </w:rPr>
        <w:t xml:space="preserve">Business Purpose.</w:t>
      </w:r>
      <w:r>
        <w:t xml:space="preserve"> </w:t>
      </w:r>
      <w:r>
        <w:rPr>
          <w:rStyle w:val="VerbatimChar"/>
        </w:rPr>
        <w:t xml:space="preserve">DELAY.Hours</w:t>
      </w:r>
      <w:r>
        <w:t xml:space="preserve"> is the total lost-time number and the entry point to every root-cause conversation. It exists to quantify, in one figure per dimension, how much productive time was surrendered to delays — and, once categorised, exactly where.</w:t>
      </w:r>
    </w:p>
    <w:p>
      <w:pPr>
        <w:pStyle w:val="BodyText"/>
      </w:pPr>
      <w:r>
        <w:rPr>
          <w:bCs/>
          <w:b/>
        </w:rPr>
        <w:t xml:space="preserve">Operational Question.</w:t>
      </w:r>
      <w:r>
        <w:t xml:space="preserve"> </w:t>
      </w:r>
      <w:r>
        <w:rPr>
          <w:iCs/>
          <w:i/>
        </w:rPr>
        <w:t xml:space="preserve">How much productive time was lost to delays, and to which causes?</w:t>
      </w:r>
    </w:p>
    <w:p>
      <w:pPr>
        <w:pStyle w:val="BodyText"/>
      </w:pPr>
      <w:r>
        <w:rPr>
          <w:bCs/>
          <w:b/>
        </w:rPr>
        <w:t xml:space="preserve">Business Meaning.</w:t>
      </w:r>
      <w:r>
        <w:t xml:space="preserve"> Total delay is the mirror image of utilisation: the same lost time </w:t>
      </w:r>
      <w:r>
        <w:rPr>
          <w:rStyle w:val="VerbatimChar"/>
        </w:rPr>
        <w:t xml:space="preserve">UTIL.UA</w:t>
      </w:r>
      <w:r>
        <w:t xml:space="preserve"> expresses as a percentage, </w:t>
      </w:r>
      <w:r>
        <w:rPr>
          <w:rStyle w:val="VerbatimChar"/>
        </w:rPr>
        <w:t xml:space="preserve">DELAY.Hours</w:t>
      </w:r>
      <w:r>
        <w:t xml:space="preserve"> expresses as attributable hours you can cost, rank, and assign. Categorised, it becomes the single most actionable production report a supervisor reads — because it names the cause, not just the loss.</w:t>
      </w:r>
    </w:p>
    <w:p>
      <w:pPr>
        <w:pStyle w:val="BodyText"/>
      </w:pPr>
      <w:r>
        <w:rPr>
          <w:bCs/>
          <w:b/>
        </w:rPr>
        <w:t xml:space="preserve">Formula.</w:t>
      </w:r>
    </w:p>
    <w:p>
      <w:pPr>
        <w:pStyle w:val="SourceCode"/>
      </w:pPr>
      <w:r>
        <w:rPr>
          <w:rStyle w:val="VerbatimChar"/>
        </w:rPr>
        <w:t xml:space="preserve">DELAY.Hours  =  ( Σ delay-event durations in minutes )  ÷  60          [h]</w:t>
      </w:r>
    </w:p>
    <w:p>
      <w:pPr>
        <w:pStyle w:val="FirstParagraph"/>
      </w:pPr>
      <w:r>
        <w:rPr>
          <w:bCs/>
          <w:b/>
        </w:rPr>
        <w:t xml:space="preserve">Units.</w:t>
      </w:r>
      <w:r>
        <w:t xml:space="preserve"> Hours (h); durations captured in minutes. </w:t>
      </w:r>
      <w:r>
        <w:rPr>
          <w:bCs/>
          <w:b/>
        </w:rPr>
        <w:t xml:space="preserve">Dimensions.</w:t>
      </w:r>
      <w:r>
        <w:t xml:space="preserve"> DelayCategory, Equipment, Fleet, Pit, Shift, Day, Week, Operator, Mine — the DelayCategory breakdown is the one that drives action.</w:t>
      </w:r>
    </w:p>
    <w:p>
      <w:pPr>
        <w:pStyle w:val="BodyText"/>
      </w:pPr>
      <w:r>
        <w:rPr>
          <w:bCs/>
          <w:b/>
        </w:rPr>
        <w:t xml:space="preserve">Required Events.</w:t>
      </w:r>
      <w:r>
        <w:t xml:space="preserve"> </w:t>
      </w:r>
      <w:r>
        <w:rPr>
          <w:rStyle w:val="VerbatimChar"/>
        </w:rPr>
        <w:t xml:space="preserve">DelayEvent</w:t>
      </w:r>
      <w:r>
        <w:t xml:space="preserve"> (each with a start, an end or duration, and a category from the canonical six). </w:t>
      </w:r>
      <w:r>
        <w:rPr>
          <w:bCs/>
          <w:b/>
        </w:rPr>
        <w:t xml:space="preserve">Required Ontology.</w:t>
      </w:r>
      <w:r>
        <w:t xml:space="preserve"> Equipment, Shift, Mine, and the DelayCategory taxonomy. </w:t>
      </w:r>
      <w:r>
        <w:rPr>
          <w:bCs/>
          <w:b/>
        </w:rPr>
        <w:t xml:space="preserve">Dependencies.</w:t>
      </w:r>
      <w:r>
        <w:t xml:space="preserve"> None computationally, but a </w:t>
      </w:r>
      <w:r>
        <w:rPr>
          <w:iCs/>
          <w:i/>
        </w:rPr>
        <w:t xml:space="preserve">governed</w:t>
      </w:r>
      <w:r>
        <w:t xml:space="preserve"> DelayCategory taxonomy is a hard prerequisite — uncategorised delay hours are a number without a decision.</w:t>
      </w:r>
    </w:p>
    <w:p>
      <w:pPr>
        <w:pStyle w:val="BodyText"/>
      </w:pPr>
      <w:r>
        <w:rPr>
          <w:bCs/>
          <w:b/>
        </w:rPr>
        <w:t xml:space="preserve">Mathematical Properties.</w:t>
      </w:r>
      <w:r>
        <w:t xml:space="preserve"> </w:t>
      </w:r>
      <w:r>
        <w:rPr>
          <w:bCs/>
          <w:b/>
        </w:rPr>
        <w:t xml:space="preserve">Additive</w:t>
      </w:r>
      <w:r>
        <w:t xml:space="preserve"> across events, assets, and time (unlike the ratio KPIs) — total delay over a week is the sum of daily totals, and fleet delay is the sum of asset delays. Semi-additive is unnecessary; hours are fully additive. This makes </w:t>
      </w:r>
      <w:r>
        <w:rPr>
          <w:rStyle w:val="VerbatimChar"/>
        </w:rPr>
        <w:t xml:space="preserve">DELAY.Hours</w:t>
      </w:r>
      <w:r>
        <w:t xml:space="preserve"> the natural fact to slice in any BI cube.</w:t>
      </w:r>
    </w:p>
    <w:p>
      <w:pPr>
        <w:pStyle w:val="BodyText"/>
      </w:pPr>
      <w:r>
        <w:rPr>
          <w:bCs/>
          <w:b/>
        </w:rPr>
        <w:t xml:space="preserve">Calculation Logic.</w:t>
      </w:r>
      <w:r>
        <w:t xml:space="preserve"> (1) Collect </w:t>
      </w:r>
      <w:r>
        <w:rPr>
          <w:rStyle w:val="VerbatimChar"/>
        </w:rPr>
        <w:t xml:space="preserve">DelayEvent</w:t>
      </w:r>
      <w:r>
        <w:t xml:space="preserve"> records in scope. (2) Resolve each to a duration in minutes (end − start, or a recorded duration). (3) Sum. (4) Divide by 60 for hours. (5) For the actionable view, group by DelayCategory before summing and rank descending — the Pareto.</w:t>
      </w:r>
    </w:p>
    <w:p>
      <w:pPr>
        <w:pStyle w:val="BodyText"/>
      </w:pPr>
      <w:r>
        <w:rPr>
          <w:bCs/>
          <w:b/>
        </w:rPr>
        <w:t xml:space="preserve">Python Implementation.</w:t>
      </w:r>
    </w:p>
    <w:p>
      <w:pPr>
        <w:pStyle w:val="SourceCode"/>
      </w:pPr>
      <w:r>
        <w:rPr>
          <w:rStyle w:val="KeywordTok"/>
        </w:rPr>
        <w:t xml:space="preserve">def</w:t>
      </w:r>
      <w:r>
        <w:rPr>
          <w:rStyle w:val="NormalTok"/>
        </w:rPr>
        <w:t xml:space="preserve"> delay_hours(delay_minutes: Sequence[</w:t>
      </w:r>
      <w:r>
        <w:rPr>
          <w:rStyle w:val="BuiltInTok"/>
        </w:rPr>
        <w:t xml:space="preserve">float</w:t>
      </w:r>
      <w:r>
        <w:rPr>
          <w:rStyle w:val="NormalTok"/>
        </w:rPr>
        <w:t xml:space="preserve">]) </w:t>
      </w:r>
      <w:r>
        <w:rPr>
          <w:rStyle w:val="OperatorTok"/>
        </w:rPr>
        <w:t xml:space="preserve">-&gt;</w:t>
      </w:r>
      <w:r>
        <w:rPr>
          <w:rStyle w:val="NormalTok"/>
        </w:rPr>
        <w:t xml:space="preserve"> </w:t>
      </w:r>
      <w:r>
        <w:rPr>
          <w:rStyle w:val="BuiltInTok"/>
        </w:rPr>
        <w:t xml:space="preserve">float</w:t>
      </w:r>
      <w:r>
        <w:rPr>
          <w:rStyle w:val="NormalTok"/>
        </w:rPr>
        <w:t xml:space="preserve">:</w:t>
      </w:r>
      <w:r>
        <w:br/>
      </w:r>
      <w:r>
        <w:rPr>
          <w:rStyle w:val="NormalTok"/>
        </w:rPr>
        <w:t xml:space="preserve">    </w:t>
      </w:r>
      <w:r>
        <w:rPr>
          <w:rStyle w:val="CommentTok"/>
        </w:rPr>
        <w:t xml:space="preserve">"""DELAY.Hours — total lost time (h) from delay events."""</w:t>
      </w:r>
      <w:r>
        <w:br/>
      </w:r>
      <w:r>
        <w:rPr>
          <w:rStyle w:val="NormalTok"/>
        </w:rPr>
        <w:t xml:space="preserve">    </w:t>
      </w:r>
      <w:r>
        <w:rPr>
          <w:rStyle w:val="ControlFlowTok"/>
        </w:rPr>
        <w:t xml:space="preserve">return</w:t>
      </w:r>
      <w:r>
        <w:rPr>
          <w:rStyle w:val="NormalTok"/>
        </w:rPr>
        <w:t xml:space="preserve"> </w:t>
      </w:r>
      <w:r>
        <w:rPr>
          <w:rStyle w:val="BuiltInTok"/>
        </w:rPr>
        <w:t xml:space="preserve">sum</w:t>
      </w:r>
      <w:r>
        <w:rPr>
          <w:rStyle w:val="NormalTok"/>
        </w:rPr>
        <w:t xml:space="preserve">(delay_minutes) </w:t>
      </w:r>
      <w:r>
        <w:rPr>
          <w:rStyle w:val="OperatorTok"/>
        </w:rPr>
        <w:t xml:space="preserve">/</w:t>
      </w:r>
      <w:r>
        <w:rPr>
          <w:rStyle w:val="NormalTok"/>
        </w:rPr>
        <w:t xml:space="preserve"> </w:t>
      </w:r>
      <w:r>
        <w:rPr>
          <w:rStyle w:val="FloatTok"/>
        </w:rPr>
        <w:t xml:space="preserve">60.0</w:t>
      </w:r>
    </w:p>
    <w:p>
      <w:pPr>
        <w:pStyle w:val="FirstParagraph"/>
      </w:pPr>
      <w:r>
        <w:rPr>
          <w:bCs/>
          <w:b/>
        </w:rPr>
        <w:t xml:space="preserve">Expected Output.</w:t>
      </w:r>
      <w:r>
        <w:t xml:space="preserve"> A number of hours. Worked example → </w:t>
      </w:r>
      <w:r>
        <w:rPr>
          <w:rStyle w:val="VerbatimChar"/>
        </w:rPr>
        <w:t xml:space="preserve">8.1</w:t>
      </w:r>
      <w:r>
        <w:t xml:space="preserve">.</w:t>
      </w:r>
    </w:p>
    <w:p>
      <w:pPr>
        <w:pStyle w:val="BodyText"/>
      </w:pPr>
      <w:r>
        <w:rPr>
          <w:bCs/>
          <w:b/>
        </w:rPr>
        <w:t xml:space="preserve">Worked Example.</w:t>
      </w:r>
      <w:r>
        <w:t xml:space="preserve"> Over one shift, pit </w:t>
      </w:r>
      <w:r>
        <w:rPr>
          <w:iCs/>
          <w:i/>
        </w:rPr>
        <w:t xml:space="preserve">Black Diamond</w:t>
      </w:r>
      <w:r>
        <w:t xml:space="preserve"> logs six </w:t>
      </w:r>
      <w:r>
        <w:rPr>
          <w:rStyle w:val="VerbatimChar"/>
        </w:rPr>
        <w:t xml:space="preserve">DelayEvent</w:t>
      </w:r>
      <w:r>
        <w:t xml:space="preserve"> records (minutes): </w:t>
      </w:r>
      <w:r>
        <w:rPr>
          <w:bCs/>
          <w:b/>
        </w:rPr>
        <w:t xml:space="preserve">120</w:t>
      </w:r>
      <w:r>
        <w:t xml:space="preserve"> (planned blast — Scheduled), </w:t>
      </w:r>
      <w:r>
        <w:rPr>
          <w:bCs/>
          <w:b/>
        </w:rPr>
        <w:t xml:space="preserve">45</w:t>
      </w:r>
      <w:r>
        <w:t xml:space="preserve"> (fuelling — Operational), </w:t>
      </w:r>
      <w:r>
        <w:rPr>
          <w:bCs/>
          <w:b/>
        </w:rPr>
        <w:t xml:space="preserve">90</w:t>
      </w:r>
      <w:r>
        <w:t xml:space="preserve"> (shovel breakdown — Equipment), </w:t>
      </w:r>
      <w:r>
        <w:rPr>
          <w:bCs/>
          <w:b/>
        </w:rPr>
        <w:t xml:space="preserve">66</w:t>
      </w:r>
      <w:r>
        <w:t xml:space="preserve"> (crusher backup — Process), </w:t>
      </w:r>
      <w:r>
        <w:rPr>
          <w:bCs/>
          <w:b/>
        </w:rPr>
        <w:t xml:space="preserve">84</w:t>
      </w:r>
      <w:r>
        <w:t xml:space="preserve"> (lightning stand-down — External), </w:t>
      </w:r>
      <w:r>
        <w:rPr>
          <w:bCs/>
          <w:b/>
        </w:rPr>
        <w:t xml:space="preserve">81</w:t>
      </w:r>
      <w:r>
        <w:t xml:space="preserve"> (no truck available — Standby). </w:t>
      </w:r>
      <w:r>
        <w:rPr>
          <w:rStyle w:val="VerbatimChar"/>
        </w:rPr>
        <w:t xml:space="preserve">delay_hours([120, 45, 90, 66, 84, 81])</w:t>
      </w:r>
      <w:r>
        <w:t xml:space="preserve"> → </w:t>
      </w:r>
      <w:r>
        <w:rPr>
          <w:bCs/>
          <w:b/>
        </w:rPr>
        <w:t xml:space="preserve">8.1 h</w:t>
      </w:r>
      <w:r>
        <w:t xml:space="preserve"> total (486 min ÷ 60). The Pareto immediately shows the planned blast dominates, followed by the shovel breakdown — the first is expected, the second is the recoverable target.</w:t>
      </w:r>
    </w:p>
    <w:p>
      <w:pPr>
        <w:pStyle w:val="BodyText"/>
      </w:pPr>
      <w:r>
        <w:rPr>
          <w:bCs/>
          <w:b/>
        </w:rPr>
        <w:t xml:space="preserve">Sample Dataset.</w:t>
      </w:r>
    </w:p>
    <w:tbl>
      <w:tblPr>
        <w:tblStyle w:val="Table"/>
        <w:tblW w:type="auto" w:w="0"/>
        <w:tblLook w:firstRow="1" w:lastRow="0" w:firstColumn="0" w:lastColumn="0" w:noHBand="0" w:noVBand="0" w:val="0020"/>
        <w:jc w:val="start"/>
      </w:tblPr>
      <w:tblGrid>
        <w:gridCol w:w="3960"/>
        <w:gridCol w:w="3960"/>
      </w:tblGrid>
      <w:tr>
        <w:trPr>
          <w:tblHeader w:val="true"/>
        </w:trPr>
        <w:tc>
          <w:tcPr/>
          <w:p>
            <w:pPr>
              <w:pStyle w:val="Compact"/>
              <w:jc w:val="left"/>
            </w:pPr>
            <w:r>
              <w:t xml:space="preserve">category</w:t>
            </w:r>
          </w:p>
        </w:tc>
        <w:tc>
          <w:tcPr/>
          <w:p>
            <w:pPr>
              <w:pStyle w:val="Compact"/>
              <w:jc w:val="left"/>
            </w:pPr>
            <w:r>
              <w:t xml:space="preserve">minutes</w:t>
            </w:r>
          </w:p>
        </w:tc>
      </w:tr>
      <w:tr>
        <w:tc>
          <w:tcPr/>
          <w:p>
            <w:pPr>
              <w:pStyle w:val="Compact"/>
              <w:jc w:val="left"/>
            </w:pPr>
            <w:r>
              <w:t xml:space="preserve">Scheduled (blast)</w:t>
            </w:r>
          </w:p>
        </w:tc>
        <w:tc>
          <w:tcPr/>
          <w:p>
            <w:pPr>
              <w:pStyle w:val="Compact"/>
              <w:jc w:val="left"/>
            </w:pPr>
            <w:r>
              <w:t xml:space="preserve">120</w:t>
            </w:r>
          </w:p>
        </w:tc>
      </w:tr>
      <w:tr>
        <w:tc>
          <w:tcPr/>
          <w:p>
            <w:pPr>
              <w:pStyle w:val="Compact"/>
              <w:jc w:val="left"/>
            </w:pPr>
            <w:r>
              <w:t xml:space="preserve">Standby (no truck)</w:t>
            </w:r>
          </w:p>
        </w:tc>
        <w:tc>
          <w:tcPr/>
          <w:p>
            <w:pPr>
              <w:pStyle w:val="Compact"/>
              <w:jc w:val="left"/>
            </w:pPr>
            <w:r>
              <w:t xml:space="preserve">81</w:t>
            </w:r>
          </w:p>
        </w:tc>
      </w:tr>
      <w:tr>
        <w:tc>
          <w:tcPr/>
          <w:p>
            <w:pPr>
              <w:pStyle w:val="Compact"/>
              <w:jc w:val="left"/>
            </w:pPr>
            <w:r>
              <w:t xml:space="preserve">Equipment (shovel)</w:t>
            </w:r>
          </w:p>
        </w:tc>
        <w:tc>
          <w:tcPr/>
          <w:p>
            <w:pPr>
              <w:pStyle w:val="Compact"/>
              <w:jc w:val="left"/>
            </w:pPr>
            <w:r>
              <w:t xml:space="preserve">90</w:t>
            </w:r>
          </w:p>
        </w:tc>
      </w:tr>
      <w:tr>
        <w:tc>
          <w:tcPr/>
          <w:p>
            <w:pPr>
              <w:pStyle w:val="Compact"/>
              <w:jc w:val="left"/>
            </w:pPr>
            <w:r>
              <w:t xml:space="preserve">External (lightning)</w:t>
            </w:r>
          </w:p>
        </w:tc>
        <w:tc>
          <w:tcPr/>
          <w:p>
            <w:pPr>
              <w:pStyle w:val="Compact"/>
              <w:jc w:val="left"/>
            </w:pPr>
            <w:r>
              <w:t xml:space="preserve">84</w:t>
            </w:r>
          </w:p>
        </w:tc>
      </w:tr>
      <w:tr>
        <w:tc>
          <w:tcPr/>
          <w:p>
            <w:pPr>
              <w:pStyle w:val="Compact"/>
              <w:jc w:val="left"/>
            </w:pPr>
            <w:r>
              <w:t xml:space="preserve">Process (crusher)</w:t>
            </w:r>
          </w:p>
        </w:tc>
        <w:tc>
          <w:tcPr/>
          <w:p>
            <w:pPr>
              <w:pStyle w:val="Compact"/>
              <w:jc w:val="left"/>
            </w:pPr>
            <w:r>
              <w:t xml:space="preserve">66</w:t>
            </w:r>
          </w:p>
        </w:tc>
      </w:tr>
      <w:tr>
        <w:tc>
          <w:tcPr/>
          <w:p>
            <w:pPr>
              <w:pStyle w:val="Compact"/>
              <w:jc w:val="left"/>
            </w:pPr>
            <w:r>
              <w:t xml:space="preserve">Operational (fuelling)</w:t>
            </w:r>
          </w:p>
        </w:tc>
        <w:tc>
          <w:tcPr/>
          <w:p>
            <w:pPr>
              <w:pStyle w:val="Compact"/>
              <w:jc w:val="left"/>
            </w:pPr>
            <w:r>
              <w:t xml:space="preserve">45</w:t>
            </w:r>
          </w:p>
        </w:tc>
      </w:tr>
      <w:tr>
        <w:tc>
          <w:tcPr/>
          <w:p>
            <w:pPr>
              <w:pStyle w:val="Compact"/>
              <w:jc w:val="left"/>
            </w:pPr>
            <w:r>
              <w:rPr>
                <w:bCs/>
                <w:b/>
              </w:rPr>
              <w:t xml:space="preserve">Total</w:t>
            </w:r>
          </w:p>
        </w:tc>
        <w:tc>
          <w:tcPr/>
          <w:p>
            <w:pPr>
              <w:pStyle w:val="Compact"/>
              <w:jc w:val="left"/>
            </w:pPr>
            <w:r>
              <w:rPr>
                <w:bCs/>
                <w:b/>
              </w:rPr>
              <w:t xml:space="preserve">486 → 8.1 h</w:t>
            </w:r>
          </w:p>
        </w:tc>
      </w:tr>
    </w:tbl>
    <w:p>
      <w:pPr>
        <w:pStyle w:val="BodyText"/>
      </w:pPr>
      <w:r>
        <w:rPr>
          <w:bCs/>
          <w:b/>
        </w:rPr>
        <w:t xml:space="preserve">Visualization.</w:t>
      </w:r>
      <w:r>
        <w:t xml:space="preserve"> The delay Pareto (below) — categories sorted descending with a cumulative line — is the canonical view; also a stacked delay-by-shift trend and a category share donut.</w:t>
      </w:r>
    </w:p>
    <w:p>
      <w:pPr>
        <w:pStyle w:val="CaptionedFigure"/>
      </w:pPr>
      <w:r>
        <w:drawing>
          <wp:inline>
            <wp:extent cx="5334000" cy="2546554"/>
            <wp:effectExtent b="0" l="0" r="0" t="0"/>
            <wp:docPr descr="Delay Pareto (example): lost hours by category, sorted descending with a cumulative line — the standard view that turns total delay into a ranked action list." title="" id="101" name="Picture"/>
            <a:graphic>
              <a:graphicData uri="http://schemas.openxmlformats.org/drawingml/2006/picture">
                <pic:pic>
                  <pic:nvPicPr>
                    <pic:cNvPr descr="/home/claude/p3figs/p3_viz_pareto.png" id="102" name="Picture"/>
                    <pic:cNvPicPr>
                      <a:picLocks noChangeArrowheads="1" noChangeAspect="1"/>
                    </pic:cNvPicPr>
                  </pic:nvPicPr>
                  <pic:blipFill>
                    <a:blip r:embed="rId100"/>
                    <a:stretch>
                      <a:fillRect/>
                    </a:stretch>
                  </pic:blipFill>
                  <pic:spPr bwMode="auto">
                    <a:xfrm>
                      <a:off x="0" y="0"/>
                      <a:ext cx="5334000" cy="2546554"/>
                    </a:xfrm>
                    <a:prstGeom prst="rect">
                      <a:avLst/>
                    </a:prstGeom>
                    <a:noFill/>
                    <a:ln w="9525">
                      <a:noFill/>
                      <a:headEnd/>
                      <a:tailEnd/>
                    </a:ln>
                  </pic:spPr>
                </pic:pic>
              </a:graphicData>
            </a:graphic>
          </wp:inline>
        </w:drawing>
      </w:r>
    </w:p>
    <w:p>
      <w:pPr>
        <w:pStyle w:val="ImageCaption"/>
      </w:pPr>
      <w:r>
        <w:t xml:space="preserve">Delay Pareto (example): lost hours by category, sorted descending with a cumulative line — the standard view that turns total delay into a ranked action list.</w:t>
      </w:r>
    </w:p>
    <w:p>
      <w:pPr>
        <w:pStyle w:val="BodyText"/>
      </w:pPr>
      <w:r>
        <w:rPr>
          <w:bCs/>
          <w:b/>
        </w:rPr>
        <w:t xml:space="preserve">Operational Interpretation.</w:t>
      </w:r>
      <w:r>
        <w:t xml:space="preserve"> Lower is better, but the total alone is inert — the </w:t>
      </w:r>
      <w:r>
        <w:rPr>
          <w:iCs/>
          <w:i/>
        </w:rPr>
        <w:t xml:space="preserve">category mix</w:t>
      </w:r>
      <w:r>
        <w:t xml:space="preserve"> is the message. A shift dominated by Scheduled delay (planned blasts) is healthy; the same total dominated by Equipment or Standby is a problem. </w:t>
      </w:r>
      <w:r>
        <w:rPr>
          <w:iCs/>
          <w:i/>
        </w:rPr>
        <w:t xml:space="preserve">Excellent</w:t>
      </w:r>
      <w:r>
        <w:t xml:space="preserve"> = low total, mix dominated by unavoidable scheduled events; </w:t>
      </w:r>
      <w:r>
        <w:rPr>
          <w:iCs/>
          <w:i/>
        </w:rPr>
        <w:t xml:space="preserve">Critical</w:t>
      </w:r>
      <w:r>
        <w:t xml:space="preserve"> = high total driven by Standby (dispatch imbalance) or Equipment (reliability).</w:t>
      </w:r>
    </w:p>
    <w:p>
      <w:pPr>
        <w:pStyle w:val="BodyText"/>
      </w:pPr>
      <w:r>
        <w:rPr>
          <w:bCs/>
          <w:b/>
        </w:rPr>
        <w:t xml:space="preserve">Common Mistakes.</w:t>
      </w:r>
      <w:r>
        <w:t xml:space="preserve"> Reporting total delay without categories (a number no one can action); letting categories overlap so the same minute is double-counted (violates MECE — see Canonical Semantics); mixing scheduled and unplanned delay into one “downtime” bucket; recording delays in inconsistent units across sites.</w:t>
      </w:r>
    </w:p>
    <w:p>
      <w:pPr>
        <w:pStyle w:val="BodyText"/>
      </w:pPr>
      <w:r>
        <w:rPr>
          <w:bCs/>
          <w:b/>
        </w:rPr>
        <w:t xml:space="preserve">Validation Rules.</w:t>
      </w:r>
      <w:r>
        <w:t xml:space="preserve"> every duration ≥ 0; each </w:t>
      </w:r>
      <w:r>
        <w:rPr>
          <w:rStyle w:val="VerbatimChar"/>
        </w:rPr>
        <w:t xml:space="preserve">DelayEvent</w:t>
      </w:r>
      <w:r>
        <w:t xml:space="preserve"> carries exactly one category from the canonical six; category total equals the ungrouped total (MECE check); delay hours ≤ calendar hours for the dimension.</w:t>
      </w:r>
    </w:p>
    <w:p>
      <w:pPr>
        <w:pStyle w:val="BodyText"/>
      </w:pPr>
      <w:r>
        <w:rPr>
          <w:bCs/>
          <w:b/>
        </w:rPr>
        <w:t xml:space="preserve">Unit Tests.</w:t>
      </w:r>
    </w:p>
    <w:p>
      <w:pPr>
        <w:pStyle w:val="SourceCode"/>
      </w:pPr>
      <w:r>
        <w:rPr>
          <w:rStyle w:val="ImportTok"/>
        </w:rPr>
        <w:t xml:space="preserve">from</w:t>
      </w:r>
      <w:r>
        <w:rPr>
          <w:rStyle w:val="NormalTok"/>
        </w:rPr>
        <w:t xml:space="preserve"> mp_kpis_p3 </w:t>
      </w:r>
      <w:r>
        <w:rPr>
          <w:rStyle w:val="ImportTok"/>
        </w:rPr>
        <w:t xml:space="preserve">import</w:t>
      </w:r>
      <w:r>
        <w:rPr>
          <w:rStyle w:val="NormalTok"/>
        </w:rPr>
        <w:t xml:space="preserve"> delay_hours</w:t>
      </w:r>
      <w:r>
        <w:br/>
        <w:br/>
      </w:r>
      <w:r>
        <w:rPr>
          <w:rStyle w:val="KeywordTok"/>
        </w:rPr>
        <w:t xml:space="preserve">def</w:t>
      </w:r>
      <w:r>
        <w:rPr>
          <w:rStyle w:val="NormalTok"/>
        </w:rPr>
        <w:t xml:space="preserve"> test_delay_hours_canonical():</w:t>
      </w:r>
      <w:r>
        <w:br/>
      </w:r>
      <w:r>
        <w:rPr>
          <w:rStyle w:val="NormalTok"/>
        </w:rPr>
        <w:t xml:space="preserve">    mins </w:t>
      </w:r>
      <w:r>
        <w:rPr>
          <w:rStyle w:val="OperatorTok"/>
        </w:rPr>
        <w:t xml:space="preserve">=</w:t>
      </w:r>
      <w:r>
        <w:rPr>
          <w:rStyle w:val="NormalTok"/>
        </w:rPr>
        <w:t xml:space="preserve"> [</w:t>
      </w:r>
      <w:r>
        <w:rPr>
          <w:rStyle w:val="DecValTok"/>
        </w:rPr>
        <w:t xml:space="preserve">120</w:t>
      </w:r>
      <w:r>
        <w:rPr>
          <w:rStyle w:val="NormalTok"/>
        </w:rPr>
        <w:t xml:space="preserve">, </w:t>
      </w:r>
      <w:r>
        <w:rPr>
          <w:rStyle w:val="DecValTok"/>
        </w:rPr>
        <w:t xml:space="preserve">45</w:t>
      </w:r>
      <w:r>
        <w:rPr>
          <w:rStyle w:val="NormalTok"/>
        </w:rPr>
        <w:t xml:space="preserve">, </w:t>
      </w:r>
      <w:r>
        <w:rPr>
          <w:rStyle w:val="DecValTok"/>
        </w:rPr>
        <w:t xml:space="preserve">90</w:t>
      </w:r>
      <w:r>
        <w:rPr>
          <w:rStyle w:val="NormalTok"/>
        </w:rPr>
        <w:t xml:space="preserve">, </w:t>
      </w:r>
      <w:r>
        <w:rPr>
          <w:rStyle w:val="DecValTok"/>
        </w:rPr>
        <w:t xml:space="preserve">66</w:t>
      </w:r>
      <w:r>
        <w:rPr>
          <w:rStyle w:val="NormalTok"/>
        </w:rPr>
        <w:t xml:space="preserve">, </w:t>
      </w:r>
      <w:r>
        <w:rPr>
          <w:rStyle w:val="DecValTok"/>
        </w:rPr>
        <w:t xml:space="preserve">84</w:t>
      </w:r>
      <w:r>
        <w:rPr>
          <w:rStyle w:val="NormalTok"/>
        </w:rPr>
        <w:t xml:space="preserve">, </w:t>
      </w:r>
      <w:r>
        <w:rPr>
          <w:rStyle w:val="DecValTok"/>
        </w:rPr>
        <w:t xml:space="preserve">81</w:t>
      </w:r>
      <w:r>
        <w:rPr>
          <w:rStyle w:val="NormalTok"/>
        </w:rPr>
        <w:t xml:space="preserve">]</w:t>
      </w:r>
      <w:r>
        <w:br/>
      </w:r>
      <w:r>
        <w:rPr>
          <w:rStyle w:val="NormalTok"/>
        </w:rPr>
        <w:t xml:space="preserve">    </w:t>
      </w:r>
      <w:r>
        <w:rPr>
          <w:rStyle w:val="ControlFlowTok"/>
        </w:rPr>
        <w:t xml:space="preserve">assert</w:t>
      </w:r>
      <w:r>
        <w:rPr>
          <w:rStyle w:val="NormalTok"/>
        </w:rPr>
        <w:t xml:space="preserve"> </w:t>
      </w:r>
      <w:r>
        <w:rPr>
          <w:rStyle w:val="BuiltInTok"/>
        </w:rPr>
        <w:t xml:space="preserve">round</w:t>
      </w:r>
      <w:r>
        <w:rPr>
          <w:rStyle w:val="NormalTok"/>
        </w:rPr>
        <w:t xml:space="preserve">(delay_hours(mins), </w:t>
      </w:r>
      <w:r>
        <w:rPr>
          <w:rStyle w:val="DecValTok"/>
        </w:rPr>
        <w:t xml:space="preserve">1</w:t>
      </w:r>
      <w:r>
        <w:rPr>
          <w:rStyle w:val="NormalTok"/>
        </w:rPr>
        <w:t xml:space="preserve">) </w:t>
      </w:r>
      <w:r>
        <w:rPr>
          <w:rStyle w:val="OperatorTok"/>
        </w:rPr>
        <w:t xml:space="preserve">==</w:t>
      </w:r>
      <w:r>
        <w:rPr>
          <w:rStyle w:val="NormalTok"/>
        </w:rPr>
        <w:t xml:space="preserve"> </w:t>
      </w:r>
      <w:r>
        <w:rPr>
          <w:rStyle w:val="FloatTok"/>
        </w:rPr>
        <w:t xml:space="preserve">8.1</w:t>
      </w:r>
      <w:r>
        <w:br/>
        <w:br/>
      </w:r>
      <w:r>
        <w:rPr>
          <w:rStyle w:val="KeywordTok"/>
        </w:rPr>
        <w:t xml:space="preserve">def</w:t>
      </w:r>
      <w:r>
        <w:rPr>
          <w:rStyle w:val="NormalTok"/>
        </w:rPr>
        <w:t xml:space="preserve"> test_delay_hours_empty_is_zero():</w:t>
      </w:r>
      <w:r>
        <w:br/>
      </w:r>
      <w:r>
        <w:rPr>
          <w:rStyle w:val="NormalTok"/>
        </w:rPr>
        <w:t xml:space="preserve">    </w:t>
      </w:r>
      <w:r>
        <w:rPr>
          <w:rStyle w:val="ControlFlowTok"/>
        </w:rPr>
        <w:t xml:space="preserve">assert</w:t>
      </w:r>
      <w:r>
        <w:rPr>
          <w:rStyle w:val="NormalTok"/>
        </w:rPr>
        <w:t xml:space="preserve"> delay_hours([]) </w:t>
      </w:r>
      <w:r>
        <w:rPr>
          <w:rStyle w:val="OperatorTok"/>
        </w:rPr>
        <w:t xml:space="preserve">==</w:t>
      </w:r>
      <w:r>
        <w:rPr>
          <w:rStyle w:val="NormalTok"/>
        </w:rPr>
        <w:t xml:space="preserve"> </w:t>
      </w:r>
      <w:r>
        <w:rPr>
          <w:rStyle w:val="FloatTok"/>
        </w:rPr>
        <w:t xml:space="preserve">0.0</w:t>
      </w:r>
    </w:p>
    <w:p>
      <w:pPr>
        <w:pStyle w:val="FirstParagraph"/>
      </w:pPr>
      <w:r>
        <w:rPr>
          <w:bCs/>
          <w:b/>
        </w:rPr>
        <w:t xml:space="preserve">Performance Considerations.</w:t>
      </w:r>
      <w:r>
        <w:t xml:space="preserve"> O(n) in the number of delay events — trivial per asset, but fleet-wide over a month it is millions of rows; pre-aggregate to (asset, category, day) in the event store. </w:t>
      </w:r>
      <w:r>
        <w:rPr>
          <w:bCs/>
          <w:b/>
        </w:rPr>
        <w:t xml:space="preserve">Edge Cases.</w:t>
      </w:r>
      <w:r>
        <w:t xml:space="preserve"> Overlapping delays on one asset (two systems logging the same stop) must be de-duplicated before summing; an open delay at window end is censored. </w:t>
      </w:r>
      <w:r>
        <w:rPr>
          <w:bCs/>
          <w:b/>
        </w:rPr>
        <w:t xml:space="preserve">AI Contributor Notes.</w:t>
      </w:r>
      <w:r>
        <w:t xml:space="preserve"> Lagging/operational, and the richest root-cause surface in the library. An agent’s correct first move is </w:t>
      </w:r>
      <w:r>
        <w:rPr>
          <w:iCs/>
          <w:i/>
        </w:rPr>
        <w:t xml:space="preserve">always</w:t>
      </w:r>
      <w:r>
        <w:t xml:space="preserve"> the categorised Pareto, never the scalar total — the top one or two categories are the recommendation. </w:t>
      </w:r>
      <w:r>
        <w:rPr>
          <w:bCs/>
          <w:b/>
        </w:rPr>
        <w:t xml:space="preserve">Digital Twin Mapping.</w:t>
      </w:r>
      <w:r>
        <w:t xml:space="preserve"> The twin maintains live delay accumulation per asset and category, flagging Standby spikes (a dispatch-balance signal) in real time. </w:t>
      </w:r>
      <w:r>
        <w:rPr>
          <w:bCs/>
          <w:b/>
        </w:rPr>
        <w:t xml:space="preserve">Decision Intelligence Mapping.</w:t>
      </w:r>
      <w:r>
        <w:t xml:space="preserve"> The dominant delay category routes the action: Equipment→maintenance, Standby→dispatch rebalancing, Process→plant, External→nothing (accept). </w:t>
      </w:r>
      <w:r>
        <w:rPr>
          <w:bCs/>
          <w:b/>
        </w:rPr>
        <w:t xml:space="preserve">Related KPIs.</w:t>
      </w:r>
      <w:r>
        <w:t xml:space="preserve"> </w:t>
      </w:r>
      <w:r>
        <w:rPr>
          <w:rStyle w:val="VerbatimChar"/>
        </w:rPr>
        <w:t xml:space="preserve">UTIL.UA</w:t>
      </w:r>
      <w:r>
        <w:t xml:space="preserve">, </w:t>
      </w:r>
      <w:r>
        <w:rPr>
          <w:rStyle w:val="VerbatimChar"/>
        </w:rPr>
        <w:t xml:space="preserve">UTIL.PA</w:t>
      </w:r>
      <w:r>
        <w:t xml:space="preserve">, </w:t>
      </w:r>
      <w:r>
        <w:rPr>
          <w:rStyle w:val="VerbatimChar"/>
        </w:rPr>
        <w:t xml:space="preserve">HAUL.MatchFactor</w:t>
      </w:r>
      <w:r>
        <w:t xml:space="preserve"> (Standby delay is often a match-factor symptom), </w:t>
      </w:r>
      <w:r>
        <w:rPr>
          <w:rStyle w:val="VerbatimChar"/>
        </w:rPr>
        <w:t xml:space="preserve">MAINT.MTBF</w:t>
      </w:r>
      <w:r>
        <w:t xml:space="preserve">. </w:t>
      </w:r>
      <w:r>
        <w:rPr>
          <w:bCs/>
          <w:b/>
        </w:rPr>
        <w:t xml:space="preserve">References.</w:t>
      </w:r>
      <w:r>
        <w:t xml:space="preserve"> Canonical Semantics (the six-category delay ruling); Master Architecture Handbook, event ontology.</w:t>
      </w:r>
    </w:p>
    <w:bookmarkEnd w:id="103"/>
    <w:bookmarkEnd w:id="104"/>
    <w:bookmarkStart w:id="105" w:name="summary-delay-dispatch"/>
    <w:p>
      <w:pPr>
        <w:pStyle w:val="Heading2"/>
      </w:pPr>
      <w:bookmarkStart w:id="900054" w:name="_TocMP900054"/>
      <w:r>
        <w:t xml:space="preserve">Summary — Delay &amp; Dispatch</w:t>
      </w:r>
      <w:bookmarkEnd w:id="900054"/>
    </w:p>
    <w:p>
      <w:pPr>
        <w:pStyle w:val="FirstParagraph"/>
      </w:pPr>
      <w:r>
        <w:rPr>
          <w:rStyle w:val="VerbatimChar"/>
        </w:rPr>
        <w:t xml:space="preserve">DELAY.Hours</w:t>
      </w:r>
      <w:r>
        <w:t xml:space="preserve"> converts lost time into attributable, additive hours; categorised against the canonical six, it becomes the most actionable production report on the mine. The scalar total is never the point — the Pareto is. Dispatch KPIs build directly on this categorised foundation.</w:t>
      </w:r>
    </w:p>
    <w:bookmarkEnd w:id="105"/>
    <w:bookmarkStart w:id="106" w:name="further-reading-7"/>
    <w:p>
      <w:pPr>
        <w:pStyle w:val="Heading2"/>
      </w:pPr>
      <w:bookmarkStart w:id="900055" w:name="_TocMP900055"/>
      <w:r>
        <w:t xml:space="preserve">Further Reading</w:t>
      </w:r>
      <w:bookmarkEnd w:id="900055"/>
    </w:p>
    <w:p>
      <w:pPr>
        <w:pStyle w:val="FirstParagraph"/>
      </w:pPr>
      <w:r>
        <w:t xml:space="preserve">Canonical Semantics (delay categories); </w:t>
      </w:r>
      <w:r>
        <w:rPr>
          <w:rStyle w:val="VerbatimChar"/>
        </w:rPr>
        <w:t xml:space="preserve">UTIL.UA</w:t>
      </w:r>
      <w:r>
        <w:t xml:space="preserve"> (the same loss as a rate); </w:t>
      </w:r>
      <w:r>
        <w:rPr>
          <w:rStyle w:val="VerbatimChar"/>
        </w:rPr>
        <w:t xml:space="preserve">HAUL.MatchFactor</w:t>
      </w:r>
      <w:r>
        <w:t xml:space="preserve"> (the cause behind most Standby delay). Next: </w:t>
      </w:r>
      <w:r>
        <w:rPr>
          <w:bCs/>
          <w:b/>
        </w:rPr>
        <w:t xml:space="preserve">Energy &amp; Carbon KPIs</w:t>
      </w:r>
      <w:r>
        <w:t xml:space="preserve">.</w:t>
      </w:r>
    </w:p>
    <w:p>
      <w:r>
        <w:br w:type="page"/>
      </w:r>
    </w:p>
    <w:bookmarkEnd w:id="106"/>
    <w:bookmarkStart w:id="109" w:name="energy-carbon-kpis"/>
    <w:p>
      <w:pPr>
        <w:pStyle w:val="Heading2"/>
      </w:pPr>
      <w:bookmarkStart w:id="900056" w:name="_TocMP900056"/>
      <w:r>
        <w:t xml:space="preserve">Energy &amp; Carbon KPIs</w:t>
      </w:r>
      <w:bookmarkEnd w:id="900056"/>
    </w:p>
    <w:p>
      <w:pPr>
        <w:pStyle w:val="FirstParagraph"/>
      </w:pPr>
      <w:r>
        <w:t xml:space="preserve">Diesel is one of the largest controllable costs on a mine and the dominant source of its Scope-1 emissions — so energy and carbon KPIs are, uniquely, cost KPIs, ESG KPIs, and operational-efficiency KPIs at once. The </w:t>
      </w:r>
      <w:r>
        <w:rPr>
          <w:rStyle w:val="VerbatimChar"/>
        </w:rPr>
        <w:t xml:space="preserve">ENERGY</w:t>
      </w:r>
      <w:r>
        <w:t xml:space="preserve"> and </w:t>
      </w:r>
      <w:r>
        <w:rPr>
          <w:rStyle w:val="VerbatimChar"/>
        </w:rPr>
        <w:t xml:space="preserve">CARBON</w:t>
      </w:r>
      <w:r>
        <w:t xml:space="preserve"> categories express consumption </w:t>
      </w:r>
      <w:r>
        <w:rPr>
          <w:iCs/>
          <w:i/>
        </w:rPr>
        <w:t xml:space="preserve">per unit of useful output</w:t>
      </w:r>
      <w:r>
        <w:t xml:space="preserve">, making them comparable across trucks, fleets, and mines regardless of scale. This intensity framing is what lets a 200-tonne truck and a 90-tonne truck be judged on the same axis, and what connects a haulage decision directly to a corporate emissions target.</w:t>
      </w:r>
    </w:p>
    <w:p>
      <w:pPr>
        <w:pStyle w:val="LearningObjectives"/>
      </w:pPr>
      <w:r>
        <w:rPr>
          <w:bCs/>
          <w:b/>
        </w:rPr>
        <w:t xml:space="preserve">Learning Objectives.</w:t>
      </w:r>
      <w:r>
        <w:t xml:space="preserve"> After this section you will be able to: compute diesel intensity per tonne moved; convert fuel consumption to Scope-1 CO₂e intensity with a documented emission factor; and explain why intensity, not total consumption, is the comparable and decision-ready form.</w:t>
      </w:r>
    </w:p>
    <w:p>
      <w:pPr>
        <w:pStyle w:val="DigitalTwinInsight"/>
      </w:pPr>
      <w:r>
        <w:rPr>
          <w:bCs/>
          <w:b/>
        </w:rPr>
        <w:t xml:space="preserve">Digital Twin Insight — the same fuel litre, two lenses.</w:t>
      </w:r>
      <w:r>
        <w:t xml:space="preserve"> A single fuelling </w:t>
      </w:r>
      <w:r>
        <w:rPr>
          <w:rStyle w:val="VerbatimChar"/>
        </w:rPr>
        <w:t xml:space="preserve">ConsumptionEvent</w:t>
      </w:r>
      <w:r>
        <w:t xml:space="preserve"> feeds both </w:t>
      </w:r>
      <w:r>
        <w:rPr>
          <w:rStyle w:val="VerbatimChar"/>
        </w:rPr>
        <w:t xml:space="preserve">ENERGY.FuelPerTonne</w:t>
      </w:r>
      <w:r>
        <w:t xml:space="preserve"> (a cost/efficiency lens) and </w:t>
      </w:r>
      <w:r>
        <w:rPr>
          <w:rStyle w:val="VerbatimChar"/>
        </w:rPr>
        <w:t xml:space="preserve">CARBON.CO2PerTonne</w:t>
      </w:r>
      <w:r>
        <w:t xml:space="preserve"> (an ESG lens) through a fixed emission factor. In the twin they are the same physical fact viewed twice — which is why a fuel-saving haulage change and a decarbonisation win are literally the same action, and the twin reports both from one measurement.</w:t>
      </w:r>
    </w:p>
    <w:bookmarkStart w:id="107" w:name="energy.fuelpertonne-fuel-per-tonne"/>
    <w:p>
      <w:pPr>
        <w:pStyle w:val="Heading3"/>
      </w:pPr>
      <w:bookmarkStart w:id="900057" w:name="_TocMP900057"/>
      <w:r>
        <w:t xml:space="preserve">ENERGY.FuelPerTonne — Fuel Per Tonne</w:t>
      </w:r>
      <w:bookmarkEnd w:id="900057"/>
    </w:p>
    <w:p>
      <w:pPr>
        <w:pStyle w:val="FirstParagraph"/>
      </w:pPr>
      <w:r>
        <w:rPr>
          <w:bCs/>
          <w:b/>
        </w:rPr>
        <w:t xml:space="preserve">Identifier.</w:t>
      </w:r>
      <w:r>
        <w:t xml:space="preserve"> </w:t>
      </w:r>
      <w:r>
        <w:rPr>
          <w:rStyle w:val="VerbatimChar"/>
        </w:rPr>
        <w:t xml:space="preserve">ENERGY.FuelPerTonne</w:t>
      </w:r>
      <w:r>
        <w:t xml:space="preserve"> · </w:t>
      </w:r>
      <w:r>
        <w:rPr>
          <w:bCs/>
          <w:b/>
        </w:rPr>
        <w:t xml:space="preserve">Official Name.</w:t>
      </w:r>
      <w:r>
        <w:t xml:space="preserve"> Fuel Per Tonne · </w:t>
      </w:r>
      <w:r>
        <w:rPr>
          <w:bCs/>
          <w:b/>
        </w:rPr>
        <w:t xml:space="preserve">Status.</w:t>
      </w:r>
      <w:r>
        <w:t xml:space="preserve"> Active · </w:t>
      </w:r>
      <w:r>
        <w:rPr>
          <w:bCs/>
          <w:b/>
        </w:rPr>
        <w:t xml:space="preserve">Version.</w:t>
      </w:r>
      <w:r>
        <w:t xml:space="preserve"> 1.0.0 · </w:t>
      </w:r>
      <w:r>
        <w:rPr>
          <w:bCs/>
          <w:b/>
        </w:rPr>
        <w:t xml:space="preserve">Aliases.</w:t>
      </w:r>
      <w:r>
        <w:t xml:space="preserve"> </w:t>
      </w:r>
      <w:r>
        <w:rPr>
          <w:rStyle w:val="VerbatimChar"/>
        </w:rPr>
        <w:t xml:space="preserve">ENERGY.FuelPerTon</w:t>
      </w:r>
      <w:r>
        <w:t xml:space="preserve"> </w:t>
      </w:r>
      <w:r>
        <w:rPr>
          <w:iCs/>
          <w:i/>
        </w:rPr>
        <w:t xml:space="preserve">(deprecated spelling — see note)</w:t>
      </w:r>
    </w:p>
    <w:p>
      <w:pPr>
        <w:pStyle w:val="BodyText"/>
      </w:pPr>
      <w:r>
        <w:rPr>
          <w:bCs/>
          <w:b/>
        </w:rPr>
        <w:t xml:space="preserve">Business Purpose.</w:t>
      </w:r>
      <w:r>
        <w:t xml:space="preserve"> Fuel per tonne expresses the diesel intensity of haulage — litres burned per tonne of material moved. It exists to make fuel efficiency comparable across differently-sized equipment and to connect operating decisions (routes, speeds, payloads, idling) to a controllable cost.</w:t>
      </w:r>
    </w:p>
    <w:p>
      <w:pPr>
        <w:pStyle w:val="BodyText"/>
      </w:pPr>
      <w:r>
        <w:rPr>
          <w:bCs/>
          <w:b/>
        </w:rPr>
        <w:t xml:space="preserve">Operational Question.</w:t>
      </w:r>
      <w:r>
        <w:t xml:space="preserve"> </w:t>
      </w:r>
      <w:r>
        <w:rPr>
          <w:iCs/>
          <w:i/>
        </w:rPr>
        <w:t xml:space="preserve">How much diesel does it cost, per tonne, to move this material?</w:t>
      </w:r>
    </w:p>
    <w:p>
      <w:pPr>
        <w:pStyle w:val="BodyText"/>
      </w:pPr>
      <w:r>
        <w:rPr>
          <w:bCs/>
          <w:b/>
        </w:rPr>
        <w:t xml:space="preserve">Business Meaning.</w:t>
      </w:r>
      <w:r>
        <w:t xml:space="preserve"> Rising fuel-per-tonne with unchanged haul profiles signals recoverable waste — excessive idling, under-loading, poor road condition, or route inefficiency. Because it is normalised by output, it is comparable where raw litres are not: a bigger truck burns more diesel but should move proportionally more tonnes, leaving intensity flat.</w:t>
      </w:r>
    </w:p>
    <w:p>
      <w:pPr>
        <w:pStyle w:val="Warning"/>
      </w:pPr>
      <w:r>
        <w:rPr>
          <w:bCs/>
          <w:b/>
        </w:rPr>
        <w:t xml:space="preserve">Warning — deprecated alias.</w:t>
      </w:r>
      <w:r>
        <w:t xml:space="preserve"> The name </w:t>
      </w:r>
      <w:r>
        <w:rPr>
          <w:rStyle w:val="VerbatimChar"/>
        </w:rPr>
        <w:t xml:space="preserve">ENERGY.FuelPerTon</w:t>
      </w:r>
      <w:r>
        <w:t xml:space="preserve"> (imperial “ton”) is </w:t>
      </w:r>
      <w:r>
        <w:rPr>
          <w:bCs/>
          <w:b/>
        </w:rPr>
        <w:t xml:space="preserve">deprecated</w:t>
      </w:r>
      <w:r>
        <w:t xml:space="preserve"> in favour of </w:t>
      </w:r>
      <w:r>
        <w:rPr>
          <w:rStyle w:val="VerbatimChar"/>
        </w:rPr>
        <w:t xml:space="preserve">ENERGY.FuelPerTonne</w:t>
      </w:r>
      <w:r>
        <w:t xml:space="preserve"> (metric tonne), the project’s canonical unit basis. The alias resolves to the same implementation for backward compatibility, but new code, dashboards, and datasets must use </w:t>
      </w:r>
      <w:r>
        <w:rPr>
          <w:rStyle w:val="VerbatimChar"/>
        </w:rPr>
        <w:t xml:space="preserve">ENERGY.FuelPerTonne</w:t>
      </w:r>
      <w:r>
        <w:t>. Mixing “ton” and “tonne” silently introduces a 10.2% error.</w:t>
      </w:r>
    </w:p>
    <w:p>
      <w:pPr>
        <w:pStyle w:val="BodyText"/>
      </w:pPr>
      <w:r>
        <w:rPr>
          <w:bCs/>
          <w:b/>
        </w:rPr>
        <w:t xml:space="preserve">Formula.</w:t>
      </w:r>
    </w:p>
    <w:p>
      <w:pPr>
        <w:pStyle w:val="SourceCode"/>
      </w:pPr>
      <w:r>
        <w:rPr>
          <w:rStyle w:val="VerbatimChar"/>
        </w:rPr>
        <w:t xml:space="preserve">ENERGY.FuelPerTonne  =  Litres of diesel  ÷  Tonnes moved          [L/t]</w:t>
      </w:r>
    </w:p>
    <w:p>
      <w:pPr>
        <w:pStyle w:val="FirstParagraph"/>
      </w:pPr>
      <w:r>
        <w:rPr>
          <w:bCs/>
          <w:b/>
        </w:rPr>
        <w:t xml:space="preserve">Units.</w:t>
      </w:r>
      <w:r>
        <w:t xml:space="preserve"> Litres per tonne (L/t). </w:t>
      </w:r>
      <w:r>
        <w:rPr>
          <w:bCs/>
          <w:b/>
        </w:rPr>
        <w:t xml:space="preserve">Dimensions.</w:t>
      </w:r>
      <w:r>
        <w:t xml:space="preserve"> Equipment, Fleet, Route, Pit, Material, Shift, Day, Month, Mine, Contractor.</w:t>
      </w:r>
    </w:p>
    <w:p>
      <w:pPr>
        <w:pStyle w:val="BodyText"/>
      </w:pPr>
      <w:r>
        <w:rPr>
          <w:bCs/>
          <w:b/>
        </w:rPr>
        <w:t xml:space="preserve">Required Events.</w:t>
      </w:r>
      <w:r>
        <w:t xml:space="preserve"> </w:t>
      </w:r>
      <w:r>
        <w:rPr>
          <w:rStyle w:val="VerbatimChar"/>
        </w:rPr>
        <w:t xml:space="preserve">ConsumptionEvent</w:t>
      </w:r>
      <w:r>
        <w:t xml:space="preserve"> (fuel dispensed/burned) and </w:t>
      </w:r>
      <w:r>
        <w:rPr>
          <w:rStyle w:val="VerbatimChar"/>
        </w:rPr>
        <w:t xml:space="preserve">CycleEvent</w:t>
      </w:r>
      <w:r>
        <w:t xml:space="preserve"> (tonnes moved, via payload). </w:t>
      </w:r>
      <w:r>
        <w:rPr>
          <w:bCs/>
          <w:b/>
        </w:rPr>
        <w:t xml:space="preserve">Required Ontology.</w:t>
      </w:r>
      <w:r>
        <w:t xml:space="preserve"> Equipment, Material, Route/Destination, Mine. </w:t>
      </w:r>
      <w:r>
        <w:rPr>
          <w:bCs/>
          <w:b/>
        </w:rPr>
        <w:t xml:space="preserve">Dependencies.</w:t>
      </w:r>
      <w:r>
        <w:t xml:space="preserve"> A tonnage basis consistent with </w:t>
      </w:r>
      <w:r>
        <w:rPr>
          <w:rStyle w:val="VerbatimChar"/>
        </w:rPr>
        <w:t xml:space="preserve">PROD.TPH</w:t>
      </w:r>
      <w:r>
        <w:t xml:space="preserve">/</w:t>
      </w:r>
      <w:r>
        <w:rPr>
          <w:rStyle w:val="VerbatimChar"/>
        </w:rPr>
        <w:t xml:space="preserve">HAUL.TonKm</w:t>
      </w:r>
      <w:r>
        <w:t xml:space="preserve"> (same payload source); a fuel-measurement basis (bowser dispense vs telemetry burn) declared and held constant.</w:t>
      </w:r>
    </w:p>
    <w:p>
      <w:pPr>
        <w:pStyle w:val="BodyText"/>
      </w:pPr>
      <w:r>
        <w:rPr>
          <w:bCs/>
          <w:b/>
        </w:rPr>
        <w:t xml:space="preserve">Mathematical Properties.</w:t>
      </w:r>
      <w:r>
        <w:t xml:space="preserve"> A ratio (intensity); not additive. Aggregate by pooling litres and tonnes, never by averaging intensities. Rolling and cumulative windows meaningful; weighted average (by tonnes) across assets.</w:t>
      </w:r>
    </w:p>
    <w:p>
      <w:pPr>
        <w:pStyle w:val="BodyText"/>
      </w:pPr>
      <w:r>
        <w:rPr>
          <w:bCs/>
          <w:b/>
        </w:rPr>
        <w:t xml:space="preserve">Calculation Logic.</w:t>
      </w:r>
      <w:r>
        <w:t xml:space="preserve"> (1) Sum diesel over the window from </w:t>
      </w:r>
      <w:r>
        <w:rPr>
          <w:rStyle w:val="VerbatimChar"/>
        </w:rPr>
        <w:t xml:space="preserve">ConsumptionEvent</w:t>
      </w:r>
      <w:r>
        <w:t xml:space="preserve">. (2) Sum tonnes moved over the </w:t>
      </w:r>
      <w:r>
        <w:rPr>
          <w:iCs/>
          <w:i/>
        </w:rPr>
        <w:t xml:space="preserve">same</w:t>
      </w:r>
      <w:r>
        <w:t xml:space="preserve"> scope and window. (3) Divide. Keep the two sums on identical scope — mismatched fuel and tonnage windows are the most common error.</w:t>
      </w:r>
    </w:p>
    <w:p>
      <w:pPr>
        <w:pStyle w:val="BodyText"/>
      </w:pPr>
      <w:r>
        <w:rPr>
          <w:bCs/>
          <w:b/>
        </w:rPr>
        <w:t xml:space="preserve">Python Implementation.</w:t>
      </w:r>
    </w:p>
    <w:p>
      <w:pPr>
        <w:pStyle w:val="SourceCode"/>
      </w:pPr>
      <w:r>
        <w:rPr>
          <w:rStyle w:val="KeywordTok"/>
        </w:rPr>
        <w:t xml:space="preserve">def</w:t>
      </w:r>
      <w:r>
        <w:rPr>
          <w:rStyle w:val="NormalTok"/>
        </w:rPr>
        <w:t xml:space="preserve"> fuel_per_tonne(litres: </w:t>
      </w:r>
      <w:r>
        <w:rPr>
          <w:rStyle w:val="BuiltInTok"/>
        </w:rPr>
        <w:t xml:space="preserve">float</w:t>
      </w:r>
      <w:r>
        <w:rPr>
          <w:rStyle w:val="NormalTok"/>
        </w:rPr>
        <w:t xml:space="preserve">, tonnes: </w:t>
      </w:r>
      <w:r>
        <w:rPr>
          <w:rStyle w:val="BuiltInTok"/>
        </w:rPr>
        <w:t xml:space="preserve">float</w:t>
      </w:r>
      <w:r>
        <w:rPr>
          <w:rStyle w:val="NormalTok"/>
        </w:rPr>
        <w:t xml:space="preserve">) </w:t>
      </w:r>
      <w:r>
        <w:rPr>
          <w:rStyle w:val="OperatorTok"/>
        </w:rPr>
        <w:t xml:space="preserve">-&gt;</w:t>
      </w:r>
      <w:r>
        <w:rPr>
          <w:rStyle w:val="NormalTok"/>
        </w:rPr>
        <w:t xml:space="preserve"> </w:t>
      </w:r>
      <w:r>
        <w:rPr>
          <w:rStyle w:val="BuiltInTok"/>
        </w:rPr>
        <w:t xml:space="preserve">float</w:t>
      </w:r>
      <w:r>
        <w:rPr>
          <w:rStyle w:val="NormalTok"/>
        </w:rPr>
        <w:t xml:space="preserve">:</w:t>
      </w:r>
      <w:r>
        <w:br/>
      </w:r>
      <w:r>
        <w:rPr>
          <w:rStyle w:val="NormalTok"/>
        </w:rPr>
        <w:t xml:space="preserve">    </w:t>
      </w:r>
      <w:r>
        <w:rPr>
          <w:rStyle w:val="CommentTok"/>
        </w:rPr>
        <w:t xml:space="preserve">"""ENERGY.FuelPerTonne — diesel intensity of haulage (L/t)."""</w:t>
      </w:r>
      <w:r>
        <w:br/>
      </w:r>
      <w:r>
        <w:rPr>
          <w:rStyle w:val="NormalTok"/>
        </w:rPr>
        <w:t xml:space="preserve">    </w:t>
      </w:r>
      <w:r>
        <w:rPr>
          <w:rStyle w:val="ControlFlowTok"/>
        </w:rPr>
        <w:t xml:space="preserve">if</w:t>
      </w:r>
      <w:r>
        <w:rPr>
          <w:rStyle w:val="NormalTok"/>
        </w:rPr>
        <w:t xml:space="preserve"> tonnes </w:t>
      </w:r>
      <w:r>
        <w:rPr>
          <w:rStyle w:val="OperatorTok"/>
        </w:rPr>
        <w:t xml:space="preserve">&lt;=</w:t>
      </w:r>
      <w:r>
        <w:rPr>
          <w:rStyle w:val="NormalTok"/>
        </w:rPr>
        <w:t xml:space="preserve"> </w:t>
      </w:r>
      <w:r>
        <w:rPr>
          <w:rStyle w:val="DecValTok"/>
        </w:rPr>
        <w:t xml:space="preserve">0</w:t>
      </w:r>
      <w:r>
        <w:rPr>
          <w:rStyle w:val="NormalTok"/>
        </w:rPr>
        <w:t xml:space="preserve">:</w:t>
      </w:r>
      <w:r>
        <w:br/>
      </w:r>
      <w:r>
        <w:rPr>
          <w:rStyle w:val="NormalTok"/>
        </w:rPr>
        <w:t xml:space="preserve">        </w:t>
      </w:r>
      <w:r>
        <w:rPr>
          <w:rStyle w:val="ControlFlowTok"/>
        </w:rPr>
        <w:t xml:space="preserve">raise</w:t>
      </w:r>
      <w:r>
        <w:rPr>
          <w:rStyle w:val="NormalTok"/>
        </w:rPr>
        <w:t xml:space="preserve"> </w:t>
      </w:r>
      <w:r>
        <w:rPr>
          <w:rStyle w:val="PreprocessorTok"/>
        </w:rPr>
        <w:t xml:space="preserve">ValueError</w:t>
      </w:r>
      <w:r>
        <w:rPr>
          <w:rStyle w:val="NormalTok"/>
        </w:rPr>
        <w:t xml:space="preserve">(</w:t>
      </w:r>
      <w:r>
        <w:rPr>
          <w:rStyle w:val="StringTok"/>
        </w:rPr>
        <w:t xml:space="preserve">"tonnes must be &gt; 0"</w:t>
      </w:r>
      <w:r>
        <w:rPr>
          <w:rStyle w:val="NormalTok"/>
        </w:rPr>
        <w:t xml:space="preserve">)</w:t>
      </w:r>
      <w:r>
        <w:br/>
      </w:r>
      <w:r>
        <w:rPr>
          <w:rStyle w:val="NormalTok"/>
        </w:rPr>
        <w:t xml:space="preserve">    </w:t>
      </w:r>
      <w:r>
        <w:rPr>
          <w:rStyle w:val="ControlFlowTok"/>
        </w:rPr>
        <w:t xml:space="preserve">return</w:t>
      </w:r>
      <w:r>
        <w:rPr>
          <w:rStyle w:val="NormalTok"/>
        </w:rPr>
        <w:t xml:space="preserve"> litres </w:t>
      </w:r>
      <w:r>
        <w:rPr>
          <w:rStyle w:val="OperatorTok"/>
        </w:rPr>
        <w:t xml:space="preserve">/</w:t>
      </w:r>
      <w:r>
        <w:rPr>
          <w:rStyle w:val="NormalTok"/>
        </w:rPr>
        <w:t xml:space="preserve"> tonnes</w:t>
      </w:r>
    </w:p>
    <w:p>
      <w:pPr>
        <w:pStyle w:val="FirstParagraph"/>
      </w:pPr>
      <w:r>
        <w:rPr>
          <w:bCs/>
          <w:b/>
        </w:rPr>
        <w:t xml:space="preserve">Expected Output.</w:t>
      </w:r>
      <w:r>
        <w:t xml:space="preserve"> Litres per tonne. Worked example → </w:t>
      </w:r>
      <w:r>
        <w:rPr>
          <w:rStyle w:val="VerbatimChar"/>
        </w:rPr>
        <w:t xml:space="preserve">0.579</w:t>
      </w:r>
      <w:r>
        <w:t xml:space="preserve">.</w:t>
      </w:r>
    </w:p>
    <w:p>
      <w:pPr>
        <w:pStyle w:val="BodyText"/>
      </w:pPr>
      <w:r>
        <w:rPr>
          <w:bCs/>
          <w:b/>
        </w:rPr>
        <w:t xml:space="preserve">Worked Example.</w:t>
      </w:r>
      <w:r>
        <w:t xml:space="preserve"> Over a shift the </w:t>
      </w:r>
      <w:r>
        <w:rPr>
          <w:iCs/>
          <w:i/>
        </w:rPr>
        <w:t xml:space="preserve">Pilbara Ridge</w:t>
      </w:r>
      <w:r>
        <w:t xml:space="preserve"> haul fleet burns </w:t>
      </w:r>
      <w:r>
        <w:rPr>
          <w:bCs/>
          <w:b/>
        </w:rPr>
        <w:t xml:space="preserve">20,850 L</w:t>
      </w:r>
      <w:r>
        <w:t xml:space="preserve"> of diesel to move </w:t>
      </w:r>
      <w:r>
        <w:rPr>
          <w:bCs/>
          <w:b/>
        </w:rPr>
        <w:t xml:space="preserve">36,000 t</w:t>
      </w:r>
      <w:r>
        <w:t xml:space="preserve"> of ore. </w:t>
      </w:r>
      <w:r>
        <w:rPr>
          <w:rStyle w:val="VerbatimChar"/>
        </w:rPr>
        <w:t xml:space="preserve">fuel_per_tonne(20850, 36000)</w:t>
      </w:r>
      <w:r>
        <w:t xml:space="preserve"> → </w:t>
      </w:r>
      <w:r>
        <w:rPr>
          <w:bCs/>
          <w:b/>
        </w:rPr>
        <w:t xml:space="preserve">0.579 L/t</w:t>
      </w:r>
      <w:r>
        <w:t xml:space="preserve">. Benchmarked against the site’s 0.55 L/t target, the fleet is 5% over — a signal to check idling and payload compliance before the fuel bill confirms it.</w:t>
      </w:r>
    </w:p>
    <w:p>
      <w:pPr>
        <w:pStyle w:val="BodyText"/>
      </w:pPr>
      <w:r>
        <w:rPr>
          <w:bCs/>
          <w:b/>
        </w:rPr>
        <w:t xml:space="preserve">Sample Dataset.</w:t>
      </w:r>
    </w:p>
    <w:tbl>
      <w:tblPr>
        <w:tblStyle w:val="Table"/>
        <w:tblW w:type="auto" w:w="0"/>
        <w:tblLook w:firstRow="1" w:lastRow="0" w:firstColumn="0" w:lastColumn="0" w:noHBand="0" w:noVBand="0" w:val="0020"/>
        <w:jc w:val="start"/>
      </w:tblPr>
      <w:tblGrid>
        <w:gridCol w:w="1980"/>
        <w:gridCol w:w="1980"/>
        <w:gridCol w:w="1980"/>
        <w:gridCol w:w="1980"/>
      </w:tblGrid>
      <w:tr>
        <w:trPr>
          <w:tblHeader w:val="true"/>
        </w:trPr>
        <w:tc>
          <w:tcPr/>
          <w:p>
            <w:pPr>
              <w:pStyle w:val="Compact"/>
              <w:jc w:val="left"/>
            </w:pPr>
            <w:r>
              <w:t xml:space="preserve">fleet</w:t>
            </w:r>
          </w:p>
        </w:tc>
        <w:tc>
          <w:tcPr/>
          <w:p>
            <w:pPr>
              <w:pStyle w:val="Compact"/>
              <w:jc w:val="left"/>
            </w:pPr>
            <w:r>
              <w:t xml:space="preserve">litres</w:t>
            </w:r>
          </w:p>
        </w:tc>
        <w:tc>
          <w:tcPr/>
          <w:p>
            <w:pPr>
              <w:pStyle w:val="Compact"/>
              <w:jc w:val="left"/>
            </w:pPr>
            <w:r>
              <w:t xml:space="preserve">tonnes</w:t>
            </w:r>
          </w:p>
        </w:tc>
        <w:tc>
          <w:tcPr/>
          <w:p>
            <w:pPr>
              <w:pStyle w:val="Compact"/>
              <w:jc w:val="left"/>
            </w:pPr>
            <w:r>
              <w:t xml:space="preserve">L_per_t</w:t>
            </w:r>
          </w:p>
        </w:tc>
      </w:tr>
      <w:tr>
        <w:tc>
          <w:tcPr/>
          <w:p>
            <w:pPr>
              <w:pStyle w:val="Compact"/>
              <w:jc w:val="left"/>
            </w:pPr>
            <w:r>
              <w:t xml:space="preserve">Pilbara Ridge haul</w:t>
            </w:r>
          </w:p>
        </w:tc>
        <w:tc>
          <w:tcPr/>
          <w:p>
            <w:pPr>
              <w:pStyle w:val="Compact"/>
              <w:jc w:val="left"/>
            </w:pPr>
            <w:r>
              <w:t xml:space="preserve">20850</w:t>
            </w:r>
          </w:p>
        </w:tc>
        <w:tc>
          <w:tcPr/>
          <w:p>
            <w:pPr>
              <w:pStyle w:val="Compact"/>
              <w:jc w:val="left"/>
            </w:pPr>
            <w:r>
              <w:t xml:space="preserve">36000</w:t>
            </w:r>
          </w:p>
        </w:tc>
        <w:tc>
          <w:tcPr/>
          <w:p>
            <w:pPr>
              <w:pStyle w:val="Compact"/>
              <w:jc w:val="left"/>
            </w:pPr>
            <w:r>
              <w:t xml:space="preserve">0.579</w:t>
            </w:r>
          </w:p>
        </w:tc>
      </w:tr>
    </w:tbl>
    <w:p>
      <w:pPr>
        <w:pStyle w:val="BodyText"/>
      </w:pPr>
      <w:r>
        <w:rPr>
          <w:bCs/>
          <w:b/>
        </w:rPr>
        <w:t xml:space="preserve">Visualization.</w:t>
      </w:r>
      <w:r>
        <w:t xml:space="preserve"> Fuel-per-tonne trend against a target band; a scatter of intensity vs average haul distance (to separate route effect from waste); an idling-share bar underneath to explain movements.</w:t>
      </w:r>
    </w:p>
    <w:p>
      <w:pPr>
        <w:pStyle w:val="BodyText"/>
      </w:pPr>
      <w:r>
        <w:rPr>
          <w:bCs/>
          <w:b/>
        </w:rPr>
        <w:t xml:space="preserve">Operational Interpretation.</w:t>
      </w:r>
      <w:r>
        <w:t xml:space="preserve"> Lower is better, interpreted against haul profile — longer hauls legitimately raise intensity, so compare like routes. </w:t>
      </w:r>
      <w:r>
        <w:rPr>
          <w:iCs/>
          <w:i/>
        </w:rPr>
        <w:t xml:space="preserve">Excellent</w:t>
      </w:r>
      <w:r>
        <w:t xml:space="preserve"> = at or below target with low idling; </w:t>
      </w:r>
      <w:r>
        <w:rPr>
          <w:iCs/>
          <w:i/>
        </w:rPr>
        <w:t xml:space="preserve">Critical</w:t>
      </w:r>
      <w:r>
        <w:t xml:space="preserve"> = rising intensity on unchanged routes, almost always idling or under-loading. Typical surface haulage falls in a broad 0.3–0.8 L/t band depending on haul geometry.</w:t>
      </w:r>
    </w:p>
    <w:p>
      <w:pPr>
        <w:pStyle w:val="BodyText"/>
      </w:pPr>
      <w:r>
        <w:rPr>
          <w:bCs/>
          <w:b/>
        </w:rPr>
        <w:t xml:space="preserve">Common Mistakes.</w:t>
      </w:r>
      <w:r>
        <w:t xml:space="preserve"> Comparing intensities across different haul distances as if equal; mixing “ton” and “tonne”; averaging asset intensities; pairing a shift’s fuel with a day’s tonnes (window mismatch); ignoring idling, which burns fuel against zero tonnes.</w:t>
      </w:r>
    </w:p>
    <w:p>
      <w:pPr>
        <w:pStyle w:val="BodyText"/>
      </w:pPr>
      <w:r>
        <w:rPr>
          <w:bCs/>
          <w:b/>
        </w:rPr>
        <w:t xml:space="preserve">Validation Rules.</w:t>
      </w:r>
      <w:r>
        <w:t xml:space="preserve"> </w:t>
      </w:r>
      <w:r>
        <w:rPr>
          <w:rStyle w:val="VerbatimChar"/>
        </w:rPr>
        <w:t xml:space="preserve">litres ≥ 0</w:t>
      </w:r>
      <w:r>
        <w:t xml:space="preserve">, </w:t>
      </w:r>
      <w:r>
        <w:rPr>
          <w:rStyle w:val="VerbatimChar"/>
        </w:rPr>
        <w:t xml:space="preserve">tonnes &gt; 0</w:t>
      </w:r>
      <w:r>
        <w:t xml:space="preserve">; fuel and tonnage on identical scope/window; result within a sane band (flag &lt; 0.1 or &gt; 2.0 L/t as probable data error).</w:t>
      </w:r>
    </w:p>
    <w:p>
      <w:pPr>
        <w:pStyle w:val="BodyText"/>
      </w:pPr>
      <w:r>
        <w:rPr>
          <w:bCs/>
          <w:b/>
        </w:rPr>
        <w:t xml:space="preserve">Unit Tests.</w:t>
      </w:r>
    </w:p>
    <w:p>
      <w:pPr>
        <w:pStyle w:val="SourceCode"/>
      </w:pPr>
      <w:r>
        <w:rPr>
          <w:rStyle w:val="ImportTok"/>
        </w:rPr>
        <w:t xml:space="preserve">from</w:t>
      </w:r>
      <w:r>
        <w:rPr>
          <w:rStyle w:val="NormalTok"/>
        </w:rPr>
        <w:t xml:space="preserve"> mp_kpis_p3 </w:t>
      </w:r>
      <w:r>
        <w:rPr>
          <w:rStyle w:val="ImportTok"/>
        </w:rPr>
        <w:t xml:space="preserve">import</w:t>
      </w:r>
      <w:r>
        <w:rPr>
          <w:rStyle w:val="NormalTok"/>
        </w:rPr>
        <w:t xml:space="preserve"> fuel_per_tonne</w:t>
      </w:r>
      <w:r>
        <w:br/>
      </w:r>
      <w:r>
        <w:rPr>
          <w:rStyle w:val="ImportTok"/>
        </w:rPr>
        <w:t xml:space="preserve">import</w:t>
      </w:r>
      <w:r>
        <w:rPr>
          <w:rStyle w:val="NormalTok"/>
        </w:rPr>
        <w:t xml:space="preserve"> pytest</w:t>
      </w:r>
      <w:r>
        <w:br/>
        <w:br/>
      </w:r>
      <w:r>
        <w:rPr>
          <w:rStyle w:val="KeywordTok"/>
        </w:rPr>
        <w:t xml:space="preserve">def</w:t>
      </w:r>
      <w:r>
        <w:rPr>
          <w:rStyle w:val="NormalTok"/>
        </w:rPr>
        <w:t xml:space="preserve"> test_fuel_per_tonne_canonical():</w:t>
      </w:r>
      <w:r>
        <w:br/>
      </w:r>
      <w:r>
        <w:rPr>
          <w:rStyle w:val="NormalTok"/>
        </w:rPr>
        <w:t xml:space="preserve">    </w:t>
      </w:r>
      <w:r>
        <w:rPr>
          <w:rStyle w:val="ControlFlowTok"/>
        </w:rPr>
        <w:t xml:space="preserve">assert</w:t>
      </w:r>
      <w:r>
        <w:rPr>
          <w:rStyle w:val="NormalTok"/>
        </w:rPr>
        <w:t xml:space="preserve"> </w:t>
      </w:r>
      <w:r>
        <w:rPr>
          <w:rStyle w:val="BuiltInTok"/>
        </w:rPr>
        <w:t xml:space="preserve">round</w:t>
      </w:r>
      <w:r>
        <w:rPr>
          <w:rStyle w:val="NormalTok"/>
        </w:rPr>
        <w:t xml:space="preserve">(fuel_per_tonne(</w:t>
      </w:r>
      <w:r>
        <w:rPr>
          <w:rStyle w:val="DecValTok"/>
        </w:rPr>
        <w:t xml:space="preserve">20850</w:t>
      </w:r>
      <w:r>
        <w:rPr>
          <w:rStyle w:val="NormalTok"/>
        </w:rPr>
        <w:t xml:space="preserve">, </w:t>
      </w:r>
      <w:r>
        <w:rPr>
          <w:rStyle w:val="DecValTok"/>
        </w:rPr>
        <w:t xml:space="preserve">36000</w:t>
      </w:r>
      <w:r>
        <w:rPr>
          <w:rStyle w:val="NormalTok"/>
        </w:rPr>
        <w:t xml:space="preserve">), </w:t>
      </w:r>
      <w:r>
        <w:rPr>
          <w:rStyle w:val="DecValTok"/>
        </w:rPr>
        <w:t xml:space="preserve">3</w:t>
      </w:r>
      <w:r>
        <w:rPr>
          <w:rStyle w:val="NormalTok"/>
        </w:rPr>
        <w:t xml:space="preserve">) </w:t>
      </w:r>
      <w:r>
        <w:rPr>
          <w:rStyle w:val="OperatorTok"/>
        </w:rPr>
        <w:t xml:space="preserve">==</w:t>
      </w:r>
      <w:r>
        <w:rPr>
          <w:rStyle w:val="NormalTok"/>
        </w:rPr>
        <w:t xml:space="preserve"> </w:t>
      </w:r>
      <w:r>
        <w:rPr>
          <w:rStyle w:val="FloatTok"/>
        </w:rPr>
        <w:t xml:space="preserve">0.579</w:t>
      </w:r>
      <w:r>
        <w:br/>
        <w:br/>
      </w:r>
      <w:r>
        <w:rPr>
          <w:rStyle w:val="KeywordTok"/>
        </w:rPr>
        <w:t xml:space="preserve">def</w:t>
      </w:r>
      <w:r>
        <w:rPr>
          <w:rStyle w:val="NormalTok"/>
        </w:rPr>
        <w:t xml:space="preserve"> test_fuel_per_tonne_rejects_zero_tonnes():</w:t>
      </w:r>
      <w:r>
        <w:br/>
      </w:r>
      <w:r>
        <w:rPr>
          <w:rStyle w:val="NormalTok"/>
        </w:rPr>
        <w:t xml:space="preserve">    </w:t>
      </w:r>
      <w:r>
        <w:rPr>
          <w:rStyle w:val="ControlFlowTok"/>
        </w:rPr>
        <w:t xml:space="preserve">with</w:t>
      </w:r>
      <w:r>
        <w:rPr>
          <w:rStyle w:val="NormalTok"/>
        </w:rPr>
        <w:t xml:space="preserve"> pytest.raises(</w:t>
      </w:r>
      <w:r>
        <w:rPr>
          <w:rStyle w:val="PreprocessorTok"/>
        </w:rPr>
        <w:t xml:space="preserve">ValueError</w:t>
      </w:r>
      <w:r>
        <w:rPr>
          <w:rStyle w:val="NormalTok"/>
        </w:rPr>
        <w:t xml:space="preserve">):</w:t>
      </w:r>
      <w:r>
        <w:br/>
      </w:r>
      <w:r>
        <w:rPr>
          <w:rStyle w:val="NormalTok"/>
        </w:rPr>
        <w:t xml:space="preserve">        fuel_per_tonne(</w:t>
      </w:r>
      <w:r>
        <w:rPr>
          <w:rStyle w:val="DecValTok"/>
        </w:rPr>
        <w:t xml:space="preserve">20850</w:t>
      </w:r>
      <w:r>
        <w:rPr>
          <w:rStyle w:val="NormalTok"/>
        </w:rPr>
        <w:t xml:space="preserve">, </w:t>
      </w:r>
      <w:r>
        <w:rPr>
          <w:rStyle w:val="DecValTok"/>
        </w:rPr>
        <w:t xml:space="preserve">0</w:t>
      </w:r>
      <w:r>
        <w:rPr>
          <w:rStyle w:val="NormalTok"/>
        </w:rPr>
        <w:t xml:space="preserve">)</w:t>
      </w:r>
    </w:p>
    <w:p>
      <w:pPr>
        <w:pStyle w:val="FirstParagraph"/>
      </w:pPr>
      <w:r>
        <w:rPr>
          <w:bCs/>
          <w:b/>
        </w:rPr>
        <w:t xml:space="preserve">Performance Considerations.</w:t>
      </w:r>
      <w:r>
        <w:t xml:space="preserve"> O(1) given the two sums; upstream, joining </w:t>
      </w:r>
      <w:r>
        <w:rPr>
          <w:rStyle w:val="VerbatimChar"/>
        </w:rPr>
        <w:t xml:space="preserve">ConsumptionEvent</w:t>
      </w:r>
      <w:r>
        <w:t xml:space="preserve"> to tonnage is the real work — pre-aggregate both to (asset, day). </w:t>
      </w:r>
      <w:r>
        <w:rPr>
          <w:bCs/>
          <w:b/>
        </w:rPr>
        <w:t xml:space="preserve">Edge Cases.</w:t>
      </w:r>
      <w:r>
        <w:t xml:space="preserve"> Idling burns fuel with zero tonnes — over an idle-only window intensity is undefined (report idling separately, not as infinite intensity); refuelling straddling window boundaries needs apportioning. </w:t>
      </w:r>
      <w:r>
        <w:rPr>
          <w:bCs/>
          <w:b/>
        </w:rPr>
        <w:t xml:space="preserve">AI Contributor Notes.</w:t>
      </w:r>
      <w:r>
        <w:t xml:space="preserve"> Lagging/operational; pairs naturally with </w:t>
      </w:r>
      <w:r>
        <w:rPr>
          <w:rStyle w:val="VerbatimChar"/>
        </w:rPr>
        <w:t xml:space="preserve">CARBON.CO2PerTonne</w:t>
      </w:r>
      <w:r>
        <w:t xml:space="preserve"> (same input) so an agent surfaces cost and carbon together. </w:t>
      </w:r>
      <w:r>
        <w:rPr>
          <w:bCs/>
          <w:b/>
        </w:rPr>
        <w:t xml:space="preserve">Digital Twin Mapping.</w:t>
      </w:r>
      <w:r>
        <w:t xml:space="preserve"> The twin holds live fleet fuel intensity and attributes movements to idling, payload, and route. </w:t>
      </w:r>
      <w:r>
        <w:rPr>
          <w:bCs/>
          <w:b/>
        </w:rPr>
        <w:t xml:space="preserve">Decision Intelligence Mapping.</w:t>
      </w:r>
      <w:r>
        <w:t xml:space="preserve"> High intensity from idling → dispatch/operator action; from route → haul-plan action; from payload → loading action. </w:t>
      </w:r>
      <w:r>
        <w:rPr>
          <w:bCs/>
          <w:b/>
        </w:rPr>
        <w:t xml:space="preserve">Related KPIs.</w:t>
      </w:r>
      <w:r>
        <w:t xml:space="preserve"> </w:t>
      </w:r>
      <w:r>
        <w:rPr>
          <w:rStyle w:val="VerbatimChar"/>
        </w:rPr>
        <w:t xml:space="preserve">CARBON.CO2PerTonne</w:t>
      </w:r>
      <w:r>
        <w:t xml:space="preserve">, </w:t>
      </w:r>
      <w:r>
        <w:rPr>
          <w:rStyle w:val="VerbatimChar"/>
        </w:rPr>
        <w:t xml:space="preserve">HAUL.TonKm</w:t>
      </w:r>
      <w:r>
        <w:t xml:space="preserve">, </w:t>
      </w:r>
      <w:r>
        <w:rPr>
          <w:rStyle w:val="VerbatimChar"/>
        </w:rPr>
        <w:t xml:space="preserve">PROD.Payload</w:t>
      </w:r>
      <w:r>
        <w:t xml:space="preserve">, </w:t>
      </w:r>
      <w:r>
        <w:rPr>
          <w:rStyle w:val="VerbatimChar"/>
        </w:rPr>
        <w:t xml:space="preserve">COST.CostPerTonne</w:t>
      </w:r>
      <w:r>
        <w:t xml:space="preserve">. </w:t>
      </w:r>
      <w:r>
        <w:rPr>
          <w:bCs/>
          <w:b/>
        </w:rPr>
        <w:t xml:space="preserve">References.</w:t>
      </w:r>
      <w:r>
        <w:t xml:space="preserve"> Site fuel-management practice; ESG chapter (Part II domain mapping).</w:t>
      </w:r>
    </w:p>
    <w:bookmarkEnd w:id="107"/>
    <w:bookmarkStart w:id="108" w:name="carbon.co2pertonne-co₂e-per-tonne"/>
    <w:p>
      <w:pPr>
        <w:pStyle w:val="Heading3"/>
      </w:pPr>
      <w:bookmarkStart w:id="900058" w:name="_TocMP900058"/>
      <w:r>
        <w:t xml:space="preserve">CARBON.CO2PerTonne — CO₂e Per Tonne</w:t>
      </w:r>
      <w:bookmarkEnd w:id="900058"/>
    </w:p>
    <w:p>
      <w:pPr>
        <w:pStyle w:val="FirstParagraph"/>
      </w:pPr>
      <w:r>
        <w:rPr>
          <w:bCs/>
          <w:b/>
        </w:rPr>
        <w:t xml:space="preserve">Identifier.</w:t>
      </w:r>
      <w:r>
        <w:t xml:space="preserve"> </w:t>
      </w:r>
      <w:r>
        <w:rPr>
          <w:rStyle w:val="VerbatimChar"/>
        </w:rPr>
        <w:t xml:space="preserve">CARBON.CO2PerTonne</w:t>
      </w:r>
      <w:r>
        <w:t xml:space="preserve"> · </w:t>
      </w:r>
      <w:r>
        <w:rPr>
          <w:bCs/>
          <w:b/>
        </w:rPr>
        <w:t xml:space="preserve">Official Name.</w:t>
      </w:r>
      <w:r>
        <w:t xml:space="preserve"> Carbon Dioxide Equivalent Per Tonne · </w:t>
      </w:r>
      <w:r>
        <w:rPr>
          <w:bCs/>
          <w:b/>
        </w:rPr>
        <w:t xml:space="preserve">Status.</w:t>
      </w:r>
      <w:r>
        <w:t xml:space="preserve"> Active · </w:t>
      </w:r>
      <w:r>
        <w:rPr>
          <w:bCs/>
          <w:b/>
        </w:rPr>
        <w:t xml:space="preserve">Version.</w:t>
      </w:r>
      <w:r>
        <w:t xml:space="preserve"> 1.0.0 · </w:t>
      </w:r>
      <w:r>
        <w:rPr>
          <w:bCs/>
          <w:b/>
        </w:rPr>
        <w:t xml:space="preserve">Aliases.</w:t>
      </w:r>
      <w:r>
        <w:t xml:space="preserve"> </w:t>
      </w:r>
      <w:r>
        <w:rPr>
          <w:rStyle w:val="VerbatimChar"/>
        </w:rPr>
        <w:t xml:space="preserve">CARBON.CO2PerTon</w:t>
      </w:r>
      <w:r>
        <w:t xml:space="preserve"> </w:t>
      </w:r>
      <w:r>
        <w:rPr>
          <w:iCs/>
          <w:i/>
        </w:rPr>
        <w:t xml:space="preserve">(deprecated spelling)</w:t>
      </w:r>
    </w:p>
    <w:p>
      <w:pPr>
        <w:pStyle w:val="BodyText"/>
      </w:pPr>
      <w:r>
        <w:rPr>
          <w:bCs/>
          <w:b/>
        </w:rPr>
        <w:t xml:space="preserve">Business Purpose.</w:t>
      </w:r>
      <w:r>
        <w:t xml:space="preserve"> </w:t>
      </w:r>
      <w:r>
        <w:rPr>
          <w:rStyle w:val="VerbatimChar"/>
        </w:rPr>
        <w:t xml:space="preserve">CARBON.CO2PerTonne</w:t>
      </w:r>
      <w:r>
        <w:t xml:space="preserve"> expresses Scope-1 diesel emissions per tonne of material moved. It exists to translate operational fuel use directly into the carbon-intensity language of corporate ESG targets, closing the loop between a truck’s throttle and a board-level decarbonisation commitment.</w:t>
      </w:r>
    </w:p>
    <w:p>
      <w:pPr>
        <w:pStyle w:val="BodyText"/>
      </w:pPr>
      <w:r>
        <w:rPr>
          <w:bCs/>
          <w:b/>
        </w:rPr>
        <w:t xml:space="preserve">Operational Question.</w:t>
      </w:r>
      <w:r>
        <w:t xml:space="preserve"> </w:t>
      </w:r>
      <w:r>
        <w:rPr>
          <w:iCs/>
          <w:i/>
        </w:rPr>
        <w:t xml:space="preserve">What is the Scope-1 carbon intensity of moving this material?</w:t>
      </w:r>
    </w:p>
    <w:p>
      <w:pPr>
        <w:pStyle w:val="BodyText"/>
      </w:pPr>
      <w:r>
        <w:rPr>
          <w:bCs/>
          <w:b/>
        </w:rPr>
        <w:t xml:space="preserve">Business Meaning.</w:t>
      </w:r>
      <w:r>
        <w:t xml:space="preserve"> It is </w:t>
      </w:r>
      <w:r>
        <w:rPr>
          <w:rStyle w:val="VerbatimChar"/>
        </w:rPr>
        <w:t xml:space="preserve">ENERGY.FuelPerTonne</w:t>
      </w:r>
      <w:r>
        <w:t xml:space="preserve"> expressed in carbon: every litre of diesel is a fixed mass of CO₂e via a documented emission factor. This makes emissions a </w:t>
      </w:r>
      <w:r>
        <w:rPr>
          <w:iCs/>
          <w:i/>
        </w:rPr>
        <w:t xml:space="preserve">managed operational KPI</w:t>
      </w:r>
      <w:r>
        <w:t xml:space="preserve">, trended and targeted like any other, rather than an annual accounting afterthought — and it means fuel-efficiency gains and emissions cuts are the same win, measured twice.</w:t>
      </w:r>
    </w:p>
    <w:p>
      <w:pPr>
        <w:pStyle w:val="BodyText"/>
      </w:pPr>
      <w:r>
        <w:rPr>
          <w:bCs/>
          <w:b/>
        </w:rPr>
        <w:t xml:space="preserve">Formula.</w:t>
      </w:r>
    </w:p>
    <w:p>
      <w:pPr>
        <w:pStyle w:val="SourceCode"/>
      </w:pPr>
      <w:r>
        <w:rPr>
          <w:rStyle w:val="VerbatimChar"/>
        </w:rPr>
        <w:t xml:space="preserve">CARBON.CO2PerTonne  =  ( Litres × EF )  ÷  Tonnes moved          [kg CO₂e/t]</w:t>
      </w:r>
      <w:r>
        <w:br/>
      </w:r>
      <w:r>
        <w:rPr>
          <w:rStyle w:val="VerbatimChar"/>
        </w:rPr>
        <w:t xml:space="preserve">                       EF = 2.68 kg CO₂e / L diesel  (default, documented)</w:t>
      </w:r>
    </w:p>
    <w:p>
      <w:pPr>
        <w:pStyle w:val="FirstParagraph"/>
      </w:pPr>
      <w:r>
        <w:rPr>
          <w:bCs/>
          <w:b/>
        </w:rPr>
        <w:t xml:space="preserve">Units.</w:t>
      </w:r>
      <w:r>
        <w:t xml:space="preserve"> Kilograms CO₂e per tonne (kg CO₂e/t). </w:t>
      </w:r>
      <w:r>
        <w:rPr>
          <w:bCs/>
          <w:b/>
        </w:rPr>
        <w:t xml:space="preserve">Dimensions.</w:t>
      </w:r>
      <w:r>
        <w:t xml:space="preserve"> Equipment, Fleet, Pit, Material, Shift, Day, Month, Mine, Commodity — and the reportable Scope-1 roll-up to Mine/Year.</w:t>
      </w:r>
    </w:p>
    <w:p>
      <w:pPr>
        <w:pStyle w:val="BodyText"/>
      </w:pPr>
      <w:r>
        <w:rPr>
          <w:bCs/>
          <w:b/>
        </w:rPr>
        <w:t xml:space="preserve">Required Events.</w:t>
      </w:r>
      <w:r>
        <w:t xml:space="preserve"> </w:t>
      </w:r>
      <w:r>
        <w:rPr>
          <w:rStyle w:val="VerbatimChar"/>
        </w:rPr>
        <w:t xml:space="preserve">ConsumptionEvent</w:t>
      </w:r>
      <w:r>
        <w:t xml:space="preserve"> (fuel) and </w:t>
      </w:r>
      <w:r>
        <w:rPr>
          <w:rStyle w:val="VerbatimChar"/>
        </w:rPr>
        <w:t xml:space="preserve">CycleEvent</w:t>
      </w:r>
      <w:r>
        <w:t xml:space="preserve"> (tonnes). </w:t>
      </w:r>
      <w:r>
        <w:rPr>
          <w:bCs/>
          <w:b/>
        </w:rPr>
        <w:t xml:space="preserve">Required Ontology.</w:t>
      </w:r>
      <w:r>
        <w:t xml:space="preserve"> Equipment, Material, Mine, and an EmissionFactor reference (fuel type → kg CO₂e/L). </w:t>
      </w:r>
      <w:r>
        <w:rPr>
          <w:bCs/>
          <w:b/>
        </w:rPr>
        <w:t xml:space="preserve">Dependencies.</w:t>
      </w:r>
      <w:r>
        <w:t xml:space="preserve"> </w:t>
      </w:r>
      <w:r>
        <w:rPr>
          <w:rStyle w:val="VerbatimChar"/>
        </w:rPr>
        <w:t xml:space="preserve">ENERGY.FuelPerTonne</w:t>
      </w:r>
      <w:r>
        <w:t xml:space="preserve"> shares its inputs; a </w:t>
      </w:r>
      <w:r>
        <w:rPr>
          <w:bCs/>
          <w:b/>
        </w:rPr>
        <w:t xml:space="preserve">governed, versioned emission factor</w:t>
      </w:r>
      <w:r>
        <w:t xml:space="preserve"> is a hard dependency — the factor is a normative constant, not a free parameter.</w:t>
      </w:r>
    </w:p>
    <w:p>
      <w:pPr>
        <w:pStyle w:val="BestPractice"/>
      </w:pPr>
      <w:r>
        <w:rPr>
          <w:bCs/>
          <w:b/>
        </w:rPr>
        <w:t xml:space="preserve">Best Practice — the emission factor is governed, documented, and versioned.</w:t>
      </w:r>
      <w:r>
        <w:t xml:space="preserve"> MineProductivity’s canonical default is </w:t>
      </w:r>
      <w:r>
        <w:rPr>
          <w:bCs/>
          <w:b/>
        </w:rPr>
        <w:t xml:space="preserve">2.68 kg CO₂e per litre of diesel</w:t>
      </w:r>
      <w:r>
        <w:t xml:space="preserve">, exposed as a parameter but sourced from a governed factor table. Changing it changes every carbon number in the mine, so it lives under the same versioning and governance as the KPIs themselves: cite the factor and its version in every carbon report. Never hard-code a different factor silently.</w:t>
      </w:r>
    </w:p>
    <w:p>
      <w:pPr>
        <w:pStyle w:val="BodyText"/>
      </w:pPr>
      <w:r>
        <w:rPr>
          <w:bCs/>
          <w:b/>
        </w:rPr>
        <w:t xml:space="preserve">Mathematical Properties.</w:t>
      </w:r>
      <w:r>
        <w:t xml:space="preserve"> A ratio (intensity), linear in fuel; not additive (pool litres and tonnes, apply the factor once). Directly proportional to </w:t>
      </w:r>
      <w:r>
        <w:rPr>
          <w:rStyle w:val="VerbatimChar"/>
        </w:rPr>
        <w:t xml:space="preserve">ENERGY.FuelPerTonne</w:t>
      </w:r>
      <w:r>
        <w:t xml:space="preserve"> by the constant EF.</w:t>
      </w:r>
    </w:p>
    <w:p>
      <w:pPr>
        <w:pStyle w:val="BodyText"/>
      </w:pPr>
      <w:r>
        <w:rPr>
          <w:bCs/>
          <w:b/>
        </w:rPr>
        <w:t xml:space="preserve">Calculation Logic.</w:t>
      </w:r>
      <w:r>
        <w:t xml:space="preserve"> (1) Sum diesel over the window. (2) Multiply by the governed EF to get kg CO₂e. (3) Divide by tonnes on the same scope. Because it is EF × </w:t>
      </w:r>
      <w:r>
        <w:rPr>
          <w:rStyle w:val="VerbatimChar"/>
        </w:rPr>
        <w:t xml:space="preserve">ENERGY.FuelPerTonne</w:t>
      </w:r>
      <w:r>
        <w:t xml:space="preserve">, it inherits that KPI’s scope discipline exactly.</w:t>
      </w:r>
    </w:p>
    <w:p>
      <w:pPr>
        <w:pStyle w:val="BodyText"/>
      </w:pPr>
      <w:r>
        <w:rPr>
          <w:bCs/>
          <w:b/>
        </w:rPr>
        <w:t xml:space="preserve">Python Implementation.</w:t>
      </w:r>
    </w:p>
    <w:p>
      <w:pPr>
        <w:pStyle w:val="SourceCode"/>
      </w:pPr>
      <w:r>
        <w:rPr>
          <w:rStyle w:val="KeywordTok"/>
        </w:rPr>
        <w:t xml:space="preserve">def</w:t>
      </w:r>
      <w:r>
        <w:rPr>
          <w:rStyle w:val="NormalTok"/>
        </w:rPr>
        <w:t xml:space="preserve"> co2_per_tonne(litres: </w:t>
      </w:r>
      <w:r>
        <w:rPr>
          <w:rStyle w:val="BuiltInTok"/>
        </w:rPr>
        <w:t xml:space="preserve">float</w:t>
      </w:r>
      <w:r>
        <w:rPr>
          <w:rStyle w:val="NormalTok"/>
        </w:rPr>
        <w:t xml:space="preserve">, tonnes: </w:t>
      </w:r>
      <w:r>
        <w:rPr>
          <w:rStyle w:val="BuiltInTok"/>
        </w:rPr>
        <w:t xml:space="preserve">float</w:t>
      </w:r>
      <w:r>
        <w:rPr>
          <w:rStyle w:val="NormalTok"/>
        </w:rPr>
        <w:t xml:space="preserve">, ef_kg_per_l: </w:t>
      </w:r>
      <w:r>
        <w:rPr>
          <w:rStyle w:val="BuiltInTok"/>
        </w:rPr>
        <w:t xml:space="preserve">float</w:t>
      </w:r>
      <w:r>
        <w:rPr>
          <w:rStyle w:val="NormalTok"/>
        </w:rPr>
        <w:t xml:space="preserve"> </w:t>
      </w:r>
      <w:r>
        <w:rPr>
          <w:rStyle w:val="OperatorTok"/>
        </w:rPr>
        <w:t xml:space="preserve">=</w:t>
      </w:r>
      <w:r>
        <w:rPr>
          <w:rStyle w:val="NormalTok"/>
        </w:rPr>
        <w:t xml:space="preserve"> </w:t>
      </w:r>
      <w:r>
        <w:rPr>
          <w:rStyle w:val="FloatTok"/>
        </w:rPr>
        <w:t xml:space="preserve">2.68</w:t>
      </w:r>
      <w:r>
        <w:rPr>
          <w:rStyle w:val="NormalTok"/>
        </w:rPr>
        <w:t xml:space="preserve">) </w:t>
      </w:r>
      <w:r>
        <w:rPr>
          <w:rStyle w:val="OperatorTok"/>
        </w:rPr>
        <w:t xml:space="preserve">-&gt;</w:t>
      </w:r>
      <w:r>
        <w:rPr>
          <w:rStyle w:val="NormalTok"/>
        </w:rPr>
        <w:t xml:space="preserve"> </w:t>
      </w:r>
      <w:r>
        <w:rPr>
          <w:rStyle w:val="BuiltInTok"/>
        </w:rPr>
        <w:t xml:space="preserve">float</w:t>
      </w:r>
      <w:r>
        <w:rPr>
          <w:rStyle w:val="NormalTok"/>
        </w:rPr>
        <w:t xml:space="preserve">:</w:t>
      </w:r>
      <w:r>
        <w:br/>
      </w:r>
      <w:r>
        <w:rPr>
          <w:rStyle w:val="NormalTok"/>
        </w:rPr>
        <w:t xml:space="preserve">    </w:t>
      </w:r>
      <w:r>
        <w:rPr>
          <w:rStyle w:val="CommentTok"/>
        </w:rPr>
        <w:t xml:space="preserve">"""CARBON.CO2PerTonne — Scope-1 diesel emissions intensity (kg CO2e/t)."""</w:t>
      </w:r>
      <w:r>
        <w:br/>
      </w:r>
      <w:r>
        <w:rPr>
          <w:rStyle w:val="NormalTok"/>
        </w:rPr>
        <w:t xml:space="preserve">    </w:t>
      </w:r>
      <w:r>
        <w:rPr>
          <w:rStyle w:val="ControlFlowTok"/>
        </w:rPr>
        <w:t xml:space="preserve">if</w:t>
      </w:r>
      <w:r>
        <w:rPr>
          <w:rStyle w:val="NormalTok"/>
        </w:rPr>
        <w:t xml:space="preserve"> tonnes </w:t>
      </w:r>
      <w:r>
        <w:rPr>
          <w:rStyle w:val="OperatorTok"/>
        </w:rPr>
        <w:t xml:space="preserve">&lt;=</w:t>
      </w:r>
      <w:r>
        <w:rPr>
          <w:rStyle w:val="NormalTok"/>
        </w:rPr>
        <w:t xml:space="preserve"> </w:t>
      </w:r>
      <w:r>
        <w:rPr>
          <w:rStyle w:val="DecValTok"/>
        </w:rPr>
        <w:t xml:space="preserve">0</w:t>
      </w:r>
      <w:r>
        <w:rPr>
          <w:rStyle w:val="NormalTok"/>
        </w:rPr>
        <w:t xml:space="preserve">:</w:t>
      </w:r>
      <w:r>
        <w:br/>
      </w:r>
      <w:r>
        <w:rPr>
          <w:rStyle w:val="NormalTok"/>
        </w:rPr>
        <w:t xml:space="preserve">        </w:t>
      </w:r>
      <w:r>
        <w:rPr>
          <w:rStyle w:val="ControlFlowTok"/>
        </w:rPr>
        <w:t xml:space="preserve">raise</w:t>
      </w:r>
      <w:r>
        <w:rPr>
          <w:rStyle w:val="NormalTok"/>
        </w:rPr>
        <w:t xml:space="preserve"> </w:t>
      </w:r>
      <w:r>
        <w:rPr>
          <w:rStyle w:val="PreprocessorTok"/>
        </w:rPr>
        <w:t xml:space="preserve">ValueError</w:t>
      </w:r>
      <w:r>
        <w:rPr>
          <w:rStyle w:val="NormalTok"/>
        </w:rPr>
        <w:t xml:space="preserve">(</w:t>
      </w:r>
      <w:r>
        <w:rPr>
          <w:rStyle w:val="StringTok"/>
        </w:rPr>
        <w:t xml:space="preserve">"tonnes must be &gt; 0"</w:t>
      </w:r>
      <w:r>
        <w:rPr>
          <w:rStyle w:val="NormalTok"/>
        </w:rPr>
        <w:t xml:space="preserve">)</w:t>
      </w:r>
      <w:r>
        <w:br/>
      </w:r>
      <w:r>
        <w:rPr>
          <w:rStyle w:val="NormalTok"/>
        </w:rPr>
        <w:t xml:space="preserve">    </w:t>
      </w:r>
      <w:r>
        <w:rPr>
          <w:rStyle w:val="ControlFlowTok"/>
        </w:rPr>
        <w:t xml:space="preserve">return</w:t>
      </w:r>
      <w:r>
        <w:rPr>
          <w:rStyle w:val="NormalTok"/>
        </w:rPr>
        <w:t xml:space="preserve"> (litres </w:t>
      </w:r>
      <w:r>
        <w:rPr>
          <w:rStyle w:val="OperatorTok"/>
        </w:rPr>
        <w:t xml:space="preserve">*</w:t>
      </w:r>
      <w:r>
        <w:rPr>
          <w:rStyle w:val="NormalTok"/>
        </w:rPr>
        <w:t xml:space="preserve"> ef_kg_per_l) </w:t>
      </w:r>
      <w:r>
        <w:rPr>
          <w:rStyle w:val="OperatorTok"/>
        </w:rPr>
        <w:t xml:space="preserve">/</w:t>
      </w:r>
      <w:r>
        <w:rPr>
          <w:rStyle w:val="NormalTok"/>
        </w:rPr>
        <w:t xml:space="preserve"> tonnes</w:t>
      </w:r>
    </w:p>
    <w:p>
      <w:pPr>
        <w:pStyle w:val="FirstParagraph"/>
      </w:pPr>
      <w:r>
        <w:rPr>
          <w:bCs/>
          <w:b/>
        </w:rPr>
        <w:t xml:space="preserve">Expected Output.</w:t>
      </w:r>
      <w:r>
        <w:t xml:space="preserve"> Kilograms CO₂e per tonne. Worked example → </w:t>
      </w:r>
      <w:r>
        <w:rPr>
          <w:rStyle w:val="VerbatimChar"/>
        </w:rPr>
        <w:t xml:space="preserve">1.552</w:t>
      </w:r>
      <w:r>
        <w:t xml:space="preserve">.</w:t>
      </w:r>
    </w:p>
    <w:p>
      <w:pPr>
        <w:pStyle w:val="BodyText"/>
      </w:pPr>
      <w:r>
        <w:rPr>
          <w:bCs/>
          <w:b/>
        </w:rPr>
        <w:t xml:space="preserve">Worked Example.</w:t>
      </w:r>
      <w:r>
        <w:t xml:space="preserve"> The same </w:t>
      </w:r>
      <w:r>
        <w:rPr>
          <w:iCs/>
          <w:i/>
        </w:rPr>
        <w:t xml:space="preserve">Pilbara Ridge</w:t>
      </w:r>
      <w:r>
        <w:t xml:space="preserve"> shift — </w:t>
      </w:r>
      <w:r>
        <w:rPr>
          <w:bCs/>
          <w:b/>
        </w:rPr>
        <w:t xml:space="preserve">20,850 L</w:t>
      </w:r>
      <w:r>
        <w:t xml:space="preserve"> diesel, </w:t>
      </w:r>
      <w:r>
        <w:rPr>
          <w:bCs/>
          <w:b/>
        </w:rPr>
        <w:t xml:space="preserve">36,000 t</w:t>
      </w:r>
      <w:r>
        <w:t xml:space="preserve"> moved — at the canonical factor: </w:t>
      </w:r>
      <w:r>
        <w:rPr>
          <w:rStyle w:val="VerbatimChar"/>
        </w:rPr>
        <w:t xml:space="preserve">co2_per_tonne(20850, 36000)</w:t>
      </w:r>
      <w:r>
        <w:t xml:space="preserve"> → </w:t>
      </w:r>
      <w:r>
        <w:rPr>
          <w:bCs/>
          <w:b/>
        </w:rPr>
        <w:t xml:space="preserve">1.552 kg CO₂e/t</w:t>
      </w:r>
      <w:r>
        <w:t xml:space="preserve"> (0.579 L/t × 2.68). Multiplied across the annual plan this is the fleet’s Scope-1 haulage footprint, and the same idling and payload actions that cut the fuel bill cut this number in lock-step.</w:t>
      </w:r>
    </w:p>
    <w:p>
      <w:pPr>
        <w:pStyle w:val="BodyText"/>
      </w:pPr>
      <w:r>
        <w:rPr>
          <w:bCs/>
          <w:b/>
        </w:rPr>
        <w:t xml:space="preserve">Sample Dataset.</w:t>
      </w:r>
    </w:p>
    <w:tbl>
      <w:tblPr>
        <w:tblStyle w:val="Table"/>
        <w:tblW w:type="auto" w:w="0"/>
        <w:tblLook w:firstRow="1" w:lastRow="0" w:firstColumn="0" w:lastColumn="0" w:noHBand="0" w:noVBand="0" w:val="0020"/>
        <w:jc w:val="start"/>
      </w:tblPr>
      <w:tblGrid>
        <w:gridCol w:w="1584"/>
        <w:gridCol w:w="1584"/>
        <w:gridCol w:w="1584"/>
        <w:gridCol w:w="1584"/>
        <w:gridCol w:w="1584"/>
      </w:tblGrid>
      <w:tr>
        <w:trPr>
          <w:tblHeader w:val="true"/>
        </w:trPr>
        <w:tc>
          <w:tcPr/>
          <w:p>
            <w:pPr>
              <w:pStyle w:val="Compact"/>
              <w:jc w:val="left"/>
            </w:pPr>
            <w:r>
              <w:t xml:space="preserve">fleet</w:t>
            </w:r>
          </w:p>
        </w:tc>
        <w:tc>
          <w:tcPr/>
          <w:p>
            <w:pPr>
              <w:pStyle w:val="Compact"/>
              <w:jc w:val="left"/>
            </w:pPr>
            <w:r>
              <w:t xml:space="preserve">litres</w:t>
            </w:r>
          </w:p>
        </w:tc>
        <w:tc>
          <w:tcPr/>
          <w:p>
            <w:pPr>
              <w:pStyle w:val="Compact"/>
              <w:jc w:val="left"/>
            </w:pPr>
            <w:r>
              <w:t xml:space="preserve">tonnes</w:t>
            </w:r>
          </w:p>
        </w:tc>
        <w:tc>
          <w:tcPr/>
          <w:p>
            <w:pPr>
              <w:pStyle w:val="Compact"/>
              <w:jc w:val="left"/>
            </w:pPr>
            <w:r>
              <w:t xml:space="preserve">EF</w:t>
            </w:r>
          </w:p>
        </w:tc>
        <w:tc>
          <w:tcPr/>
          <w:p>
            <w:pPr>
              <w:pStyle w:val="Compact"/>
              <w:jc w:val="left"/>
            </w:pPr>
            <w:r>
              <w:t xml:space="preserve">kgCO2e_per_t</w:t>
            </w:r>
          </w:p>
        </w:tc>
      </w:tr>
      <w:tr>
        <w:tc>
          <w:tcPr/>
          <w:p>
            <w:pPr>
              <w:pStyle w:val="Compact"/>
              <w:jc w:val="left"/>
            </w:pPr>
            <w:r>
              <w:t xml:space="preserve">Pilbara Ridge haul</w:t>
            </w:r>
          </w:p>
        </w:tc>
        <w:tc>
          <w:tcPr/>
          <w:p>
            <w:pPr>
              <w:pStyle w:val="Compact"/>
              <w:jc w:val="left"/>
            </w:pPr>
            <w:r>
              <w:t xml:space="preserve">20850</w:t>
            </w:r>
          </w:p>
        </w:tc>
        <w:tc>
          <w:tcPr/>
          <w:p>
            <w:pPr>
              <w:pStyle w:val="Compact"/>
              <w:jc w:val="left"/>
            </w:pPr>
            <w:r>
              <w:t xml:space="preserve">36000</w:t>
            </w:r>
          </w:p>
        </w:tc>
        <w:tc>
          <w:tcPr/>
          <w:p>
            <w:pPr>
              <w:pStyle w:val="Compact"/>
              <w:jc w:val="left"/>
            </w:pPr>
            <w:r>
              <w:t xml:space="preserve">2.68</w:t>
            </w:r>
          </w:p>
        </w:tc>
        <w:tc>
          <w:tcPr/>
          <w:p>
            <w:pPr>
              <w:pStyle w:val="Compact"/>
              <w:jc w:val="left"/>
            </w:pPr>
            <w:r>
              <w:t xml:space="preserve">1.552</w:t>
            </w:r>
          </w:p>
        </w:tc>
      </w:tr>
    </w:tbl>
    <w:p>
      <w:pPr>
        <w:pStyle w:val="BodyText"/>
      </w:pPr>
      <w:r>
        <w:rPr>
          <w:bCs/>
          <w:b/>
        </w:rPr>
        <w:t xml:space="preserve">Visualization.</w:t>
      </w:r>
      <w:r>
        <w:t xml:space="preserve"> Carbon-intensity trend against the site’s decarbonisation trajectory; a dual-axis chart with </w:t>
      </w:r>
      <w:r>
        <w:rPr>
          <w:rStyle w:val="VerbatimChar"/>
        </w:rPr>
        <w:t xml:space="preserve">ENERGY.FuelPerTonne</w:t>
      </w:r>
      <w:r>
        <w:t xml:space="preserve"> (identical shape, proving the linkage); a Scope-1 waterfall from fleet intensities to the mine total.</w:t>
      </w:r>
    </w:p>
    <w:p>
      <w:pPr>
        <w:pStyle w:val="BodyText"/>
      </w:pPr>
      <w:r>
        <w:rPr>
          <w:bCs/>
          <w:b/>
        </w:rPr>
        <w:t xml:space="preserve">Operational Interpretation.</w:t>
      </w:r>
      <w:r>
        <w:t xml:space="preserve"> Lower is better; read against the site’s target trajectory, not a universal benchmark (fleet mix and haul geometry dominate). </w:t>
      </w:r>
      <w:r>
        <w:rPr>
          <w:iCs/>
          <w:i/>
        </w:rPr>
        <w:t xml:space="preserve">Excellent</w:t>
      </w:r>
      <w:r>
        <w:t xml:space="preserve"> = tracking below the decarbonisation trajectory; </w:t>
      </w:r>
      <w:r>
        <w:rPr>
          <w:iCs/>
          <w:i/>
        </w:rPr>
        <w:t xml:space="preserve">Critical</w:t>
      </w:r>
      <w:r>
        <w:t xml:space="preserve"> = intensity flat or rising while corporate targets fall. Because it moves exactly with fuel intensity, its interpretation mirrors </w:t>
      </w:r>
      <w:r>
        <w:rPr>
          <w:rStyle w:val="VerbatimChar"/>
        </w:rPr>
        <w:t xml:space="preserve">ENERGY.FuelPerTonne</w:t>
      </w:r>
      <w:r>
        <w:t xml:space="preserve">.</w:t>
      </w:r>
    </w:p>
    <w:p>
      <w:pPr>
        <w:pStyle w:val="BodyText"/>
      </w:pPr>
      <w:r>
        <w:rPr>
          <w:bCs/>
          <w:b/>
        </w:rPr>
        <w:t xml:space="preserve">Common Mistakes.</w:t>
      </w:r>
      <w:r>
        <w:t xml:space="preserve"> Using an undocumented or inconsistent emission factor (breaks comparability and auditability); mixing “ton”/“tonne”; treating carbon as separate from fuel (they are one measurement); reporting only annual totals instead of managed intensity; omitting the factor version from reports.</w:t>
      </w:r>
    </w:p>
    <w:p>
      <w:pPr>
        <w:pStyle w:val="BodyText"/>
      </w:pPr>
      <w:r>
        <w:rPr>
          <w:bCs/>
          <w:b/>
        </w:rPr>
        <w:t xml:space="preserve">Validation Rules.</w:t>
      </w:r>
      <w:r>
        <w:t xml:space="preserve"> </w:t>
      </w:r>
      <w:r>
        <w:rPr>
          <w:rStyle w:val="VerbatimChar"/>
        </w:rPr>
        <w:t xml:space="preserve">litres ≥ 0</w:t>
      </w:r>
      <w:r>
        <w:t xml:space="preserve">, </w:t>
      </w:r>
      <w:r>
        <w:rPr>
          <w:rStyle w:val="VerbatimChar"/>
        </w:rPr>
        <w:t xml:space="preserve">tonnes &gt; 0</w:t>
      </w:r>
      <w:r>
        <w:t xml:space="preserve">, </w:t>
      </w:r>
      <w:r>
        <w:rPr>
          <w:rStyle w:val="VerbatimChar"/>
        </w:rPr>
        <w:t xml:space="preserve">ef &gt; 0</w:t>
      </w:r>
      <w:r>
        <w:t xml:space="preserve">; factor sourced from the governed table with a cited version; result must equal EF × </w:t>
      </w:r>
      <w:r>
        <w:rPr>
          <w:rStyle w:val="VerbatimChar"/>
        </w:rPr>
        <w:t xml:space="preserve">ENERGY.FuelPerTonne</w:t>
      </w:r>
      <w:r>
        <w:t xml:space="preserve"> (built-in consistency check).</w:t>
      </w:r>
    </w:p>
    <w:p>
      <w:pPr>
        <w:pStyle w:val="BodyText"/>
      </w:pPr>
      <w:r>
        <w:rPr>
          <w:bCs/>
          <w:b/>
        </w:rPr>
        <w:t xml:space="preserve">Unit Tests.</w:t>
      </w:r>
    </w:p>
    <w:p>
      <w:pPr>
        <w:pStyle w:val="SourceCode"/>
      </w:pPr>
      <w:r>
        <w:rPr>
          <w:rStyle w:val="ImportTok"/>
        </w:rPr>
        <w:t xml:space="preserve">from</w:t>
      </w:r>
      <w:r>
        <w:rPr>
          <w:rStyle w:val="NormalTok"/>
        </w:rPr>
        <w:t xml:space="preserve"> mp_kpis_p3 </w:t>
      </w:r>
      <w:r>
        <w:rPr>
          <w:rStyle w:val="ImportTok"/>
        </w:rPr>
        <w:t xml:space="preserve">import</w:t>
      </w:r>
      <w:r>
        <w:rPr>
          <w:rStyle w:val="NormalTok"/>
        </w:rPr>
        <w:t xml:space="preserve"> co2_per_tonne, fuel_per_tonne</w:t>
      </w:r>
      <w:r>
        <w:br/>
        <w:br/>
      </w:r>
      <w:r>
        <w:rPr>
          <w:rStyle w:val="KeywordTok"/>
        </w:rPr>
        <w:t xml:space="preserve">def</w:t>
      </w:r>
      <w:r>
        <w:rPr>
          <w:rStyle w:val="NormalTok"/>
        </w:rPr>
        <w:t xml:space="preserve"> test_co2_per_tonne_canonical():</w:t>
      </w:r>
      <w:r>
        <w:br/>
      </w:r>
      <w:r>
        <w:rPr>
          <w:rStyle w:val="NormalTok"/>
        </w:rPr>
        <w:t xml:space="preserve">    </w:t>
      </w:r>
      <w:r>
        <w:rPr>
          <w:rStyle w:val="ControlFlowTok"/>
        </w:rPr>
        <w:t xml:space="preserve">assert</w:t>
      </w:r>
      <w:r>
        <w:rPr>
          <w:rStyle w:val="NormalTok"/>
        </w:rPr>
        <w:t xml:space="preserve"> </w:t>
      </w:r>
      <w:r>
        <w:rPr>
          <w:rStyle w:val="BuiltInTok"/>
        </w:rPr>
        <w:t xml:space="preserve">round</w:t>
      </w:r>
      <w:r>
        <w:rPr>
          <w:rStyle w:val="NormalTok"/>
        </w:rPr>
        <w:t xml:space="preserve">(co2_per_tonne(</w:t>
      </w:r>
      <w:r>
        <w:rPr>
          <w:rStyle w:val="DecValTok"/>
        </w:rPr>
        <w:t xml:space="preserve">20850</w:t>
      </w:r>
      <w:r>
        <w:rPr>
          <w:rStyle w:val="NormalTok"/>
        </w:rPr>
        <w:t xml:space="preserve">, </w:t>
      </w:r>
      <w:r>
        <w:rPr>
          <w:rStyle w:val="DecValTok"/>
        </w:rPr>
        <w:t xml:space="preserve">36000</w:t>
      </w:r>
      <w:r>
        <w:rPr>
          <w:rStyle w:val="NormalTok"/>
        </w:rPr>
        <w:t xml:space="preserve">), </w:t>
      </w:r>
      <w:r>
        <w:rPr>
          <w:rStyle w:val="DecValTok"/>
        </w:rPr>
        <w:t xml:space="preserve">3</w:t>
      </w:r>
      <w:r>
        <w:rPr>
          <w:rStyle w:val="NormalTok"/>
        </w:rPr>
        <w:t xml:space="preserve">) </w:t>
      </w:r>
      <w:r>
        <w:rPr>
          <w:rStyle w:val="OperatorTok"/>
        </w:rPr>
        <w:t xml:space="preserve">==</w:t>
      </w:r>
      <w:r>
        <w:rPr>
          <w:rStyle w:val="NormalTok"/>
        </w:rPr>
        <w:t xml:space="preserve"> </w:t>
      </w:r>
      <w:r>
        <w:rPr>
          <w:rStyle w:val="FloatTok"/>
        </w:rPr>
        <w:t xml:space="preserve">1.552</w:t>
      </w:r>
      <w:r>
        <w:br/>
        <w:br/>
      </w:r>
      <w:r>
        <w:rPr>
          <w:rStyle w:val="KeywordTok"/>
        </w:rPr>
        <w:t xml:space="preserve">def</w:t>
      </w:r>
      <w:r>
        <w:rPr>
          <w:rStyle w:val="NormalTok"/>
        </w:rPr>
        <w:t xml:space="preserve"> test_co2_tracks_fuel_intensity():</w:t>
      </w:r>
      <w:r>
        <w:br/>
      </w:r>
      <w:r>
        <w:rPr>
          <w:rStyle w:val="NormalTok"/>
        </w:rPr>
        <w:t xml:space="preserve">    ef </w:t>
      </w:r>
      <w:r>
        <w:rPr>
          <w:rStyle w:val="OperatorTok"/>
        </w:rPr>
        <w:t xml:space="preserve">=</w:t>
      </w:r>
      <w:r>
        <w:rPr>
          <w:rStyle w:val="NormalTok"/>
        </w:rPr>
        <w:t xml:space="preserve"> </w:t>
      </w:r>
      <w:r>
        <w:rPr>
          <w:rStyle w:val="FloatTok"/>
        </w:rPr>
        <w:t xml:space="preserve">2.68</w:t>
      </w:r>
      <w:r>
        <w:br/>
      </w:r>
      <w:r>
        <w:rPr>
          <w:rStyle w:val="NormalTok"/>
        </w:rPr>
        <w:t xml:space="preserve">    </w:t>
      </w:r>
      <w:r>
        <w:rPr>
          <w:rStyle w:val="ControlFlowTok"/>
        </w:rPr>
        <w:t xml:space="preserve">assert</w:t>
      </w:r>
      <w:r>
        <w:rPr>
          <w:rStyle w:val="NormalTok"/>
        </w:rPr>
        <w:t xml:space="preserve"> </w:t>
      </w:r>
      <w:r>
        <w:rPr>
          <w:rStyle w:val="BuiltInTok"/>
        </w:rPr>
        <w:t xml:space="preserve">round</w:t>
      </w:r>
      <w:r>
        <w:rPr>
          <w:rStyle w:val="NormalTok"/>
        </w:rPr>
        <w:t xml:space="preserve">(co2_per_tonne(</w:t>
      </w:r>
      <w:r>
        <w:rPr>
          <w:rStyle w:val="DecValTok"/>
        </w:rPr>
        <w:t xml:space="preserve">20850</w:t>
      </w:r>
      <w:r>
        <w:rPr>
          <w:rStyle w:val="NormalTok"/>
        </w:rPr>
        <w:t xml:space="preserve">, </w:t>
      </w:r>
      <w:r>
        <w:rPr>
          <w:rStyle w:val="DecValTok"/>
        </w:rPr>
        <w:t xml:space="preserve">36000</w:t>
      </w:r>
      <w:r>
        <w:rPr>
          <w:rStyle w:val="NormalTok"/>
        </w:rPr>
        <w:t xml:space="preserve">), </w:t>
      </w:r>
      <w:r>
        <w:rPr>
          <w:rStyle w:val="DecValTok"/>
        </w:rPr>
        <w:t xml:space="preserve">6</w:t>
      </w:r>
      <w:r>
        <w:rPr>
          <w:rStyle w:val="NormalTok"/>
        </w:rPr>
        <w:t xml:space="preserve">) </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BuiltInTok"/>
        </w:rPr>
        <w:t xml:space="preserve">round</w:t>
      </w:r>
      <w:r>
        <w:rPr>
          <w:rStyle w:val="NormalTok"/>
        </w:rPr>
        <w:t xml:space="preserve">(fuel_per_tonne(</w:t>
      </w:r>
      <w:r>
        <w:rPr>
          <w:rStyle w:val="DecValTok"/>
        </w:rPr>
        <w:t xml:space="preserve">20850</w:t>
      </w:r>
      <w:r>
        <w:rPr>
          <w:rStyle w:val="NormalTok"/>
        </w:rPr>
        <w:t xml:space="preserve">, </w:t>
      </w:r>
      <w:r>
        <w:rPr>
          <w:rStyle w:val="DecValTok"/>
        </w:rPr>
        <w:t xml:space="preserve">36000</w:t>
      </w:r>
      <w:r>
        <w:rPr>
          <w:rStyle w:val="NormalTok"/>
        </w:rPr>
        <w:t xml:space="preserve">) </w:t>
      </w:r>
      <w:r>
        <w:rPr>
          <w:rStyle w:val="OperatorTok"/>
        </w:rPr>
        <w:t xml:space="preserve">*</w:t>
      </w:r>
      <w:r>
        <w:rPr>
          <w:rStyle w:val="NormalTok"/>
        </w:rPr>
        <w:t xml:space="preserve"> ef, </w:t>
      </w:r>
      <w:r>
        <w:rPr>
          <w:rStyle w:val="DecValTok"/>
        </w:rPr>
        <w:t xml:space="preserve">6</w:t>
      </w:r>
      <w:r>
        <w:rPr>
          <w:rStyle w:val="NormalTok"/>
        </w:rPr>
        <w:t xml:space="preserve">)</w:t>
      </w:r>
    </w:p>
    <w:p>
      <w:pPr>
        <w:pStyle w:val="FirstParagraph"/>
      </w:pPr>
      <w:r>
        <w:rPr>
          <w:bCs/>
          <w:b/>
        </w:rPr>
        <w:t xml:space="preserve">Performance Considerations.</w:t>
      </w:r>
      <w:r>
        <w:t xml:space="preserve"> O(1) given the fuel and tonnage sums; identical cost profile to </w:t>
      </w:r>
      <w:r>
        <w:rPr>
          <w:rStyle w:val="VerbatimChar"/>
        </w:rPr>
        <w:t xml:space="preserve">ENERGY.FuelPerTonne</w:t>
      </w:r>
      <w:r>
        <w:t xml:space="preserve">. </w:t>
      </w:r>
      <w:r>
        <w:rPr>
          <w:bCs/>
          <w:b/>
        </w:rPr>
        <w:t xml:space="preserve">Edge Cases.</w:t>
      </w:r>
      <w:r>
        <w:t xml:space="preserve"> Alternative fuels (biodiesel, HVO) need their own factors — do not apply the diesel EF; electrified haulage moves the emission to Scope-2 and out of this KPI. </w:t>
      </w:r>
      <w:r>
        <w:rPr>
          <w:bCs/>
          <w:b/>
        </w:rPr>
        <w:t xml:space="preserve">AI Contributor Notes.</w:t>
      </w:r>
      <w:r>
        <w:t xml:space="preserve"> Lagging/strategic and ESG-facing; an agent should always present it </w:t>
      </w:r>
      <w:r>
        <w:rPr>
          <w:iCs/>
          <w:i/>
        </w:rPr>
        <w:t xml:space="preserve">with</w:t>
      </w:r>
      <w:r>
        <w:t xml:space="preserve"> its fuel twin and the factor version, and frame fuel-saving recommendations as carbon wins. </w:t>
      </w:r>
      <w:r>
        <w:rPr>
          <w:bCs/>
          <w:b/>
        </w:rPr>
        <w:t xml:space="preserve">Digital Twin Mapping.</w:t>
      </w:r>
      <w:r>
        <w:t xml:space="preserve"> The twin computes live Scope-1 intensity and projects it against the annual trajectory. </w:t>
      </w:r>
      <w:r>
        <w:rPr>
          <w:bCs/>
          <w:b/>
        </w:rPr>
        <w:t xml:space="preserve">Decision Intelligence Mapping.</w:t>
      </w:r>
      <w:r>
        <w:t xml:space="preserve"> Above trajectory → the same idling/payload/route levers as fuel intensity; the carbon lens simply reprices them at the internal carbon price. </w:t>
      </w:r>
      <w:r>
        <w:rPr>
          <w:bCs/>
          <w:b/>
        </w:rPr>
        <w:t xml:space="preserve">Related KPIs.</w:t>
      </w:r>
      <w:r>
        <w:t xml:space="preserve"> </w:t>
      </w:r>
      <w:r>
        <w:rPr>
          <w:rStyle w:val="VerbatimChar"/>
        </w:rPr>
        <w:t xml:space="preserve">ENERGY.FuelPerTonne</w:t>
      </w:r>
      <w:r>
        <w:t xml:space="preserve">, </w:t>
      </w:r>
      <w:r>
        <w:rPr>
          <w:rStyle w:val="VerbatimChar"/>
        </w:rPr>
        <w:t xml:space="preserve">HAUL.TonKm</w:t>
      </w:r>
      <w:r>
        <w:t xml:space="preserve">, </w:t>
      </w:r>
      <w:r>
        <w:rPr>
          <w:rStyle w:val="VerbatimChar"/>
        </w:rPr>
        <w:t xml:space="preserve">COST.CostPerTonne</w:t>
      </w:r>
      <w:r>
        <w:t xml:space="preserve">, ESG roll-ups. </w:t>
      </w:r>
      <w:r>
        <w:rPr>
          <w:bCs/>
          <w:b/>
        </w:rPr>
        <w:t xml:space="preserve">References.</w:t>
      </w:r>
      <w:r>
        <w:t xml:space="preserve"> Recognised fuel-combustion emission-factor sources; Master Architecture Handbook, ESG ontology; Part II ESG domain mapping.</w:t>
      </w:r>
    </w:p>
    <w:bookmarkEnd w:id="108"/>
    <w:bookmarkEnd w:id="109"/>
    <w:bookmarkStart w:id="110" w:name="summary-energy-carbon"/>
    <w:p>
      <w:pPr>
        <w:pStyle w:val="Heading2"/>
      </w:pPr>
      <w:bookmarkStart w:id="900059" w:name="_TocMP900059"/>
      <w:r>
        <w:t xml:space="preserve">Summary — Energy &amp; Carbon</w:t>
      </w:r>
      <w:bookmarkEnd w:id="900059"/>
    </w:p>
    <w:p>
      <w:pPr>
        <w:pStyle w:val="FirstParagraph"/>
      </w:pPr>
      <w:r>
        <w:rPr>
          <w:rStyle w:val="VerbatimChar"/>
        </w:rPr>
        <w:t xml:space="preserve">ENERGY.FuelPerTonne</w:t>
      </w:r>
      <w:r>
        <w:t xml:space="preserve"> and </w:t>
      </w:r>
      <w:r>
        <w:rPr>
          <w:rStyle w:val="VerbatimChar"/>
        </w:rPr>
        <w:t xml:space="preserve">CARBON.CO2PerTonne</w:t>
      </w:r>
      <w:r>
        <w:t xml:space="preserve"> are one measurement under two lenses, joined by a governed emission factor: intensity per tonne makes both comparable across scale, and the linear link means every fuel-efficiency action is simultaneously a decarbonisation action. Govern the factor, hold the tonnage scope consistent with the production KPIs, and always prefer the metric “tonne”.</w:t>
      </w:r>
    </w:p>
    <w:bookmarkEnd w:id="110"/>
    <w:bookmarkStart w:id="111" w:name="further-reading-8"/>
    <w:p>
      <w:pPr>
        <w:pStyle w:val="Heading2"/>
      </w:pPr>
      <w:bookmarkStart w:id="900060" w:name="_TocMP900060"/>
      <w:r>
        <w:t xml:space="preserve">Further Reading</w:t>
      </w:r>
      <w:bookmarkEnd w:id="900060"/>
    </w:p>
    <w:p>
      <w:pPr>
        <w:pStyle w:val="FirstParagraph"/>
      </w:pPr>
      <w:r>
        <w:rPr>
          <w:rStyle w:val="VerbatimChar"/>
        </w:rPr>
        <w:t xml:space="preserve">ENERGY.FuelPerTonne</w:t>
      </w:r>
      <w:r>
        <w:t xml:space="preserve">↔</w:t>
      </w:r>
      <w:r>
        <w:rPr>
          <w:rStyle w:val="VerbatimChar"/>
        </w:rPr>
        <w:t xml:space="preserve">CARBON.CO2PerTonne</w:t>
      </w:r>
      <w:r>
        <w:t xml:space="preserve"> linkage; </w:t>
      </w:r>
      <w:r>
        <w:rPr>
          <w:rStyle w:val="VerbatimChar"/>
        </w:rPr>
        <w:t xml:space="preserve">COST.CostPerTonne</w:t>
      </w:r>
      <w:r>
        <w:t xml:space="preserve"> (fuel as a cost driver); Part II ESG domain mapping. Next: </w:t>
      </w:r>
      <w:r>
        <w:rPr>
          <w:bCs/>
          <w:b/>
        </w:rPr>
        <w:t xml:space="preserve">Quality KPIs</w:t>
      </w:r>
      <w:r>
        <w:t xml:space="preserve">.</w:t>
      </w:r>
    </w:p>
    <w:p>
      <w:r>
        <w:br w:type="page"/>
      </w:r>
    </w:p>
    <w:bookmarkEnd w:id="111"/>
    <w:bookmarkStart w:id="113" w:name="quality-kpis"/>
    <w:p>
      <w:pPr>
        <w:pStyle w:val="Heading2"/>
      </w:pPr>
      <w:bookmarkStart w:id="900061" w:name="_TocMP900061"/>
      <w:r>
        <w:t xml:space="preserve">Quality KPIs</w:t>
      </w:r>
      <w:bookmarkEnd w:id="900061"/>
    </w:p>
    <w:p>
      <w:pPr>
        <w:pStyle w:val="FirstParagraph"/>
      </w:pPr>
      <w:r>
        <w:t xml:space="preserve">Tonnes moved are worthless if the metal does not report to the concentrate. Quality KPIs measure how well the operation preserves and extracts </w:t>
      </w:r>
      <w:r>
        <w:rPr>
          <w:iCs/>
          <w:i/>
        </w:rPr>
        <w:t xml:space="preserve">value</w:t>
      </w:r>
      <w:r>
        <w:t xml:space="preserve"> — grade, dilution, blending conformance, and, most fundamentally, </w:t>
      </w:r>
      <w:r>
        <w:rPr>
          <w:bCs/>
          <w:b/>
        </w:rPr>
        <w:t xml:space="preserve">metallurgical recovery</w:t>
      </w:r>
      <w:r>
        <w:t xml:space="preserve">: the fraction of contained metal that ends up in the saleable product. Where production KPIs count mass, quality KPIs count </w:t>
      </w:r>
      <w:r>
        <w:rPr>
          <w:iCs/>
          <w:i/>
        </w:rPr>
        <w:t xml:space="preserve">money in the mass</w:t>
      </w:r>
      <w:r>
        <w:t xml:space="preserve">, and recovery is where the two meet — a one-point recovery gain at a large copper mine is worth more than most throughput projects.</w:t>
      </w:r>
    </w:p>
    <w:p>
      <w:pPr>
        <w:pStyle w:val="LearningObjectives"/>
      </w:pPr>
      <w:r>
        <w:rPr>
          <w:bCs/>
          <w:b/>
        </w:rPr>
        <w:t xml:space="preserve">Learning Objectives.</w:t>
      </w:r>
      <w:r>
        <w:t xml:space="preserve"> After this section you will be able to: compute metallurgical recovery from the two-product formula using only assay grades; explain why the grade-only form is preferred when tonnages are uncertain; and interpret recovery honestly against commodity benchmarks without back-fitting the number.</w:t>
      </w:r>
    </w:p>
    <w:p>
      <w:pPr>
        <w:pStyle w:val="MiningInsight"/>
      </w:pPr>
      <w:r>
        <w:rPr>
          <w:bCs/>
          <w:b/>
        </w:rPr>
        <w:t xml:space="preserve">Mining Insight — recovery is the value gate.</w:t>
      </w:r>
      <w:r>
        <w:t xml:space="preserve"> A mine can hit every tonnage target and still lose margin at the plant. Recovery is the KPI that exposes it, and the two-product formula lets you compute it from three assays — feed, concentrate, tailings — without trusting the harder-to-measure concentrate and tailings </w:t>
      </w:r>
      <w:r>
        <w:rPr>
          <w:iCs/>
          <w:i/>
        </w:rPr>
        <w:t xml:space="preserve">tonnages</w:t>
      </w:r>
      <w:r>
        <w:t xml:space="preserve">. That robustness is why it is the metallurgist’s default.</w:t>
      </w:r>
    </w:p>
    <w:bookmarkStart w:id="112" w:name="qual.recovery-metallurgical-recovery"/>
    <w:p>
      <w:pPr>
        <w:pStyle w:val="Heading3"/>
      </w:pPr>
      <w:bookmarkStart w:id="900062" w:name="_TocMP900062"/>
      <w:r>
        <w:t xml:space="preserve">QUAL.Recovery — Metallurgical Recovery</w:t>
      </w:r>
      <w:bookmarkEnd w:id="900062"/>
    </w:p>
    <w:p>
      <w:pPr>
        <w:pStyle w:val="FirstParagraph"/>
      </w:pPr>
      <w:r>
        <w:rPr>
          <w:bCs/>
          <w:b/>
        </w:rPr>
        <w:t xml:space="preserve">Identifier.</w:t>
      </w:r>
      <w:r>
        <w:t xml:space="preserve"> </w:t>
      </w:r>
      <w:r>
        <w:rPr>
          <w:rStyle w:val="VerbatimChar"/>
        </w:rPr>
        <w:t xml:space="preserve">QUAL.Recovery</w:t>
      </w:r>
      <w:r>
        <w:t xml:space="preserve"> · </w:t>
      </w:r>
      <w:r>
        <w:rPr>
          <w:bCs/>
          <w:b/>
        </w:rPr>
        <w:t xml:space="preserve">Official Name.</w:t>
      </w:r>
      <w:r>
        <w:t xml:space="preserve"> Metallurgical Recovery · </w:t>
      </w:r>
      <w:r>
        <w:rPr>
          <w:bCs/>
          <w:b/>
        </w:rPr>
        <w:t xml:space="preserve">Status.</w:t>
      </w:r>
      <w:r>
        <w:t xml:space="preserve"> Active · </w:t>
      </w:r>
      <w:r>
        <w:rPr>
          <w:bCs/>
          <w:b/>
        </w:rPr>
        <w:t xml:space="preserve">Version.</w:t>
      </w:r>
      <w:r>
        <w:t xml:space="preserve"> 1.0.0</w:t>
      </w:r>
    </w:p>
    <w:p>
      <w:pPr>
        <w:pStyle w:val="BodyText"/>
      </w:pPr>
      <w:r>
        <w:rPr>
          <w:bCs/>
          <w:b/>
        </w:rPr>
        <w:t xml:space="preserve">Business Purpose.</w:t>
      </w:r>
      <w:r>
        <w:t xml:space="preserve"> Recovery is the fraction of valuable metal in the feed that is captured in the concentrate. It exists to measure processing effectiveness at the point where contained metal becomes saleable metal — the single largest lever on realised value after grade itself.</w:t>
      </w:r>
    </w:p>
    <w:p>
      <w:pPr>
        <w:pStyle w:val="BodyText"/>
      </w:pPr>
      <w:r>
        <w:rPr>
          <w:bCs/>
          <w:b/>
        </w:rPr>
        <w:t xml:space="preserve">Operational Question.</w:t>
      </w:r>
      <w:r>
        <w:t xml:space="preserve"> </w:t>
      </w:r>
      <w:r>
        <w:rPr>
          <w:iCs/>
          <w:i/>
        </w:rPr>
        <w:t xml:space="preserve">What fraction of the metal fed to the plant is actually recovered into concentrate?</w:t>
      </w:r>
    </w:p>
    <w:p>
      <w:pPr>
        <w:pStyle w:val="BodyText"/>
      </w:pPr>
      <w:r>
        <w:rPr>
          <w:bCs/>
          <w:b/>
        </w:rPr>
        <w:t xml:space="preserve">Business Meaning.</w:t>
      </w:r>
      <w:r>
        <w:t xml:space="preserve"> Recovery converts geology and throughput into revenue. A falling recovery — from finer grind requirements, harder ore, reagent issues, or misclassification — leaks contained metal to tailings, often invisibly, because tonnages and grades individually look normal. It is read against an ore-type benchmark: a plant recovering 87% of an ore that should yield 92% is losing five points of metal every hour.</w:t>
      </w:r>
    </w:p>
    <w:p>
      <w:pPr>
        <w:pStyle w:val="BodyText"/>
      </w:pPr>
      <w:r>
        <w:rPr>
          <w:bCs/>
          <w:b/>
        </w:rPr>
        <w:t xml:space="preserve">Formula (two-product).</w:t>
      </w:r>
    </w:p>
    <w:p>
      <w:pPr>
        <w:pStyle w:val="SourceCode"/>
      </w:pPr>
      <w:r>
        <w:rPr>
          <w:rStyle w:val="VerbatimChar"/>
        </w:rPr>
        <w:t xml:space="preserve">QUAL.Recovery  =  100 × [ c · (f − t) ]  ÷  [ f · (c − t) ]          [%]</w:t>
      </w:r>
      <w:r>
        <w:br/>
      </w:r>
      <w:r>
        <w:rPr>
          <w:rStyle w:val="VerbatimChar"/>
        </w:rPr>
        <w:t xml:space="preserve">                  f = feed grade,  c = concentrate grade,  t = tailings grade</w:t>
      </w:r>
    </w:p>
    <w:p>
      <w:pPr>
        <w:pStyle w:val="FirstParagraph"/>
      </w:pPr>
      <w:r>
        <w:rPr>
          <w:bCs/>
          <w:b/>
        </w:rPr>
        <w:t xml:space="preserve">Units.</w:t>
      </w:r>
      <w:r>
        <w:t xml:space="preserve"> Percent (%). </w:t>
      </w:r>
      <w:r>
        <w:rPr>
          <w:bCs/>
          <w:b/>
        </w:rPr>
        <w:t xml:space="preserve">Dimensions.</w:t>
      </w:r>
      <w:r>
        <w:t xml:space="preserve"> Commodity/Metal, Plant, Circuit, Ore-type, Shift, Day, Month, Mine.</w:t>
      </w:r>
    </w:p>
    <w:p>
      <w:pPr>
        <w:pStyle w:val="BodyText"/>
      </w:pPr>
      <w:r>
        <w:rPr>
          <w:bCs/>
          <w:b/>
        </w:rPr>
        <w:t xml:space="preserve">Required Events.</w:t>
      </w:r>
      <w:r>
        <w:t xml:space="preserve"> </w:t>
      </w:r>
      <w:r>
        <w:rPr>
          <w:rStyle w:val="VerbatimChar"/>
        </w:rPr>
        <w:t xml:space="preserve">ProductionEvent</w:t>
      </w:r>
      <w:r>
        <w:t xml:space="preserve"> carrying assay grades (feed, concentrate, tailings), or a dedicated </w:t>
      </w:r>
      <w:r>
        <w:rPr>
          <w:rStyle w:val="VerbatimChar"/>
        </w:rPr>
        <w:t xml:space="preserve">AssayEvent</w:t>
      </w:r>
      <w:r>
        <w:t xml:space="preserve">. </w:t>
      </w:r>
      <w:r>
        <w:rPr>
          <w:bCs/>
          <w:b/>
        </w:rPr>
        <w:t xml:space="preserve">Required Ontology.</w:t>
      </w:r>
      <w:r>
        <w:t xml:space="preserve"> Plant/Circuit, Material/Ore-type, Metal, Mine. </w:t>
      </w:r>
      <w:r>
        <w:rPr>
          <w:bCs/>
          <w:b/>
        </w:rPr>
        <w:t xml:space="preserve">Dependencies.</w:t>
      </w:r>
      <w:r>
        <w:t xml:space="preserve"> Reliable assays for the three streams; a metal definition (recovery is </w:t>
      </w:r>
      <w:r>
        <w:rPr>
          <w:iCs/>
          <w:i/>
        </w:rPr>
        <w:t xml:space="preserve">per metal</w:t>
      </w:r>
      <w:r>
        <w:t xml:space="preserve"> — a polymetallic plant has one recovery per payable metal).</w:t>
      </w:r>
    </w:p>
    <w:p>
      <w:pPr>
        <w:pStyle w:val="BodyText"/>
      </w:pPr>
      <w:r>
        <w:rPr>
          <w:bCs/>
          <w:b/>
        </w:rPr>
        <w:t xml:space="preserve">Mathematical Properties.</w:t>
      </w:r>
      <w:r>
        <w:t xml:space="preserve"> Derived, ratio, bounded (0, 100] for a valid separation; not additive — aggregate by pooling contained-metal mass, not by averaging recoveries. Grade-only form is insensitive to tonnage measurement error, its key robustness property.</w:t>
      </w:r>
    </w:p>
    <w:p>
      <w:pPr>
        <w:pStyle w:val="BodyText"/>
      </w:pPr>
      <w:r>
        <w:rPr>
          <w:bCs/>
          <w:b/>
        </w:rPr>
        <w:t xml:space="preserve">Calculation Logic.</w:t>
      </w:r>
      <w:r>
        <w:t xml:space="preserve"> (1) Obtain the three grades on a common metal basis and consistent units. (2) Apply the two-product formula. (3) Validate the separation is physical (c &gt; f &gt; t). The formula is algebraically the tonnage-based recovery with the mass-balance substituted in, which is why it needs only grades.</w:t>
      </w:r>
    </w:p>
    <w:p>
      <w:pPr>
        <w:pStyle w:val="BodyText"/>
      </w:pPr>
      <w:r>
        <w:rPr>
          <w:bCs/>
          <w:b/>
        </w:rPr>
        <w:t xml:space="preserve">Python Implementation.</w:t>
      </w:r>
    </w:p>
    <w:p>
      <w:pPr>
        <w:pStyle w:val="SourceCode"/>
      </w:pPr>
      <w:r>
        <w:rPr>
          <w:rStyle w:val="KeywordTok"/>
        </w:rPr>
        <w:t xml:space="preserve">def</w:t>
      </w:r>
      <w:r>
        <w:rPr>
          <w:rStyle w:val="NormalTok"/>
        </w:rPr>
        <w:t xml:space="preserve"> recovery_two_product(feed_grade: </w:t>
      </w:r>
      <w:r>
        <w:rPr>
          <w:rStyle w:val="BuiltInTok"/>
        </w:rPr>
        <w:t xml:space="preserve">float</w:t>
      </w:r>
      <w:r>
        <w:rPr>
          <w:rStyle w:val="NormalTok"/>
        </w:rPr>
        <w:t xml:space="preserve">, conc_grade: </w:t>
      </w:r>
      <w:r>
        <w:rPr>
          <w:rStyle w:val="BuiltInTok"/>
        </w:rPr>
        <w:t xml:space="preserve">float</w:t>
      </w:r>
      <w:r>
        <w:rPr>
          <w:rStyle w:val="NormalTok"/>
        </w:rPr>
        <w:t xml:space="preserve">,</w:t>
      </w:r>
      <w:r>
        <w:br/>
      </w:r>
      <w:r>
        <w:rPr>
          <w:rStyle w:val="NormalTok"/>
        </w:rPr>
        <w:t xml:space="preserve">                         tail_grade: </w:t>
      </w:r>
      <w:r>
        <w:rPr>
          <w:rStyle w:val="BuiltInTok"/>
        </w:rPr>
        <w:t xml:space="preserve">float</w:t>
      </w:r>
      <w:r>
        <w:rPr>
          <w:rStyle w:val="NormalTok"/>
        </w:rPr>
        <w:t xml:space="preserve">) </w:t>
      </w:r>
      <w:r>
        <w:rPr>
          <w:rStyle w:val="OperatorTok"/>
        </w:rPr>
        <w:t xml:space="preserve">-&gt;</w:t>
      </w:r>
      <w:r>
        <w:rPr>
          <w:rStyle w:val="NormalTok"/>
        </w:rPr>
        <w:t xml:space="preserve"> </w:t>
      </w:r>
      <w:r>
        <w:rPr>
          <w:rStyle w:val="BuiltInTok"/>
        </w:rPr>
        <w:t xml:space="preserve">float</w:t>
      </w:r>
      <w:r>
        <w:rPr>
          <w:rStyle w:val="NormalTok"/>
        </w:rPr>
        <w:t xml:space="preserve">:</w:t>
      </w:r>
      <w:r>
        <w:br/>
      </w:r>
      <w:r>
        <w:rPr>
          <w:rStyle w:val="NormalTok"/>
        </w:rPr>
        <w:t xml:space="preserve">    </w:t>
      </w:r>
      <w:r>
        <w:rPr>
          <w:rStyle w:val="CommentTok"/>
        </w:rPr>
        <w:t xml:space="preserve">"""QUAL.Recovery — metallurgical recovery via the two-product formula (%)."""</w:t>
      </w:r>
      <w:r>
        <w:br/>
      </w:r>
      <w:r>
        <w:rPr>
          <w:rStyle w:val="NormalTok"/>
        </w:rPr>
        <w:t xml:space="preserve">    denom </w:t>
      </w:r>
      <w:r>
        <w:rPr>
          <w:rStyle w:val="OperatorTok"/>
        </w:rPr>
        <w:t xml:space="preserve">=</w:t>
      </w:r>
      <w:r>
        <w:rPr>
          <w:rStyle w:val="NormalTok"/>
        </w:rPr>
        <w:t xml:space="preserve"> feed_grade </w:t>
      </w:r>
      <w:r>
        <w:rPr>
          <w:rStyle w:val="OperatorTok"/>
        </w:rPr>
        <w:t xml:space="preserve">*</w:t>
      </w:r>
      <w:r>
        <w:rPr>
          <w:rStyle w:val="NormalTok"/>
        </w:rPr>
        <w:t xml:space="preserve"> (conc_grade </w:t>
      </w:r>
      <w:r>
        <w:rPr>
          <w:rStyle w:val="OperatorTok"/>
        </w:rPr>
        <w:t xml:space="preserve">-</w:t>
      </w:r>
      <w:r>
        <w:rPr>
          <w:rStyle w:val="NormalTok"/>
        </w:rPr>
        <w:t xml:space="preserve"> tail_grade)</w:t>
      </w:r>
      <w:r>
        <w:br/>
      </w:r>
      <w:r>
        <w:rPr>
          <w:rStyle w:val="NormalTok"/>
        </w:rPr>
        <w:t xml:space="preserve">    </w:t>
      </w:r>
      <w:r>
        <w:rPr>
          <w:rStyle w:val="ControlFlowTok"/>
        </w:rPr>
        <w:t xml:space="preserve">if</w:t>
      </w:r>
      <w:r>
        <w:rPr>
          <w:rStyle w:val="NormalTok"/>
        </w:rPr>
        <w:t xml:space="preserve"> denom </w:t>
      </w:r>
      <w:r>
        <w:rPr>
          <w:rStyle w:val="OperatorTok"/>
        </w:rPr>
        <w:t xml:space="preserve">==</w:t>
      </w:r>
      <w:r>
        <w:rPr>
          <w:rStyle w:val="NormalTok"/>
        </w:rPr>
        <w:t xml:space="preserve"> </w:t>
      </w:r>
      <w:r>
        <w:rPr>
          <w:rStyle w:val="DecValTok"/>
        </w:rPr>
        <w:t xml:space="preserve">0</w:t>
      </w:r>
      <w:r>
        <w:rPr>
          <w:rStyle w:val="NormalTok"/>
        </w:rPr>
        <w:t xml:space="preserve">:</w:t>
      </w:r>
      <w:r>
        <w:br/>
      </w:r>
      <w:r>
        <w:rPr>
          <w:rStyle w:val="NormalTok"/>
        </w:rPr>
        <w:t xml:space="preserve">        </w:t>
      </w:r>
      <w:r>
        <w:rPr>
          <w:rStyle w:val="ControlFlowTok"/>
        </w:rPr>
        <w:t xml:space="preserve">raise</w:t>
      </w:r>
      <w:r>
        <w:rPr>
          <w:rStyle w:val="NormalTok"/>
        </w:rPr>
        <w:t xml:space="preserve"> </w:t>
      </w:r>
      <w:r>
        <w:rPr>
          <w:rStyle w:val="PreprocessorTok"/>
        </w:rPr>
        <w:t xml:space="preserve">ValueError</w:t>
      </w:r>
      <w:r>
        <w:rPr>
          <w:rStyle w:val="NormalTok"/>
        </w:rPr>
        <w:t xml:space="preserve">(</w:t>
      </w:r>
      <w:r>
        <w:rPr>
          <w:rStyle w:val="StringTok"/>
        </w:rPr>
        <w:t xml:space="preserve">"degenerate grades"</w:t>
      </w:r>
      <w:r>
        <w:rPr>
          <w:rStyle w:val="NormalTok"/>
        </w:rPr>
        <w:t xml:space="preserve">)</w:t>
      </w:r>
      <w:r>
        <w:br/>
      </w:r>
      <w:r>
        <w:rPr>
          <w:rStyle w:val="NormalTok"/>
        </w:rPr>
        <w:t xml:space="preserve">    </w:t>
      </w:r>
      <w:r>
        <w:rPr>
          <w:rStyle w:val="ControlFlowTok"/>
        </w:rPr>
        <w:t xml:space="preserve">return</w:t>
      </w:r>
      <w:r>
        <w:rPr>
          <w:rStyle w:val="NormalTok"/>
        </w:rPr>
        <w:t xml:space="preserve"> </w:t>
      </w:r>
      <w:r>
        <w:rPr>
          <w:rStyle w:val="FloatTok"/>
        </w:rPr>
        <w:t xml:space="preserve">100.0</w:t>
      </w:r>
      <w:r>
        <w:rPr>
          <w:rStyle w:val="NormalTok"/>
        </w:rPr>
        <w:t xml:space="preserve"> </w:t>
      </w:r>
      <w:r>
        <w:rPr>
          <w:rStyle w:val="OperatorTok"/>
        </w:rPr>
        <w:t xml:space="preserve">*</w:t>
      </w:r>
      <w:r>
        <w:rPr>
          <w:rStyle w:val="NormalTok"/>
        </w:rPr>
        <w:t xml:space="preserve"> (conc_grade </w:t>
      </w:r>
      <w:r>
        <w:rPr>
          <w:rStyle w:val="OperatorTok"/>
        </w:rPr>
        <w:t xml:space="preserve">*</w:t>
      </w:r>
      <w:r>
        <w:rPr>
          <w:rStyle w:val="NormalTok"/>
        </w:rPr>
        <w:t xml:space="preserve"> (feed_grade </w:t>
      </w:r>
      <w:r>
        <w:rPr>
          <w:rStyle w:val="OperatorTok"/>
        </w:rPr>
        <w:t xml:space="preserve">-</w:t>
      </w:r>
      <w:r>
        <w:rPr>
          <w:rStyle w:val="NormalTok"/>
        </w:rPr>
        <w:t xml:space="preserve"> tail_grade)) </w:t>
      </w:r>
      <w:r>
        <w:rPr>
          <w:rStyle w:val="OperatorTok"/>
        </w:rPr>
        <w:t xml:space="preserve">/</w:t>
      </w:r>
      <w:r>
        <w:rPr>
          <w:rStyle w:val="NormalTok"/>
        </w:rPr>
        <w:t xml:space="preserve"> denom</w:t>
      </w:r>
    </w:p>
    <w:p>
      <w:pPr>
        <w:pStyle w:val="FirstParagraph"/>
      </w:pPr>
      <w:r>
        <w:rPr>
          <w:bCs/>
          <w:b/>
        </w:rPr>
        <w:t xml:space="preserve">Expected Output.</w:t>
      </w:r>
      <w:r>
        <w:t xml:space="preserve"> A percentage. Worked example → </w:t>
      </w:r>
      <w:r>
        <w:rPr>
          <w:rStyle w:val="VerbatimChar"/>
        </w:rPr>
        <w:t xml:space="preserve">86.91</w:t>
      </w:r>
      <w:r>
        <w:t xml:space="preserve">.</w:t>
      </w:r>
    </w:p>
    <w:p>
      <w:pPr>
        <w:pStyle w:val="BodyText"/>
      </w:pPr>
      <w:r>
        <w:rPr>
          <w:bCs/>
          <w:b/>
        </w:rPr>
        <w:t xml:space="preserve">Worked Example (copper — </w:t>
      </w:r>
      <w:r>
        <w:rPr>
          <w:iCs/>
          <w:i/>
          <w:bCs/>
          <w:b/>
        </w:rPr>
        <w:t xml:space="preserve">Bingham West</w:t>
      </w:r>
      <w:r>
        <w:rPr>
          <w:bCs/>
          <w:b/>
        </w:rPr>
        <w:t xml:space="preserve">).</w:t>
      </w:r>
      <w:r>
        <w:t xml:space="preserve"> Feed </w:t>
      </w:r>
      <w:r>
        <w:rPr>
          <w:bCs/>
          <w:b/>
        </w:rPr>
        <w:t xml:space="preserve">0.60% Cu</w:t>
      </w:r>
      <w:r>
        <w:t xml:space="preserve">, concentrate </w:t>
      </w:r>
      <w:r>
        <w:rPr>
          <w:bCs/>
          <w:b/>
        </w:rPr>
        <w:t xml:space="preserve">28% Cu</w:t>
      </w:r>
      <w:r>
        <w:t xml:space="preserve">, tailings </w:t>
      </w:r>
      <w:r>
        <w:rPr>
          <w:bCs/>
          <w:b/>
        </w:rPr>
        <w:t xml:space="preserve">0.08% Cu</w:t>
      </w:r>
      <w:r>
        <w:t xml:space="preserve">: </w:t>
      </w:r>
      <w:r>
        <w:rPr>
          <w:rStyle w:val="VerbatimChar"/>
        </w:rPr>
        <w:t xml:space="preserve">recovery_two_product(0.6, 28, 0.08)</w:t>
      </w:r>
      <w:r>
        <w:t xml:space="preserve"> → </w:t>
      </w:r>
      <w:r>
        <w:rPr>
          <w:bCs/>
          <w:b/>
        </w:rPr>
        <w:t xml:space="preserve">86.91%</w:t>
      </w:r>
      <w:r>
        <w:t xml:space="preserve">. Nearly 87% of the contained copper reports to concentrate; the ~13% in tailings is the recovery-loss target the metallurgist works against the ore-type benchmark.</w:t>
      </w:r>
    </w:p>
    <w:p>
      <w:pPr>
        <w:pStyle w:val="Warning"/>
      </w:pPr>
      <w:r>
        <w:rPr>
          <w:bCs/>
          <w:b/>
        </w:rPr>
        <w:t xml:space="preserve">Warning — report recovery honestly; never back-fit to a benchmark.</w:t>
      </w:r>
      <w:r>
        <w:t xml:space="preserve"> For a lithium (spodumene) case — feed </w:t>
      </w:r>
      <w:r>
        <w:rPr>
          <w:bCs/>
          <w:b/>
        </w:rPr>
        <w:t xml:space="preserve">1.0%</w:t>
      </w:r>
      <w:r>
        <w:t xml:space="preserve">, concentrate </w:t>
      </w:r>
      <w:r>
        <w:rPr>
          <w:bCs/>
          <w:b/>
        </w:rPr>
        <w:t xml:space="preserve">4.5%</w:t>
      </w:r>
      <w:r>
        <w:t xml:space="preserve">, tailings </w:t>
      </w:r>
      <w:r>
        <w:rPr>
          <w:bCs/>
          <w:b/>
        </w:rPr>
        <w:t xml:space="preserve">0.35% Li₂O</w:t>
      </w:r>
      <w:r>
        <w:t xml:space="preserve"> — the two-product formula gives </w:t>
      </w:r>
      <w:r>
        <w:rPr>
          <w:rStyle w:val="VerbatimChar"/>
        </w:rPr>
        <w:t xml:space="preserve">recovery_two_product(1.0, 4.5, 0.35)</w:t>
      </w:r>
      <w:r>
        <w:t xml:space="preserve"> → </w:t>
      </w:r>
      <w:r>
        <w:rPr>
          <w:bCs/>
          <w:b/>
        </w:rPr>
        <w:t xml:space="preserve">70.48%</w:t>
      </w:r>
      <w:r>
        <w:t xml:space="preserve">. Spodumene plants often </w:t>
      </w:r>
      <w:r>
        <w:rPr>
          <w:iCs/>
          <w:i/>
        </w:rPr>
        <w:t xml:space="preserve">benchmark</w:t>
      </w:r>
      <w:r>
        <w:t xml:space="preserve"> near 71%, but that similarity is coincidental: the KPI reports what the assays imply, </w:t>
      </w:r>
      <w:r>
        <w:rPr>
          <w:bCs/>
          <w:b/>
        </w:rPr>
        <w:t xml:space="preserve">86.91% here and 70.48% there</w:t>
      </w:r>
      <w:r>
        <w:t>, not what the benchmark “should” be. Adjusting grades to hit a target recovery corrupts the KPI. Benchmarks are for interpretation, never for calibration.</w:t>
      </w:r>
    </w:p>
    <w:p>
      <w:pPr>
        <w:pStyle w:val="BodyText"/>
      </w:pPr>
      <w:r>
        <w:rPr>
          <w:bCs/>
          <w:b/>
        </w:rPr>
        <w:t xml:space="preserve">Sample Dataset.</w:t>
      </w:r>
    </w:p>
    <w:tbl>
      <w:tblPr>
        <w:tblStyle w:val="Table"/>
        <w:tblW w:type="auto" w:w="0"/>
        <w:tblLook w:firstRow="1" w:lastRow="0" w:firstColumn="0" w:lastColumn="0" w:noHBand="0" w:noVBand="0" w:val="0020"/>
        <w:jc w:val="start"/>
      </w:tblPr>
      <w:tblGrid>
        <w:gridCol w:w="1584"/>
        <w:gridCol w:w="1584"/>
        <w:gridCol w:w="1584"/>
        <w:gridCol w:w="1584"/>
        <w:gridCol w:w="1584"/>
      </w:tblGrid>
      <w:tr>
        <w:trPr>
          <w:tblHeader w:val="true"/>
        </w:trPr>
        <w:tc>
          <w:tcPr/>
          <w:p>
            <w:pPr>
              <w:pStyle w:val="Compact"/>
              <w:jc w:val="left"/>
            </w:pPr>
            <w:r>
              <w:t xml:space="preserve">metal</w:t>
            </w:r>
          </w:p>
        </w:tc>
        <w:tc>
          <w:tcPr/>
          <w:p>
            <w:pPr>
              <w:pStyle w:val="Compact"/>
              <w:jc w:val="left"/>
            </w:pPr>
            <w:r>
              <w:t xml:space="preserve">feed_%</w:t>
            </w:r>
          </w:p>
        </w:tc>
        <w:tc>
          <w:tcPr/>
          <w:p>
            <w:pPr>
              <w:pStyle w:val="Compact"/>
              <w:jc w:val="left"/>
            </w:pPr>
            <w:r>
              <w:t xml:space="preserve">conc_%</w:t>
            </w:r>
          </w:p>
        </w:tc>
        <w:tc>
          <w:tcPr/>
          <w:p>
            <w:pPr>
              <w:pStyle w:val="Compact"/>
              <w:jc w:val="left"/>
            </w:pPr>
            <w:r>
              <w:t xml:space="preserve">tail_%</w:t>
            </w:r>
          </w:p>
        </w:tc>
        <w:tc>
          <w:tcPr/>
          <w:p>
            <w:pPr>
              <w:pStyle w:val="Compact"/>
              <w:jc w:val="left"/>
            </w:pPr>
            <w:r>
              <w:t xml:space="preserve">recovery_%</w:t>
            </w:r>
          </w:p>
        </w:tc>
      </w:tr>
      <w:tr>
        <w:tc>
          <w:tcPr/>
          <w:p>
            <w:pPr>
              <w:pStyle w:val="Compact"/>
              <w:jc w:val="left"/>
            </w:pPr>
            <w:r>
              <w:t xml:space="preserve">Cu (Bingham West)</w:t>
            </w:r>
          </w:p>
        </w:tc>
        <w:tc>
          <w:tcPr/>
          <w:p>
            <w:pPr>
              <w:pStyle w:val="Compact"/>
              <w:jc w:val="left"/>
            </w:pPr>
            <w:r>
              <w:t xml:space="preserve">0.60</w:t>
            </w:r>
          </w:p>
        </w:tc>
        <w:tc>
          <w:tcPr/>
          <w:p>
            <w:pPr>
              <w:pStyle w:val="Compact"/>
              <w:jc w:val="left"/>
            </w:pPr>
            <w:r>
              <w:t xml:space="preserve">28.0</w:t>
            </w:r>
          </w:p>
        </w:tc>
        <w:tc>
          <w:tcPr/>
          <w:p>
            <w:pPr>
              <w:pStyle w:val="Compact"/>
              <w:jc w:val="left"/>
            </w:pPr>
            <w:r>
              <w:t xml:space="preserve">0.08</w:t>
            </w:r>
          </w:p>
        </w:tc>
        <w:tc>
          <w:tcPr/>
          <w:p>
            <w:pPr>
              <w:pStyle w:val="Compact"/>
              <w:jc w:val="left"/>
            </w:pPr>
            <w:r>
              <w:t xml:space="preserve">86.91</w:t>
            </w:r>
          </w:p>
        </w:tc>
      </w:tr>
      <w:tr>
        <w:tc>
          <w:tcPr/>
          <w:p>
            <w:pPr>
              <w:pStyle w:val="Compact"/>
              <w:jc w:val="left"/>
            </w:pPr>
            <w:r>
              <w:t xml:space="preserve">Li₂O (Green Valley)</w:t>
            </w:r>
          </w:p>
        </w:tc>
        <w:tc>
          <w:tcPr/>
          <w:p>
            <w:pPr>
              <w:pStyle w:val="Compact"/>
              <w:jc w:val="left"/>
            </w:pPr>
            <w:r>
              <w:t xml:space="preserve">1.00</w:t>
            </w:r>
          </w:p>
        </w:tc>
        <w:tc>
          <w:tcPr/>
          <w:p>
            <w:pPr>
              <w:pStyle w:val="Compact"/>
              <w:jc w:val="left"/>
            </w:pPr>
            <w:r>
              <w:t xml:space="preserve">4.50</w:t>
            </w:r>
          </w:p>
        </w:tc>
        <w:tc>
          <w:tcPr/>
          <w:p>
            <w:pPr>
              <w:pStyle w:val="Compact"/>
              <w:jc w:val="left"/>
            </w:pPr>
            <w:r>
              <w:t xml:space="preserve">0.35</w:t>
            </w:r>
          </w:p>
        </w:tc>
        <w:tc>
          <w:tcPr/>
          <w:p>
            <w:pPr>
              <w:pStyle w:val="Compact"/>
              <w:jc w:val="left"/>
            </w:pPr>
            <w:r>
              <w:t xml:space="preserve">70.48</w:t>
            </w:r>
          </w:p>
        </w:tc>
      </w:tr>
    </w:tbl>
    <w:p>
      <w:pPr>
        <w:pStyle w:val="BodyText"/>
      </w:pPr>
      <w:r>
        <w:rPr>
          <w:bCs/>
          <w:b/>
        </w:rPr>
        <w:t xml:space="preserve">Visualization.</w:t>
      </w:r>
      <w:r>
        <w:t xml:space="preserve"> Recovery trend vs ore-type benchmark band; a grade-recovery curve (recovery against concentrate grade — the metallurgist’s trade-off); recovery-by-ore-type box plots to expose feed-driven variation.</w:t>
      </w:r>
    </w:p>
    <w:p>
      <w:pPr>
        <w:pStyle w:val="BodyText"/>
      </w:pPr>
      <w:r>
        <w:rPr>
          <w:bCs/>
          <w:b/>
        </w:rPr>
        <w:t xml:space="preserve">Operational Interpretation.</w:t>
      </w:r>
      <w:r>
        <w:t xml:space="preserve"> Higher is better, strictly against the </w:t>
      </w:r>
      <w:r>
        <w:rPr>
          <w:iCs/>
          <w:i/>
        </w:rPr>
        <w:t xml:space="preserve">ore-type</w:t>
      </w:r>
      <w:r>
        <w:t xml:space="preserve"> benchmark — recovery is meaningless without it, since different ores have different ceilings. </w:t>
      </w:r>
      <w:r>
        <w:rPr>
          <w:iCs/>
          <w:i/>
        </w:rPr>
        <w:t xml:space="preserve">Excellent</w:t>
      </w:r>
      <w:r>
        <w:t xml:space="preserve"> = at or above benchmark with stable concentrate grade; </w:t>
      </w:r>
      <w:r>
        <w:rPr>
          <w:iCs/>
          <w:i/>
        </w:rPr>
        <w:t xml:space="preserve">Critical</w:t>
      </w:r>
      <w:r>
        <w:t xml:space="preserve"> = sustained fall, especially with rising tailings grade (metal walking out the back of the plant). Copper sulphides commonly benchmark high-80s to low-90s%; refractory and fine-grained ores far lower.</w:t>
      </w:r>
    </w:p>
    <w:p>
      <w:pPr>
        <w:pStyle w:val="BodyText"/>
      </w:pPr>
      <w:r>
        <w:rPr>
          <w:bCs/>
          <w:b/>
        </w:rPr>
        <w:t xml:space="preserve">Common Mistakes.</w:t>
      </w:r>
      <w:r>
        <w:t xml:space="preserve"> Averaging recoveries instead of pooling contained metal; applying the two-product formula to a polymetallic stream without separating metals; mixing grade units (% vs g/t) across the three assays; back-fitting grades to a target; ignoring that recovery has an ore-type ceiling and treating one benchmark as universal.</w:t>
      </w:r>
    </w:p>
    <w:p>
      <w:pPr>
        <w:pStyle w:val="BodyText"/>
      </w:pPr>
      <w:r>
        <w:rPr>
          <w:bCs/>
          <w:b/>
        </w:rPr>
        <w:t xml:space="preserve">Validation Rules.</w:t>
      </w:r>
      <w:r>
        <w:t xml:space="preserve"> </w:t>
      </w:r>
      <w:r>
        <w:rPr>
          <w:rStyle w:val="VerbatimChar"/>
        </w:rPr>
        <w:t xml:space="preserve">c &gt; f &gt; t ≥ 0</w:t>
      </w:r>
      <w:r>
        <w:t xml:space="preserve"> for a physical separation; consistent units across the three grades; result in (0, 100]; a result &gt; 100% or ≤ 0% indicates an assay or unit error and must be rejected.</w:t>
      </w:r>
    </w:p>
    <w:p>
      <w:pPr>
        <w:pStyle w:val="BodyText"/>
      </w:pPr>
      <w:r>
        <w:rPr>
          <w:bCs/>
          <w:b/>
        </w:rPr>
        <w:t xml:space="preserve">Unit Tests.</w:t>
      </w:r>
    </w:p>
    <w:p>
      <w:pPr>
        <w:pStyle w:val="SourceCode"/>
      </w:pPr>
      <w:r>
        <w:rPr>
          <w:rStyle w:val="ImportTok"/>
        </w:rPr>
        <w:t xml:space="preserve">from</w:t>
      </w:r>
      <w:r>
        <w:rPr>
          <w:rStyle w:val="NormalTok"/>
        </w:rPr>
        <w:t xml:space="preserve"> mp_kpis_p3 </w:t>
      </w:r>
      <w:r>
        <w:rPr>
          <w:rStyle w:val="ImportTok"/>
        </w:rPr>
        <w:t xml:space="preserve">import</w:t>
      </w:r>
      <w:r>
        <w:rPr>
          <w:rStyle w:val="NormalTok"/>
        </w:rPr>
        <w:t xml:space="preserve"> recovery_two_product</w:t>
      </w:r>
      <w:r>
        <w:br/>
      </w:r>
      <w:r>
        <w:rPr>
          <w:rStyle w:val="ImportTok"/>
        </w:rPr>
        <w:t xml:space="preserve">import</w:t>
      </w:r>
      <w:r>
        <w:rPr>
          <w:rStyle w:val="NormalTok"/>
        </w:rPr>
        <w:t xml:space="preserve"> pytest</w:t>
      </w:r>
      <w:r>
        <w:br/>
        <w:br/>
      </w:r>
      <w:r>
        <w:rPr>
          <w:rStyle w:val="KeywordTok"/>
        </w:rPr>
        <w:t xml:space="preserve">def</w:t>
      </w:r>
      <w:r>
        <w:rPr>
          <w:rStyle w:val="NormalTok"/>
        </w:rPr>
        <w:t xml:space="preserve"> test_recovery_copper_canonical():</w:t>
      </w:r>
      <w:r>
        <w:br/>
      </w:r>
      <w:r>
        <w:rPr>
          <w:rStyle w:val="NormalTok"/>
        </w:rPr>
        <w:t xml:space="preserve">    </w:t>
      </w:r>
      <w:r>
        <w:rPr>
          <w:rStyle w:val="ControlFlowTok"/>
        </w:rPr>
        <w:t xml:space="preserve">assert</w:t>
      </w:r>
      <w:r>
        <w:rPr>
          <w:rStyle w:val="NormalTok"/>
        </w:rPr>
        <w:t xml:space="preserve"> </w:t>
      </w:r>
      <w:r>
        <w:rPr>
          <w:rStyle w:val="BuiltInTok"/>
        </w:rPr>
        <w:t xml:space="preserve">round</w:t>
      </w:r>
      <w:r>
        <w:rPr>
          <w:rStyle w:val="NormalTok"/>
        </w:rPr>
        <w:t xml:space="preserve">(recovery_two_product(</w:t>
      </w:r>
      <w:r>
        <w:rPr>
          <w:rStyle w:val="FloatTok"/>
        </w:rPr>
        <w:t xml:space="preserve">0.6</w:t>
      </w:r>
      <w:r>
        <w:rPr>
          <w:rStyle w:val="NormalTok"/>
        </w:rPr>
        <w:t xml:space="preserve">, </w:t>
      </w:r>
      <w:r>
        <w:rPr>
          <w:rStyle w:val="DecValTok"/>
        </w:rPr>
        <w:t xml:space="preserve">28</w:t>
      </w:r>
      <w:r>
        <w:rPr>
          <w:rStyle w:val="NormalTok"/>
        </w:rPr>
        <w:t xml:space="preserve">, </w:t>
      </w:r>
      <w:r>
        <w:rPr>
          <w:rStyle w:val="FloatTok"/>
        </w:rPr>
        <w:t xml:space="preserve">0.08</w:t>
      </w:r>
      <w:r>
        <w:rPr>
          <w:rStyle w:val="NormalTok"/>
        </w:rPr>
        <w:t xml:space="preserve">), </w:t>
      </w:r>
      <w:r>
        <w:rPr>
          <w:rStyle w:val="DecValTok"/>
        </w:rPr>
        <w:t xml:space="preserve">2</w:t>
      </w:r>
      <w:r>
        <w:rPr>
          <w:rStyle w:val="NormalTok"/>
        </w:rPr>
        <w:t xml:space="preserve">) </w:t>
      </w:r>
      <w:r>
        <w:rPr>
          <w:rStyle w:val="OperatorTok"/>
        </w:rPr>
        <w:t xml:space="preserve">==</w:t>
      </w:r>
      <w:r>
        <w:rPr>
          <w:rStyle w:val="NormalTok"/>
        </w:rPr>
        <w:t xml:space="preserve"> </w:t>
      </w:r>
      <w:r>
        <w:rPr>
          <w:rStyle w:val="FloatTok"/>
        </w:rPr>
        <w:t xml:space="preserve">86.91</w:t>
      </w:r>
      <w:r>
        <w:br/>
        <w:br/>
      </w:r>
      <w:r>
        <w:rPr>
          <w:rStyle w:val="KeywordTok"/>
        </w:rPr>
        <w:t xml:space="preserve">def</w:t>
      </w:r>
      <w:r>
        <w:rPr>
          <w:rStyle w:val="NormalTok"/>
        </w:rPr>
        <w:t xml:space="preserve"> test_recovery_lithium_reported_honestly():</w:t>
      </w:r>
      <w:r>
        <w:br/>
      </w:r>
      <w:r>
        <w:rPr>
          <w:rStyle w:val="NormalTok"/>
        </w:rPr>
        <w:t xml:space="preserve">    </w:t>
      </w:r>
      <w:r>
        <w:rPr>
          <w:rStyle w:val="CommentTok"/>
        </w:rPr>
        <w:t xml:space="preserve"># reported as computed (70.48), NOT adjusted to a ~71% benchmark</w:t>
      </w:r>
      <w:r>
        <w:br/>
      </w:r>
      <w:r>
        <w:rPr>
          <w:rStyle w:val="NormalTok"/>
        </w:rPr>
        <w:t xml:space="preserve">    </w:t>
      </w:r>
      <w:r>
        <w:rPr>
          <w:rStyle w:val="ControlFlowTok"/>
        </w:rPr>
        <w:t xml:space="preserve">assert</w:t>
      </w:r>
      <w:r>
        <w:rPr>
          <w:rStyle w:val="NormalTok"/>
        </w:rPr>
        <w:t xml:space="preserve"> </w:t>
      </w:r>
      <w:r>
        <w:rPr>
          <w:rStyle w:val="BuiltInTok"/>
        </w:rPr>
        <w:t xml:space="preserve">round</w:t>
      </w:r>
      <w:r>
        <w:rPr>
          <w:rStyle w:val="NormalTok"/>
        </w:rPr>
        <w:t xml:space="preserve">(recovery_two_product(</w:t>
      </w:r>
      <w:r>
        <w:rPr>
          <w:rStyle w:val="FloatTok"/>
        </w:rPr>
        <w:t xml:space="preserve">1.0</w:t>
      </w:r>
      <w:r>
        <w:rPr>
          <w:rStyle w:val="NormalTok"/>
        </w:rPr>
        <w:t xml:space="preserve">, </w:t>
      </w:r>
      <w:r>
        <w:rPr>
          <w:rStyle w:val="FloatTok"/>
        </w:rPr>
        <w:t xml:space="preserve">4.5</w:t>
      </w:r>
      <w:r>
        <w:rPr>
          <w:rStyle w:val="NormalTok"/>
        </w:rPr>
        <w:t xml:space="preserve">, </w:t>
      </w:r>
      <w:r>
        <w:rPr>
          <w:rStyle w:val="FloatTok"/>
        </w:rPr>
        <w:t xml:space="preserve">0.35</w:t>
      </w:r>
      <w:r>
        <w:rPr>
          <w:rStyle w:val="NormalTok"/>
        </w:rPr>
        <w:t xml:space="preserve">), </w:t>
      </w:r>
      <w:r>
        <w:rPr>
          <w:rStyle w:val="DecValTok"/>
        </w:rPr>
        <w:t xml:space="preserve">2</w:t>
      </w:r>
      <w:r>
        <w:rPr>
          <w:rStyle w:val="NormalTok"/>
        </w:rPr>
        <w:t xml:space="preserve">) </w:t>
      </w:r>
      <w:r>
        <w:rPr>
          <w:rStyle w:val="OperatorTok"/>
        </w:rPr>
        <w:t xml:space="preserve">==</w:t>
      </w:r>
      <w:r>
        <w:rPr>
          <w:rStyle w:val="NormalTok"/>
        </w:rPr>
        <w:t xml:space="preserve"> </w:t>
      </w:r>
      <w:r>
        <w:rPr>
          <w:rStyle w:val="FloatTok"/>
        </w:rPr>
        <w:t xml:space="preserve">70.48</w:t>
      </w:r>
      <w:r>
        <w:br/>
        <w:br/>
      </w:r>
      <w:r>
        <w:rPr>
          <w:rStyle w:val="KeywordTok"/>
        </w:rPr>
        <w:t xml:space="preserve">def</w:t>
      </w:r>
      <w:r>
        <w:rPr>
          <w:rStyle w:val="NormalTok"/>
        </w:rPr>
        <w:t xml:space="preserve"> test_recovery_rejects_degenerate_grades():</w:t>
      </w:r>
      <w:r>
        <w:br/>
      </w:r>
      <w:r>
        <w:rPr>
          <w:rStyle w:val="NormalTok"/>
        </w:rPr>
        <w:t xml:space="preserve">    </w:t>
      </w:r>
      <w:r>
        <w:rPr>
          <w:rStyle w:val="ControlFlowTok"/>
        </w:rPr>
        <w:t xml:space="preserve">with</w:t>
      </w:r>
      <w:r>
        <w:rPr>
          <w:rStyle w:val="NormalTok"/>
        </w:rPr>
        <w:t xml:space="preserve"> pytest.raises(</w:t>
      </w:r>
      <w:r>
        <w:rPr>
          <w:rStyle w:val="PreprocessorTok"/>
        </w:rPr>
        <w:t xml:space="preserve">ValueError</w:t>
      </w:r>
      <w:r>
        <w:rPr>
          <w:rStyle w:val="NormalTok"/>
        </w:rPr>
        <w:t xml:space="preserve">):</w:t>
      </w:r>
      <w:r>
        <w:br/>
      </w:r>
      <w:r>
        <w:rPr>
          <w:rStyle w:val="NormalTok"/>
        </w:rPr>
        <w:t xml:space="preserve">        recovery_two_product(</w:t>
      </w:r>
      <w:r>
        <w:rPr>
          <w:rStyle w:val="FloatTok"/>
        </w:rPr>
        <w:t xml:space="preserve">0.0</w:t>
      </w:r>
      <w:r>
        <w:rPr>
          <w:rStyle w:val="NormalTok"/>
        </w:rPr>
        <w:t xml:space="preserve">, </w:t>
      </w:r>
      <w:r>
        <w:rPr>
          <w:rStyle w:val="DecValTok"/>
        </w:rPr>
        <w:t xml:space="preserve">28</w:t>
      </w:r>
      <w:r>
        <w:rPr>
          <w:rStyle w:val="NormalTok"/>
        </w:rPr>
        <w:t xml:space="preserve">, </w:t>
      </w:r>
      <w:r>
        <w:rPr>
          <w:rStyle w:val="FloatTok"/>
        </w:rPr>
        <w:t xml:space="preserve">0.08</w:t>
      </w:r>
      <w:r>
        <w:rPr>
          <w:rStyle w:val="NormalTok"/>
        </w:rPr>
        <w:t xml:space="preserve">)</w:t>
      </w:r>
    </w:p>
    <w:p>
      <w:pPr>
        <w:pStyle w:val="FirstParagraph"/>
      </w:pPr>
      <w:r>
        <w:rPr>
          <w:bCs/>
          <w:b/>
        </w:rPr>
        <w:t xml:space="preserve">Performance Considerations.</w:t>
      </w:r>
      <w:r>
        <w:t xml:space="preserve"> O(1) per computation; cost is upstream assay handling and reconciliation. Recovery is computed per shift/day per metal, not per event. </w:t>
      </w:r>
      <w:r>
        <w:rPr>
          <w:bCs/>
          <w:b/>
        </w:rPr>
        <w:t xml:space="preserve">Edge Cases.</w:t>
      </w:r>
      <w:r>
        <w:t xml:space="preserve"> c = t (no separation) → division by zero, rejected; polymetallic ores need per-metal recovery, not a blended figure; very low feed grades amplify assay error into recovery error. </w:t>
      </w:r>
      <w:r>
        <w:rPr>
          <w:bCs/>
          <w:b/>
        </w:rPr>
        <w:t xml:space="preserve">AI Contributor Notes.</w:t>
      </w:r>
      <w:r>
        <w:t xml:space="preserve"> Lagging/strategic and value-critical. An agent must never adjust inputs to match a benchmark — the honest number (86.91%, 70.48%) is the point; the benchmark is context for the </w:t>
      </w:r>
      <w:r>
        <w:rPr>
          <w:iCs/>
          <w:i/>
        </w:rPr>
        <w:t xml:space="preserve">interpretation</w:t>
      </w:r>
      <w:r>
        <w:t xml:space="preserve">, supplied separately. </w:t>
      </w:r>
      <w:r>
        <w:rPr>
          <w:bCs/>
          <w:b/>
        </w:rPr>
        <w:t xml:space="preserve">Digital Twin Mapping.</w:t>
      </w:r>
      <w:r>
        <w:t xml:space="preserve"> The plant twin tracks live recovery per metal against ore-type ceilings and links dips to feed characteristics. </w:t>
      </w:r>
      <w:r>
        <w:rPr>
          <w:bCs/>
          <w:b/>
        </w:rPr>
        <w:t xml:space="preserve">Decision Intelligence Mapping.</w:t>
      </w:r>
      <w:r>
        <w:t xml:space="preserve"> Recovery below benchmark with rising tailings grade → reagent/grind investigation; below benchmark with hard feed → blending or comminution action. </w:t>
      </w:r>
      <w:r>
        <w:rPr>
          <w:bCs/>
          <w:b/>
        </w:rPr>
        <w:t xml:space="preserve">Related KPIs.</w:t>
      </w:r>
      <w:r>
        <w:t xml:space="preserve"> </w:t>
      </w:r>
      <w:r>
        <w:rPr>
          <w:rStyle w:val="VerbatimChar"/>
        </w:rPr>
        <w:t xml:space="preserve">QUAL.Grade</w:t>
      </w:r>
      <w:r>
        <w:t xml:space="preserve">, </w:t>
      </w:r>
      <w:r>
        <w:rPr>
          <w:rStyle w:val="VerbatimChar"/>
        </w:rPr>
        <w:t xml:space="preserve">QUAL.Dilution</w:t>
      </w:r>
      <w:r>
        <w:t xml:space="preserve">, </w:t>
      </w:r>
      <w:r>
        <w:rPr>
          <w:rStyle w:val="VerbatimChar"/>
        </w:rPr>
        <w:t xml:space="preserve">PROD.TPH</w:t>
      </w:r>
      <w:r>
        <w:t xml:space="preserve"> (throughput–recovery trade-off), </w:t>
      </w:r>
      <w:r>
        <w:rPr>
          <w:rStyle w:val="VerbatimChar"/>
        </w:rPr>
        <w:t xml:space="preserve">COST.CostPerTonne</w:t>
      </w:r>
      <w:r>
        <w:t xml:space="preserve">. </w:t>
      </w:r>
      <w:r>
        <w:rPr>
          <w:bCs/>
          <w:b/>
        </w:rPr>
        <w:t xml:space="preserve">References.</w:t>
      </w:r>
      <w:r>
        <w:t xml:space="preserve"> Standard mineral-processing mass-balance theory (two-product formula); Master Architecture Handbook, quality ontology.</w:t>
      </w:r>
    </w:p>
    <w:bookmarkEnd w:id="112"/>
    <w:bookmarkEnd w:id="113"/>
    <w:bookmarkStart w:id="114" w:name="summary-quality"/>
    <w:p>
      <w:pPr>
        <w:pStyle w:val="Heading2"/>
      </w:pPr>
      <w:bookmarkStart w:id="900063" w:name="_TocMP900063"/>
      <w:r>
        <w:t xml:space="preserve">Summary — Quality</w:t>
      </w:r>
      <w:bookmarkEnd w:id="900063"/>
    </w:p>
    <w:p>
      <w:pPr>
        <w:pStyle w:val="FirstParagraph"/>
      </w:pPr>
      <w:r>
        <w:rPr>
          <w:rStyle w:val="VerbatimChar"/>
        </w:rPr>
        <w:t xml:space="preserve">QUAL.Recovery</w:t>
      </w:r>
      <w:r>
        <w:t xml:space="preserve"> measures the fraction of contained metal captured as product, computed robustly from three assays via the two-product formula. It is reported honestly — 86.91% for the copper case, 70.48% for lithium — and interpreted strictly against ore-type benchmarks, never calibrated to them. Recovery is where tonnes become value, and a point of it often outweighs a throughput project.</w:t>
      </w:r>
    </w:p>
    <w:bookmarkEnd w:id="114"/>
    <w:bookmarkStart w:id="115" w:name="further-reading-9"/>
    <w:p>
      <w:pPr>
        <w:pStyle w:val="Heading2"/>
      </w:pPr>
      <w:bookmarkStart w:id="900064" w:name="_TocMP900064"/>
      <w:r>
        <w:t xml:space="preserve">Further Reading</w:t>
      </w:r>
      <w:bookmarkEnd w:id="900064"/>
    </w:p>
    <w:p>
      <w:pPr>
        <w:pStyle w:val="FirstParagraph"/>
      </w:pPr>
      <w:r>
        <w:t xml:space="preserve">Grade and dilution KPIs (registered in the appendix); </w:t>
      </w:r>
      <w:r>
        <w:rPr>
          <w:rStyle w:val="VerbatimChar"/>
        </w:rPr>
        <w:t xml:space="preserve">PROD.TPH</w:t>
      </w:r>
      <w:r>
        <w:t xml:space="preserve"> (the throughput–recovery trade-off); Master Architecture Handbook quality ontology. Next: </w:t>
      </w:r>
      <w:r>
        <w:rPr>
          <w:bCs/>
          <w:b/>
        </w:rPr>
        <w:t xml:space="preserve">Cost KPIs</w:t>
      </w:r>
      <w:r>
        <w:t xml:space="preserve">.</w:t>
      </w:r>
    </w:p>
    <w:p>
      <w:r>
        <w:br w:type="page"/>
      </w:r>
    </w:p>
    <w:bookmarkEnd w:id="115"/>
    <w:bookmarkStart w:id="117" w:name="cost-kpis"/>
    <w:p>
      <w:pPr>
        <w:pStyle w:val="Heading2"/>
      </w:pPr>
      <w:bookmarkStart w:id="900065" w:name="_TocMP900065"/>
      <w:r>
        <w:t xml:space="preserve">Cost KPIs</w:t>
      </w:r>
      <w:bookmarkEnd w:id="900065"/>
    </w:p>
    <w:p>
      <w:pPr>
        <w:pStyle w:val="FirstParagraph"/>
      </w:pPr>
      <w:r>
        <w:t xml:space="preserve">Every operational KPI in this library ultimately serves one financial question: what does it cost to move a tonne, and is that cost improving? Cost KPIs sit at the top of the hierarchy — they are where availability, utilisation, fuel, and maintenance all converge into the number a mine is judged on. The </w:t>
      </w:r>
      <w:r>
        <w:rPr>
          <w:rStyle w:val="VerbatimChar"/>
        </w:rPr>
        <w:t xml:space="preserve">COST</w:t>
      </w:r>
      <w:r>
        <w:t xml:space="preserve"> category expresses spend </w:t>
      </w:r>
      <w:r>
        <w:rPr>
          <w:iCs/>
          <w:i/>
        </w:rPr>
        <w:t xml:space="preserve">per unit of output</w:t>
      </w:r>
      <w:r>
        <w:t xml:space="preserve">, the only form in which cost is comparable across mines of different scale, and the form in which every efficiency KPI can be re-read as dollars.</w:t>
      </w:r>
    </w:p>
    <w:p>
      <w:pPr>
        <w:pStyle w:val="LearningObjectives"/>
      </w:pPr>
      <w:r>
        <w:rPr>
          <w:bCs/>
          <w:b/>
        </w:rPr>
        <w:t xml:space="preserve">Learning Objectives.</w:t>
      </w:r>
      <w:r>
        <w:t xml:space="preserve"> After this section you will be able to: compute unit cost per tonne from cost and production aggregates; explain why unit cost is the convergence point of the operational KPIs; and decompose a cost movement into its operational drivers rather than treating it as a finance-only number.</w:t>
      </w:r>
    </w:p>
    <w:p>
      <w:pPr>
        <w:pStyle w:val="ArchitectureInsight"/>
      </w:pPr>
      <w:r>
        <w:rPr>
          <w:bCs/>
          <w:b/>
        </w:rPr>
        <w:t xml:space="preserve">Architecture Insight — cost is the roll-up, not a silo.</w:t>
      </w:r>
      <w:r>
        <w:t xml:space="preserve"> </w:t>
      </w:r>
      <w:r>
        <w:rPr>
          <w:rStyle w:val="VerbatimChar"/>
        </w:rPr>
        <w:t xml:space="preserve">COST.CostPerTonne</w:t>
      </w:r>
      <w:r>
        <w:t xml:space="preserve"> does not measure anything new — it re-expresses the whole operation in dollars. Its drivers are other KPIs: fuel (</w:t>
      </w:r>
      <w:r>
        <w:rPr>
          <w:rStyle w:val="VerbatimChar"/>
        </w:rPr>
        <w:t xml:space="preserve">ENERGY.FuelPerTonne</w:t>
      </w:r>
      <w:r>
        <w:t xml:space="preserve">), uptime (</w:t>
      </w:r>
      <w:r>
        <w:rPr>
          <w:rStyle w:val="VerbatimChar"/>
        </w:rPr>
        <w:t xml:space="preserve">UTIL.PA</w:t>
      </w:r>
      <w:r>
        <w:t xml:space="preserve">), reliability (</w:t>
      </w:r>
      <w:r>
        <w:rPr>
          <w:rStyle w:val="VerbatimChar"/>
        </w:rPr>
        <w:t xml:space="preserve">MAINT.MTBF</w:t>
      </w:r>
      <w:r>
        <w:t xml:space="preserve">), payload (</w:t>
      </w:r>
      <w:r>
        <w:rPr>
          <w:rStyle w:val="VerbatimChar"/>
        </w:rPr>
        <w:t xml:space="preserve">PROD.Payload</w:t>
      </w:r>
      <w:r>
        <w:t xml:space="preserve">). In the ontology, cost is the top of the KPI dependency graph, which is why a cost movement is always explainable by a movement in an operational KPI beneath it.</w:t>
      </w:r>
    </w:p>
    <w:bookmarkStart w:id="116" w:name="cost.costpertonne-cost-per-tonne"/>
    <w:p>
      <w:pPr>
        <w:pStyle w:val="Heading3"/>
      </w:pPr>
      <w:bookmarkStart w:id="900066" w:name="_TocMP900066"/>
      <w:r>
        <w:t xml:space="preserve">COST.CostPerTonne — Cost Per Tonne</w:t>
      </w:r>
      <w:bookmarkEnd w:id="900066"/>
    </w:p>
    <w:p>
      <w:pPr>
        <w:pStyle w:val="FirstParagraph"/>
      </w:pPr>
      <w:r>
        <w:rPr>
          <w:bCs/>
          <w:b/>
        </w:rPr>
        <w:t xml:space="preserve">Identifier.</w:t>
      </w:r>
      <w:r>
        <w:t xml:space="preserve"> </w:t>
      </w:r>
      <w:r>
        <w:rPr>
          <w:rStyle w:val="VerbatimChar"/>
        </w:rPr>
        <w:t xml:space="preserve">COST.CostPerTonne</w:t>
      </w:r>
      <w:r>
        <w:t xml:space="preserve"> · </w:t>
      </w:r>
      <w:r>
        <w:rPr>
          <w:bCs/>
          <w:b/>
        </w:rPr>
        <w:t xml:space="preserve">Official Name.</w:t>
      </w:r>
      <w:r>
        <w:t xml:space="preserve"> Cost Per Tonne · </w:t>
      </w:r>
      <w:r>
        <w:rPr>
          <w:bCs/>
          <w:b/>
        </w:rPr>
        <w:t xml:space="preserve">Status.</w:t>
      </w:r>
      <w:r>
        <w:t xml:space="preserve"> Active · </w:t>
      </w:r>
      <w:r>
        <w:rPr>
          <w:bCs/>
          <w:b/>
        </w:rPr>
        <w:t xml:space="preserve">Version.</w:t>
      </w:r>
      <w:r>
        <w:t xml:space="preserve"> 1.0.0</w:t>
      </w:r>
    </w:p>
    <w:p>
      <w:pPr>
        <w:pStyle w:val="BodyText"/>
      </w:pPr>
      <w:r>
        <w:rPr>
          <w:bCs/>
          <w:b/>
        </w:rPr>
        <w:t xml:space="preserve">Business Purpose.</w:t>
      </w:r>
      <w:r>
        <w:t xml:space="preserve"> Cost per tonne is the unit economics of the operation: total cost divided by tonnes produced or moved. It exists to make spend comparable across scale and time, and to give every operational improvement a dollar value the business can act on.</w:t>
      </w:r>
    </w:p>
    <w:p>
      <w:pPr>
        <w:pStyle w:val="BodyText"/>
      </w:pPr>
      <w:r>
        <w:rPr>
          <w:bCs/>
          <w:b/>
        </w:rPr>
        <w:t xml:space="preserve">Operational Question.</w:t>
      </w:r>
      <w:r>
        <w:t xml:space="preserve"> </w:t>
      </w:r>
      <w:r>
        <w:rPr>
          <w:iCs/>
          <w:i/>
        </w:rPr>
        <w:t xml:space="preserve">What does it cost, per tonne, to move or produce this material?</w:t>
      </w:r>
    </w:p>
    <w:p>
      <w:pPr>
        <w:pStyle w:val="BodyText"/>
      </w:pPr>
      <w:r>
        <w:rPr>
          <w:bCs/>
          <w:b/>
        </w:rPr>
        <w:t xml:space="preserve">Business Meaning.</w:t>
      </w:r>
      <w:r>
        <w:t xml:space="preserve"> Unit cost is the mine’s bottom-line operational KPI. A rising cost per tonne on stable volumes points to a driver beneath it — fuel, maintenance, contractor rates, or lost productivity spreading fixed cost over fewer tonnes. Because it normalises by output, a bigger operation is not automatically “more expensive”; only its unit cost tells the truth.</w:t>
      </w:r>
    </w:p>
    <w:p>
      <w:pPr>
        <w:pStyle w:val="BodyText"/>
      </w:pPr>
      <w:r>
        <w:rPr>
          <w:bCs/>
          <w:b/>
        </w:rPr>
        <w:t xml:space="preserve">Formula.</w:t>
      </w:r>
    </w:p>
    <w:p>
      <w:pPr>
        <w:pStyle w:val="SourceCode"/>
      </w:pPr>
      <w:r>
        <w:rPr>
          <w:rStyle w:val="VerbatimChar"/>
        </w:rPr>
        <w:t xml:space="preserve">COST.CostPerTonne  =  Total cost  ÷  Tonnes produced (or moved)          [$/t]</w:t>
      </w:r>
    </w:p>
    <w:p>
      <w:pPr>
        <w:pStyle w:val="FirstParagraph"/>
      </w:pPr>
      <w:r>
        <w:rPr>
          <w:bCs/>
          <w:b/>
        </w:rPr>
        <w:t xml:space="preserve">Units.</w:t>
      </w:r>
      <w:r>
        <w:t xml:space="preserve"> Currency per tonne (</w:t>
      </w:r>
      <m:oMath>
        <m:r>
          <m:rPr>
            <m:sty m:val="p"/>
          </m:rPr>
          <m:t>/</m:t>
        </m:r>
        <m:r>
          <m:t>t</m:t>
        </m:r>
        <m:r>
          <m:rPr>
            <m:sty m:val="p"/>
          </m:rPr>
          <m:t>;</m:t>
        </m:r>
        <m:r>
          <m:t>alsoA</m:t>
        </m:r>
      </m:oMath>
      <w:r>
        <w:t xml:space="preserve">/t, US$/t — currency declared). </w:t>
      </w:r>
      <w:r>
        <w:rPr>
          <w:bCs/>
          <w:b/>
        </w:rPr>
        <w:t xml:space="preserve">Dimensions.</w:t>
      </w:r>
      <w:r>
        <w:t xml:space="preserve"> Cost-type (fuel, labour, maintenance, consumables), Equipment, Fleet, Pit, Process stage, Shift, Day, Month, Mine, Commodity, Contractor.</w:t>
      </w:r>
    </w:p>
    <w:p>
      <w:pPr>
        <w:pStyle w:val="BodyText"/>
      </w:pPr>
      <w:r>
        <w:rPr>
          <w:bCs/>
          <w:b/>
        </w:rPr>
        <w:t xml:space="preserve">Required Events.</w:t>
      </w:r>
      <w:r>
        <w:t xml:space="preserve"> </w:t>
      </w:r>
      <w:r>
        <w:rPr>
          <w:rStyle w:val="VerbatimChar"/>
        </w:rPr>
        <w:t xml:space="preserve">CostEvent</w:t>
      </w:r>
      <w:r>
        <w:t xml:space="preserve"> (spend, by type) and </w:t>
      </w:r>
      <w:r>
        <w:rPr>
          <w:rStyle w:val="VerbatimChar"/>
        </w:rPr>
        <w:t xml:space="preserve">CycleEvent</w:t>
      </w:r>
      <w:r>
        <w:t xml:space="preserve">/</w:t>
      </w:r>
      <w:r>
        <w:rPr>
          <w:rStyle w:val="VerbatimChar"/>
        </w:rPr>
        <w:t xml:space="preserve">ProductionEvent</w:t>
      </w:r>
      <w:r>
        <w:t xml:space="preserve"> (tonnes). </w:t>
      </w:r>
      <w:r>
        <w:rPr>
          <w:bCs/>
          <w:b/>
        </w:rPr>
        <w:t xml:space="preserve">Required Ontology.</w:t>
      </w:r>
      <w:r>
        <w:t xml:space="preserve"> CostType, Equipment/Fleet, Material, Mine, Currency. </w:t>
      </w:r>
      <w:r>
        <w:rPr>
          <w:bCs/>
          <w:b/>
        </w:rPr>
        <w:t xml:space="preserve">Dependencies.</w:t>
      </w:r>
      <w:r>
        <w:t xml:space="preserve"> A tonnage basis consistent with </w:t>
      </w:r>
      <w:r>
        <w:rPr>
          <w:rStyle w:val="VerbatimChar"/>
        </w:rPr>
        <w:t xml:space="preserve">PROD.TPH</w:t>
      </w:r>
      <w:r>
        <w:t xml:space="preserve">; a cost taxonomy (which costs are in scope — mining only, or mine-to-port); the operational KPIs that explain its movements.</w:t>
      </w:r>
    </w:p>
    <w:p>
      <w:pPr>
        <w:pStyle w:val="BodyText"/>
      </w:pPr>
      <w:r>
        <w:rPr>
          <w:bCs/>
          <w:b/>
        </w:rPr>
        <w:t xml:space="preserve">Mathematical Properties.</w:t>
      </w:r>
      <w:r>
        <w:t xml:space="preserve"> A ratio; not additive as an intensity, but its </w:t>
      </w:r>
      <w:r>
        <w:rPr>
          <w:iCs/>
          <w:i/>
        </w:rPr>
        <w:t xml:space="preserve">numerator</w:t>
      </w:r>
      <w:r>
        <w:t xml:space="preserve"> (cost) and </w:t>
      </w:r>
      <w:r>
        <w:rPr>
          <w:iCs/>
          <w:i/>
        </w:rPr>
        <w:t xml:space="preserve">denominator</w:t>
      </w:r>
      <w:r>
        <w:t xml:space="preserve"> (tonnes) are both additive, so aggregate by pooling both. Decomposable by cost-type (fuel $/t + labour $/t + … = total $/t), which is what makes it diagnosable.</w:t>
      </w:r>
    </w:p>
    <w:p>
      <w:pPr>
        <w:pStyle w:val="BodyText"/>
      </w:pPr>
      <w:r>
        <w:rPr>
          <w:bCs/>
          <w:b/>
        </w:rPr>
        <w:t xml:space="preserve">Calculation Logic.</w:t>
      </w:r>
      <w:r>
        <w:t xml:space="preserve"> (1) Sum cost over the window and the declared scope (by type for the breakdown). (2) Sum tonnes on the </w:t>
      </w:r>
      <w:r>
        <w:rPr>
          <w:iCs/>
          <w:i/>
        </w:rPr>
        <w:t xml:space="preserve">same</w:t>
      </w:r>
      <w:r>
        <w:t xml:space="preserve"> scope. (3) Divide. (4) For diagnosis, compute per-cost-type unit costs — they sum to the total and reveal the driver.</w:t>
      </w:r>
    </w:p>
    <w:p>
      <w:pPr>
        <w:pStyle w:val="BodyText"/>
      </w:pPr>
      <w:r>
        <w:rPr>
          <w:bCs/>
          <w:b/>
        </w:rPr>
        <w:t xml:space="preserve">Python Implementation.</w:t>
      </w:r>
    </w:p>
    <w:p>
      <w:pPr>
        <w:pStyle w:val="SourceCode"/>
      </w:pPr>
      <w:r>
        <w:rPr>
          <w:rStyle w:val="KeywordTok"/>
        </w:rPr>
        <w:t xml:space="preserve">def</w:t>
      </w:r>
      <w:r>
        <w:rPr>
          <w:rStyle w:val="NormalTok"/>
        </w:rPr>
        <w:t xml:space="preserve"> cost_per_tonne(total_cost: </w:t>
      </w:r>
      <w:r>
        <w:rPr>
          <w:rStyle w:val="BuiltInTok"/>
        </w:rPr>
        <w:t xml:space="preserve">float</w:t>
      </w:r>
      <w:r>
        <w:rPr>
          <w:rStyle w:val="NormalTok"/>
        </w:rPr>
        <w:t xml:space="preserve">, tonnes: </w:t>
      </w:r>
      <w:r>
        <w:rPr>
          <w:rStyle w:val="BuiltInTok"/>
        </w:rPr>
        <w:t xml:space="preserve">float</w:t>
      </w:r>
      <w:r>
        <w:rPr>
          <w:rStyle w:val="NormalTok"/>
        </w:rPr>
        <w:t xml:space="preserve">) </w:t>
      </w:r>
      <w:r>
        <w:rPr>
          <w:rStyle w:val="OperatorTok"/>
        </w:rPr>
        <w:t xml:space="preserve">-&gt;</w:t>
      </w:r>
      <w:r>
        <w:rPr>
          <w:rStyle w:val="NormalTok"/>
        </w:rPr>
        <w:t xml:space="preserve"> </w:t>
      </w:r>
      <w:r>
        <w:rPr>
          <w:rStyle w:val="BuiltInTok"/>
        </w:rPr>
        <w:t xml:space="preserve">float</w:t>
      </w:r>
      <w:r>
        <w:rPr>
          <w:rStyle w:val="NormalTok"/>
        </w:rPr>
        <w:t xml:space="preserve">:</w:t>
      </w:r>
      <w:r>
        <w:br/>
      </w:r>
      <w:r>
        <w:rPr>
          <w:rStyle w:val="NormalTok"/>
        </w:rPr>
        <w:t xml:space="preserve">    </w:t>
      </w:r>
      <w:r>
        <w:rPr>
          <w:rStyle w:val="CommentTok"/>
        </w:rPr>
        <w:t xml:space="preserve">"""COST.CostPerTonne — unit cost of material moved/produced ($/t)."""</w:t>
      </w:r>
      <w:r>
        <w:br/>
      </w:r>
      <w:r>
        <w:rPr>
          <w:rStyle w:val="NormalTok"/>
        </w:rPr>
        <w:t xml:space="preserve">    </w:t>
      </w:r>
      <w:r>
        <w:rPr>
          <w:rStyle w:val="ControlFlowTok"/>
        </w:rPr>
        <w:t xml:space="preserve">if</w:t>
      </w:r>
      <w:r>
        <w:rPr>
          <w:rStyle w:val="NormalTok"/>
        </w:rPr>
        <w:t xml:space="preserve"> tonnes </w:t>
      </w:r>
      <w:r>
        <w:rPr>
          <w:rStyle w:val="OperatorTok"/>
        </w:rPr>
        <w:t xml:space="preserve">&lt;=</w:t>
      </w:r>
      <w:r>
        <w:rPr>
          <w:rStyle w:val="NormalTok"/>
        </w:rPr>
        <w:t xml:space="preserve"> </w:t>
      </w:r>
      <w:r>
        <w:rPr>
          <w:rStyle w:val="DecValTok"/>
        </w:rPr>
        <w:t xml:space="preserve">0</w:t>
      </w:r>
      <w:r>
        <w:rPr>
          <w:rStyle w:val="NormalTok"/>
        </w:rPr>
        <w:t xml:space="preserve">:</w:t>
      </w:r>
      <w:r>
        <w:br/>
      </w:r>
      <w:r>
        <w:rPr>
          <w:rStyle w:val="NormalTok"/>
        </w:rPr>
        <w:t xml:space="preserve">        </w:t>
      </w:r>
      <w:r>
        <w:rPr>
          <w:rStyle w:val="ControlFlowTok"/>
        </w:rPr>
        <w:t xml:space="preserve">raise</w:t>
      </w:r>
      <w:r>
        <w:rPr>
          <w:rStyle w:val="NormalTok"/>
        </w:rPr>
        <w:t xml:space="preserve"> </w:t>
      </w:r>
      <w:r>
        <w:rPr>
          <w:rStyle w:val="PreprocessorTok"/>
        </w:rPr>
        <w:t xml:space="preserve">ValueError</w:t>
      </w:r>
      <w:r>
        <w:rPr>
          <w:rStyle w:val="NormalTok"/>
        </w:rPr>
        <w:t xml:space="preserve">(</w:t>
      </w:r>
      <w:r>
        <w:rPr>
          <w:rStyle w:val="StringTok"/>
        </w:rPr>
        <w:t xml:space="preserve">"tonnes must be &gt; 0"</w:t>
      </w:r>
      <w:r>
        <w:rPr>
          <w:rStyle w:val="NormalTok"/>
        </w:rPr>
        <w:t xml:space="preserve">)</w:t>
      </w:r>
      <w:r>
        <w:br/>
      </w:r>
      <w:r>
        <w:rPr>
          <w:rStyle w:val="NormalTok"/>
        </w:rPr>
        <w:t xml:space="preserve">    </w:t>
      </w:r>
      <w:r>
        <w:rPr>
          <w:rStyle w:val="ControlFlowTok"/>
        </w:rPr>
        <w:t xml:space="preserve">return</w:t>
      </w:r>
      <w:r>
        <w:rPr>
          <w:rStyle w:val="NormalTok"/>
        </w:rPr>
        <w:t xml:space="preserve"> total_cost </w:t>
      </w:r>
      <w:r>
        <w:rPr>
          <w:rStyle w:val="OperatorTok"/>
        </w:rPr>
        <w:t xml:space="preserve">/</w:t>
      </w:r>
      <w:r>
        <w:rPr>
          <w:rStyle w:val="NormalTok"/>
        </w:rPr>
        <w:t xml:space="preserve"> tonnes</w:t>
      </w:r>
    </w:p>
    <w:p>
      <w:pPr>
        <w:pStyle w:val="FirstParagraph"/>
      </w:pPr>
      <w:r>
        <w:rPr>
          <w:bCs/>
          <w:b/>
        </w:rPr>
        <w:t xml:space="preserve">Expected Output.</w:t>
      </w:r>
      <w:r>
        <w:t xml:space="preserve"> Currency per tonne. Worked example → </w:t>
      </w:r>
      <w:r>
        <w:rPr>
          <w:rStyle w:val="VerbatimChar"/>
        </w:rPr>
        <w:t xml:space="preserve">2.20</w:t>
      </w:r>
      <w:r>
        <w:t xml:space="preserve">.</w:t>
      </w:r>
    </w:p>
    <w:p>
      <w:pPr>
        <w:pStyle w:val="BodyText"/>
      </w:pPr>
      <w:r>
        <w:rPr>
          <w:bCs/>
          <w:b/>
        </w:rPr>
        <w:t xml:space="preserve">Worked Example.</w:t>
      </w:r>
      <w:r>
        <w:t xml:space="preserve"> A shift at </w:t>
      </w:r>
      <w:r>
        <w:rPr>
          <w:iCs/>
          <w:i/>
        </w:rPr>
        <w:t xml:space="preserve">Black Diamond</w:t>
      </w:r>
      <w:r>
        <w:t xml:space="preserve"> incurs </w:t>
      </w:r>
      <w:r>
        <w:rPr>
          <w:bCs/>
          <w:b/>
        </w:rPr>
        <w:t xml:space="preserve">$79,200</w:t>
      </w:r>
      <w:r>
        <w:t xml:space="preserve"> of mining cost to move </w:t>
      </w:r>
      <w:r>
        <w:rPr>
          <w:bCs/>
          <w:b/>
        </w:rPr>
        <w:t xml:space="preserve">36,000 t</w:t>
      </w:r>
      <w:r>
        <w:t xml:space="preserve">. </w:t>
      </w:r>
      <w:r>
        <w:rPr>
          <w:rStyle w:val="VerbatimChar"/>
        </w:rPr>
        <w:t xml:space="preserve">cost_per_tonne(79200, 36000)</w:t>
      </w:r>
      <w:r>
        <w:t xml:space="preserve"> → </w:t>
      </w:r>
      <w:r>
        <w:rPr>
          <w:bCs/>
          <w:b/>
        </w:rPr>
        <w:t xml:space="preserve">$2.20/t</w:t>
      </w:r>
      <w:r>
        <w:t xml:space="preserve">. Decomposed, fuel contributes about $0.06/t (0.579 L/t × diesel price) — a reminder that fuel, though visible, is rarely the largest driver; labour and maintenance usually dominate the $2.20.</w:t>
      </w:r>
    </w:p>
    <w:p>
      <w:pPr>
        <w:pStyle w:val="BodyText"/>
      </w:pPr>
      <w:r>
        <w:rPr>
          <w:bCs/>
          <w:b/>
        </w:rPr>
        <w:t xml:space="preserve">Sample Dataset.</w:t>
      </w:r>
    </w:p>
    <w:tbl>
      <w:tblPr>
        <w:tblStyle w:val="Table"/>
        <w:tblW w:type="auto" w:w="0"/>
        <w:tblLook w:firstRow="1" w:lastRow="0" w:firstColumn="0" w:lastColumn="0" w:noHBand="0" w:noVBand="0" w:val="0020"/>
        <w:jc w:val="start"/>
      </w:tblPr>
      <w:tblGrid>
        <w:gridCol w:w="1980"/>
        <w:gridCol w:w="1980"/>
        <w:gridCol w:w="1980"/>
        <w:gridCol w:w="1980"/>
      </w:tblGrid>
      <w:tr>
        <w:trPr>
          <w:tblHeader w:val="true"/>
        </w:trPr>
        <w:tc>
          <w:tcPr/>
          <w:p>
            <w:pPr>
              <w:pStyle w:val="Compact"/>
              <w:jc w:val="left"/>
            </w:pPr>
            <w:r>
              <w:t xml:space="preserve">scope</w:t>
            </w:r>
          </w:p>
        </w:tc>
        <w:tc>
          <w:tcPr/>
          <w:p>
            <w:pPr>
              <w:pStyle w:val="Compact"/>
              <w:jc w:val="left"/>
            </w:pPr>
            <w:r>
              <w:t xml:space="preserve">total_cost_$</w:t>
            </w:r>
          </w:p>
        </w:tc>
        <w:tc>
          <w:tcPr/>
          <w:p>
            <w:pPr>
              <w:pStyle w:val="Compact"/>
              <w:jc w:val="left"/>
            </w:pPr>
            <w:r>
              <w:t xml:space="preserve">tonnes</w:t>
            </w:r>
          </w:p>
        </w:tc>
        <w:tc>
          <w:tcPr/>
          <w:p>
            <w:pPr>
              <w:pStyle w:val="Compact"/>
              <w:jc w:val="left"/>
            </w:pPr>
            <w:r>
              <w:t xml:space="preserve">cost_per_t_$</w:t>
            </w:r>
          </w:p>
        </w:tc>
      </w:tr>
      <w:tr>
        <w:tc>
          <w:tcPr/>
          <w:p>
            <w:pPr>
              <w:pStyle w:val="Compact"/>
              <w:jc w:val="left"/>
            </w:pPr>
            <w:r>
              <w:t xml:space="preserve">Black Diamond shift</w:t>
            </w:r>
          </w:p>
        </w:tc>
        <w:tc>
          <w:tcPr/>
          <w:p>
            <w:pPr>
              <w:pStyle w:val="Compact"/>
              <w:jc w:val="left"/>
            </w:pPr>
            <w:r>
              <w:t xml:space="preserve">79200</w:t>
            </w:r>
          </w:p>
        </w:tc>
        <w:tc>
          <w:tcPr/>
          <w:p>
            <w:pPr>
              <w:pStyle w:val="Compact"/>
              <w:jc w:val="left"/>
            </w:pPr>
            <w:r>
              <w:t xml:space="preserve">36000</w:t>
            </w:r>
          </w:p>
        </w:tc>
        <w:tc>
          <w:tcPr/>
          <w:p>
            <w:pPr>
              <w:pStyle w:val="Compact"/>
              <w:jc w:val="left"/>
            </w:pPr>
            <w:r>
              <w:t xml:space="preserve">2.20</w:t>
            </w:r>
          </w:p>
        </w:tc>
      </w:tr>
    </w:tbl>
    <w:p>
      <w:pPr>
        <w:pStyle w:val="BodyText"/>
      </w:pPr>
      <w:r>
        <w:rPr>
          <w:bCs/>
          <w:b/>
        </w:rPr>
        <w:t xml:space="preserve">Visualization.</w:t>
      </w:r>
      <w:r>
        <w:t xml:space="preserve"> Cost-per-tonne trend with a target line; a stacked bar of unit cost by cost-type (fuel/labour/maintenance/consumables) showing the driver mix; a waterfall from last period’s unit cost to this period’s, attributed to each driver.</w:t>
      </w:r>
    </w:p>
    <w:p>
      <w:pPr>
        <w:pStyle w:val="BodyText"/>
      </w:pPr>
      <w:r>
        <w:rPr>
          <w:bCs/>
          <w:b/>
        </w:rPr>
        <w:t xml:space="preserve">Operational Interpretation.</w:t>
      </w:r>
      <w:r>
        <w:t xml:space="preserve"> Lower is better, against budget and against comparable operations. </w:t>
      </w:r>
      <w:r>
        <w:rPr>
          <w:iCs/>
          <w:i/>
        </w:rPr>
        <w:t xml:space="preserve">Excellent</w:t>
      </w:r>
      <w:r>
        <w:t xml:space="preserve"> = at or below target with a healthy driver mix; </w:t>
      </w:r>
      <w:r>
        <w:rPr>
          <w:iCs/>
          <w:i/>
        </w:rPr>
        <w:t xml:space="preserve">Critical</w:t>
      </w:r>
      <w:r>
        <w:t xml:space="preserve"> = rising unit cost, especially when driven by falling tonnes (fixed cost spread thinner) — a productivity problem wearing a cost mask. Absolute benchmarks vary enormously by commodity, method, and geography, so trend and budget-variance matter more than any universal figure.</w:t>
      </w:r>
    </w:p>
    <w:p>
      <w:pPr>
        <w:pStyle w:val="BodyText"/>
      </w:pPr>
      <w:r>
        <w:rPr>
          <w:bCs/>
          <w:b/>
        </w:rPr>
        <w:t xml:space="preserve">Common Mistakes.</w:t>
      </w:r>
      <w:r>
        <w:t xml:space="preserve"> Comparing unit costs across different scope boundaries (mining-only vs mine-to-port); averaging unit costs instead of pooling cost and tonnes; treating cost as a finance silo divorced from the operational drivers; mixing currencies; ignoring that a cost </w:t>
      </w:r>
      <w:r>
        <w:rPr>
          <w:iCs/>
          <w:i/>
        </w:rPr>
        <w:t xml:space="preserve">rise</w:t>
      </w:r>
      <w:r>
        <w:t xml:space="preserve"> can be a tonnage </w:t>
      </w:r>
      <w:r>
        <w:rPr>
          <w:iCs/>
          <w:i/>
        </w:rPr>
        <w:t xml:space="preserve">fall</w:t>
      </w:r>
      <w:r>
        <w:t xml:space="preserve"> in disguise.</w:t>
      </w:r>
    </w:p>
    <w:p>
      <w:pPr>
        <w:pStyle w:val="BodyText"/>
      </w:pPr>
      <w:r>
        <w:rPr>
          <w:bCs/>
          <w:b/>
        </w:rPr>
        <w:t xml:space="preserve">Validation Rules.</w:t>
      </w:r>
      <w:r>
        <w:t xml:space="preserve"> </w:t>
      </w:r>
      <w:r>
        <w:rPr>
          <w:rStyle w:val="VerbatimChar"/>
        </w:rPr>
        <w:t xml:space="preserve">total_cost ≥ 0</w:t>
      </w:r>
      <w:r>
        <w:t xml:space="preserve">, </w:t>
      </w:r>
      <w:r>
        <w:rPr>
          <w:rStyle w:val="VerbatimChar"/>
        </w:rPr>
        <w:t xml:space="preserve">tonnes &gt; 0</w:t>
      </w:r>
      <w:r>
        <w:t xml:space="preserve">; cost and tonnage on identical scope/window; single declared currency; per-type unit costs must sum to the total (decomposition check).</w:t>
      </w:r>
    </w:p>
    <w:p>
      <w:pPr>
        <w:pStyle w:val="BodyText"/>
      </w:pPr>
      <w:r>
        <w:rPr>
          <w:bCs/>
          <w:b/>
        </w:rPr>
        <w:t xml:space="preserve">Unit Tests.</w:t>
      </w:r>
    </w:p>
    <w:p>
      <w:pPr>
        <w:pStyle w:val="SourceCode"/>
      </w:pPr>
      <w:r>
        <w:rPr>
          <w:rStyle w:val="ImportTok"/>
        </w:rPr>
        <w:t xml:space="preserve">from</w:t>
      </w:r>
      <w:r>
        <w:rPr>
          <w:rStyle w:val="NormalTok"/>
        </w:rPr>
        <w:t xml:space="preserve"> mp_kpis_p3 </w:t>
      </w:r>
      <w:r>
        <w:rPr>
          <w:rStyle w:val="ImportTok"/>
        </w:rPr>
        <w:t xml:space="preserve">import</w:t>
      </w:r>
      <w:r>
        <w:rPr>
          <w:rStyle w:val="NormalTok"/>
        </w:rPr>
        <w:t xml:space="preserve"> cost_per_tonne</w:t>
      </w:r>
      <w:r>
        <w:br/>
      </w:r>
      <w:r>
        <w:rPr>
          <w:rStyle w:val="ImportTok"/>
        </w:rPr>
        <w:t xml:space="preserve">import</w:t>
      </w:r>
      <w:r>
        <w:rPr>
          <w:rStyle w:val="NormalTok"/>
        </w:rPr>
        <w:t xml:space="preserve"> pytest</w:t>
      </w:r>
      <w:r>
        <w:br/>
        <w:br/>
      </w:r>
      <w:r>
        <w:rPr>
          <w:rStyle w:val="KeywordTok"/>
        </w:rPr>
        <w:t xml:space="preserve">def</w:t>
      </w:r>
      <w:r>
        <w:rPr>
          <w:rStyle w:val="NormalTok"/>
        </w:rPr>
        <w:t xml:space="preserve"> test_cost_per_tonne_canonical():</w:t>
      </w:r>
      <w:r>
        <w:br/>
      </w:r>
      <w:r>
        <w:rPr>
          <w:rStyle w:val="NormalTok"/>
        </w:rPr>
        <w:t xml:space="preserve">    </w:t>
      </w:r>
      <w:r>
        <w:rPr>
          <w:rStyle w:val="ControlFlowTok"/>
        </w:rPr>
        <w:t xml:space="preserve">assert</w:t>
      </w:r>
      <w:r>
        <w:rPr>
          <w:rStyle w:val="NormalTok"/>
        </w:rPr>
        <w:t xml:space="preserve"> </w:t>
      </w:r>
      <w:r>
        <w:rPr>
          <w:rStyle w:val="BuiltInTok"/>
        </w:rPr>
        <w:t xml:space="preserve">round</w:t>
      </w:r>
      <w:r>
        <w:rPr>
          <w:rStyle w:val="NormalTok"/>
        </w:rPr>
        <w:t xml:space="preserve">(cost_per_tonne(</w:t>
      </w:r>
      <w:r>
        <w:rPr>
          <w:rStyle w:val="DecValTok"/>
        </w:rPr>
        <w:t xml:space="preserve">79200</w:t>
      </w:r>
      <w:r>
        <w:rPr>
          <w:rStyle w:val="NormalTok"/>
        </w:rPr>
        <w:t xml:space="preserve">, </w:t>
      </w:r>
      <w:r>
        <w:rPr>
          <w:rStyle w:val="DecValTok"/>
        </w:rPr>
        <w:t xml:space="preserve">36000</w:t>
      </w:r>
      <w:r>
        <w:rPr>
          <w:rStyle w:val="NormalTok"/>
        </w:rPr>
        <w:t xml:space="preserve">), </w:t>
      </w:r>
      <w:r>
        <w:rPr>
          <w:rStyle w:val="DecValTok"/>
        </w:rPr>
        <w:t xml:space="preserve">2</w:t>
      </w:r>
      <w:r>
        <w:rPr>
          <w:rStyle w:val="NormalTok"/>
        </w:rPr>
        <w:t xml:space="preserve">) </w:t>
      </w:r>
      <w:r>
        <w:rPr>
          <w:rStyle w:val="OperatorTok"/>
        </w:rPr>
        <w:t xml:space="preserve">==</w:t>
      </w:r>
      <w:r>
        <w:rPr>
          <w:rStyle w:val="NormalTok"/>
        </w:rPr>
        <w:t xml:space="preserve"> </w:t>
      </w:r>
      <w:r>
        <w:rPr>
          <w:rStyle w:val="FloatTok"/>
        </w:rPr>
        <w:t xml:space="preserve">2.20</w:t>
      </w:r>
      <w:r>
        <w:br/>
        <w:br/>
      </w:r>
      <w:r>
        <w:rPr>
          <w:rStyle w:val="KeywordTok"/>
        </w:rPr>
        <w:t xml:space="preserve">def</w:t>
      </w:r>
      <w:r>
        <w:rPr>
          <w:rStyle w:val="NormalTok"/>
        </w:rPr>
        <w:t xml:space="preserve"> test_cost_per_tonne_rejects_zero_tonnes():</w:t>
      </w:r>
      <w:r>
        <w:br/>
      </w:r>
      <w:r>
        <w:rPr>
          <w:rStyle w:val="NormalTok"/>
        </w:rPr>
        <w:t xml:space="preserve">    </w:t>
      </w:r>
      <w:r>
        <w:rPr>
          <w:rStyle w:val="ControlFlowTok"/>
        </w:rPr>
        <w:t xml:space="preserve">with</w:t>
      </w:r>
      <w:r>
        <w:rPr>
          <w:rStyle w:val="NormalTok"/>
        </w:rPr>
        <w:t xml:space="preserve"> pytest.raises(</w:t>
      </w:r>
      <w:r>
        <w:rPr>
          <w:rStyle w:val="PreprocessorTok"/>
        </w:rPr>
        <w:t xml:space="preserve">ValueError</w:t>
      </w:r>
      <w:r>
        <w:rPr>
          <w:rStyle w:val="NormalTok"/>
        </w:rPr>
        <w:t xml:space="preserve">):</w:t>
      </w:r>
      <w:r>
        <w:br/>
      </w:r>
      <w:r>
        <w:rPr>
          <w:rStyle w:val="NormalTok"/>
        </w:rPr>
        <w:t xml:space="preserve">        cost_per_tonne(</w:t>
      </w:r>
      <w:r>
        <w:rPr>
          <w:rStyle w:val="DecValTok"/>
        </w:rPr>
        <w:t xml:space="preserve">79200</w:t>
      </w:r>
      <w:r>
        <w:rPr>
          <w:rStyle w:val="NormalTok"/>
        </w:rPr>
        <w:t xml:space="preserve">, </w:t>
      </w:r>
      <w:r>
        <w:rPr>
          <w:rStyle w:val="DecValTok"/>
        </w:rPr>
        <w:t xml:space="preserve">0</w:t>
      </w:r>
      <w:r>
        <w:rPr>
          <w:rStyle w:val="NormalTok"/>
        </w:rPr>
        <w:t xml:space="preserve">)</w:t>
      </w:r>
    </w:p>
    <w:p>
      <w:pPr>
        <w:pStyle w:val="FirstParagraph"/>
      </w:pPr>
      <w:r>
        <w:rPr>
          <w:bCs/>
          <w:b/>
        </w:rPr>
        <w:t xml:space="preserve">Performance Considerations.</w:t>
      </w:r>
      <w:r>
        <w:t xml:space="preserve"> O(1) given the two sums; the work is joining </w:t>
      </w:r>
      <w:r>
        <w:rPr>
          <w:rStyle w:val="VerbatimChar"/>
        </w:rPr>
        <w:t xml:space="preserve">CostEvent</w:t>
      </w:r>
      <w:r>
        <w:t xml:space="preserve"> to production on a common scope and period — pre-aggregate both to (scope, day, cost-type). </w:t>
      </w:r>
      <w:r>
        <w:rPr>
          <w:bCs/>
          <w:b/>
        </w:rPr>
        <w:t xml:space="preserve">Edge Cases.</w:t>
      </w:r>
      <w:r>
        <w:t xml:space="preserve"> Fixed costs over a zero-production window → undefined unit cost (report cost separately, not as infinite $/t); allocation of shared costs across pits needs a declared, consistent rule. </w:t>
      </w:r>
      <w:r>
        <w:rPr>
          <w:bCs/>
          <w:b/>
        </w:rPr>
        <w:t xml:space="preserve">AI Contributor Notes.</w:t>
      </w:r>
      <w:r>
        <w:t xml:space="preserve"> Lagging/strategic and top-of-hierarchy. An agent explaining a cost movement should </w:t>
      </w:r>
      <w:r>
        <w:rPr>
          <w:iCs/>
          <w:i/>
        </w:rPr>
        <w:t xml:space="preserve">always</w:t>
      </w:r>
      <w:r>
        <w:t xml:space="preserve"> descend into the driver KPIs — a cost recommendation that does not name an operational lever is incomplete. </w:t>
      </w:r>
      <w:r>
        <w:rPr>
          <w:bCs/>
          <w:b/>
        </w:rPr>
        <w:t xml:space="preserve">Digital Twin Mapping.</w:t>
      </w:r>
      <w:r>
        <w:t xml:space="preserve"> The twin maintains live unit cost and its driver decomposition, projecting period-end against budget. </w:t>
      </w:r>
      <w:r>
        <w:rPr>
          <w:bCs/>
          <w:b/>
        </w:rPr>
        <w:t xml:space="preserve">Decision Intelligence Mapping.</w:t>
      </w:r>
      <w:r>
        <w:t xml:space="preserve"> The dominant cost driver routes the action: fuel→haulage efficiency, maintenance→reliability, low tonnes→availability/dispatch. Cost is where every other KPI’s recommendation is priced. </w:t>
      </w:r>
      <w:r>
        <w:rPr>
          <w:bCs/>
          <w:b/>
        </w:rPr>
        <w:t xml:space="preserve">Related KPIs.</w:t>
      </w:r>
      <w:r>
        <w:t xml:space="preserve"> </w:t>
      </w:r>
      <w:r>
        <w:rPr>
          <w:rStyle w:val="VerbatimChar"/>
        </w:rPr>
        <w:t xml:space="preserve">ENERGY.FuelPerTonne</w:t>
      </w:r>
      <w:r>
        <w:t xml:space="preserve">, </w:t>
      </w:r>
      <w:r>
        <w:rPr>
          <w:rStyle w:val="VerbatimChar"/>
        </w:rPr>
        <w:t xml:space="preserve">UTIL.PA</w:t>
      </w:r>
      <w:r>
        <w:t xml:space="preserve">, </w:t>
      </w:r>
      <w:r>
        <w:rPr>
          <w:rStyle w:val="VerbatimChar"/>
        </w:rPr>
        <w:t xml:space="preserve">MAINT.MTBF</w:t>
      </w:r>
      <w:r>
        <w:t xml:space="preserve">, </w:t>
      </w:r>
      <w:r>
        <w:rPr>
          <w:rStyle w:val="VerbatimChar"/>
        </w:rPr>
        <w:t xml:space="preserve">PROD.TPH</w:t>
      </w:r>
      <w:r>
        <w:t xml:space="preserve">, </w:t>
      </w:r>
      <w:r>
        <w:rPr>
          <w:rStyle w:val="VerbatimChar"/>
        </w:rPr>
        <w:t xml:space="preserve">PROD.Payload</w:t>
      </w:r>
      <w:r>
        <w:t xml:space="preserve">. </w:t>
      </w:r>
      <w:r>
        <w:rPr>
          <w:bCs/>
          <w:b/>
        </w:rPr>
        <w:t xml:space="preserve">References.</w:t>
      </w:r>
      <w:r>
        <w:t xml:space="preserve"> Standard mine cost-accounting practice; Master Architecture Handbook, cost ontology; Reference Implementation Blueprint, cost module.</w:t>
      </w:r>
    </w:p>
    <w:bookmarkEnd w:id="116"/>
    <w:bookmarkEnd w:id="117"/>
    <w:bookmarkStart w:id="118" w:name="summary-cost"/>
    <w:p>
      <w:pPr>
        <w:pStyle w:val="Heading2"/>
      </w:pPr>
      <w:bookmarkStart w:id="900067" w:name="_TocMP900067"/>
      <w:r>
        <w:t xml:space="preserve">Summary — Cost</w:t>
      </w:r>
      <w:bookmarkEnd w:id="900067"/>
    </w:p>
    <w:p>
      <w:pPr>
        <w:pStyle w:val="FirstParagraph"/>
      </w:pPr>
      <w:r>
        <w:rPr>
          <w:rStyle w:val="VerbatimChar"/>
        </w:rPr>
        <w:t xml:space="preserve">COST.CostPerTonne</w:t>
      </w:r>
      <w:r>
        <w:t xml:space="preserve"> is the operation expressed in dollars per unit of output — the convergence point where fuel, uptime, reliability, and payload all surface as money. It is diagnosable because it decomposes by cost-type and because every movement traces to an operational KPI beneath it. Compare on identical scope, pool rather than average, and always read a cost change through its drivers.</w:t>
      </w:r>
    </w:p>
    <w:bookmarkEnd w:id="118"/>
    <w:bookmarkStart w:id="119" w:name="further-reading-10"/>
    <w:p>
      <w:pPr>
        <w:pStyle w:val="Heading2"/>
      </w:pPr>
      <w:bookmarkStart w:id="900068" w:name="_TocMP900068"/>
      <w:r>
        <w:t xml:space="preserve">Further Reading</w:t>
      </w:r>
      <w:bookmarkEnd w:id="900068"/>
    </w:p>
    <w:p>
      <w:pPr>
        <w:pStyle w:val="FirstParagraph"/>
      </w:pPr>
      <w:r>
        <w:rPr>
          <w:rStyle w:val="VerbatimChar"/>
        </w:rPr>
        <w:t xml:space="preserve">ENERGY.FuelPerTonne</w:t>
      </w:r>
      <w:r>
        <w:t xml:space="preserve">, </w:t>
      </w:r>
      <w:r>
        <w:rPr>
          <w:rStyle w:val="VerbatimChar"/>
        </w:rPr>
        <w:t xml:space="preserve">UTIL.PA</w:t>
      </w:r>
      <w:r>
        <w:t xml:space="preserve">, </w:t>
      </w:r>
      <w:r>
        <w:rPr>
          <w:rStyle w:val="VerbatimChar"/>
        </w:rPr>
        <w:t xml:space="preserve">MAINT.MTBF</w:t>
      </w:r>
      <w:r>
        <w:t xml:space="preserve"> (the drivers beneath cost); Financial KPIs (registered in the appendix). Next: </w:t>
      </w:r>
      <w:r>
        <w:rPr>
          <w:bCs/>
          <w:b/>
        </w:rPr>
        <w:t xml:space="preserve">Safety KPIs</w:t>
      </w:r>
      <w:r>
        <w:t xml:space="preserve">.</w:t>
      </w:r>
    </w:p>
    <w:p>
      <w:r>
        <w:br w:type="page"/>
      </w:r>
    </w:p>
    <w:bookmarkEnd w:id="119"/>
    <w:bookmarkStart w:id="121" w:name="safety-kpis"/>
    <w:p>
      <w:pPr>
        <w:pStyle w:val="Heading2"/>
      </w:pPr>
      <w:bookmarkStart w:id="900069" w:name="_TocMP900069"/>
      <w:r>
        <w:t xml:space="preserve">Safety KPIs</w:t>
      </w:r>
      <w:bookmarkEnd w:id="900069"/>
    </w:p>
    <w:p>
      <w:pPr>
        <w:pStyle w:val="FirstParagraph"/>
      </w:pPr>
      <w:r>
        <w:t xml:space="preserve">No productivity number matters if the operation is unsafe, and modern mines increasingly manage safety with the same leading-indicator discipline they apply to production. Safety KPIs measure the </w:t>
      </w:r>
      <w:r>
        <w:rPr>
          <w:iCs/>
          <w:i/>
        </w:rPr>
        <w:t xml:space="preserve">conditions</w:t>
      </w:r>
      <w:r>
        <w:t xml:space="preserve"> that precede harm — speeding, fatigue events, proximity alerts, seat-belt compliance — so the organisation can intervene before a lagging incident occurs. The </w:t>
      </w:r>
      <w:r>
        <w:rPr>
          <w:rStyle w:val="VerbatimChar"/>
        </w:rPr>
        <w:t xml:space="preserve">SAFE</w:t>
      </w:r>
      <w:r>
        <w:t xml:space="preserve"> category treats these as first-class, normalised operational KPIs: rates per exposure, comparable across fleets and sites, trended and targeted like any other.</w:t>
      </w:r>
    </w:p>
    <w:p>
      <w:pPr>
        <w:pStyle w:val="LearningObjectives"/>
      </w:pPr>
      <w:r>
        <w:rPr>
          <w:bCs/>
          <w:b/>
        </w:rPr>
        <w:t xml:space="preserve">Learning Objectives.</w:t>
      </w:r>
      <w:r>
        <w:t xml:space="preserve"> After this section you will be able to: compute a normalised safety event rate per exposure hour; explain why leading safety indicators are exposure-normalised, not raw counts; and interpret a safety rate as an intervention trigger rather than a scoreboard.</w:t>
      </w:r>
    </w:p>
    <w:p>
      <w:pPr>
        <w:pStyle w:val="AIContributorNote"/>
      </w:pPr>
      <w:r>
        <w:rPr>
          <w:bCs/>
          <w:b/>
        </w:rPr>
        <w:t xml:space="preserve">AI Contributor Note — safety KPIs are leading, and intervention-first.</w:t>
      </w:r>
      <w:r>
        <w:t xml:space="preserve"> A speed-violation rate is valuable precisely because it </w:t>
      </w:r>
      <w:r>
        <w:rPr>
          <w:iCs/>
          <w:i/>
        </w:rPr>
        <w:t xml:space="preserve">precedes</w:t>
      </w:r>
      <w:r>
        <w:t xml:space="preserve"> incidents. An agent surfacing a rising </w:t>
      </w:r>
      <w:r>
        <w:rPr>
          <w:rStyle w:val="VerbatimChar"/>
        </w:rPr>
        <w:t xml:space="preserve">SAFE.SpeedViolationRate</w:t>
      </w:r>
      <w:r>
        <w:t xml:space="preserve"> is recommending a proactive intervention (coaching, road/limit review), never assigning blame from a lagging count. Safety KPIs must be framed to prevent harm, and never used punitively in a way that suppresses the reporting the metric depends on.</w:t>
      </w:r>
    </w:p>
    <w:bookmarkStart w:id="120" w:name="X566df04302fddcfa32f2ccf0ec07e3a0c33ad85"/>
    <w:p>
      <w:pPr>
        <w:pStyle w:val="Heading3"/>
      </w:pPr>
      <w:bookmarkStart w:id="900070" w:name="_TocMP900070"/>
      <w:r>
        <w:t xml:space="preserve">SAFE.SpeedViolationRate — Speed Violation Rate</w:t>
      </w:r>
      <w:bookmarkEnd w:id="900070"/>
    </w:p>
    <w:p>
      <w:pPr>
        <w:pStyle w:val="FirstParagraph"/>
      </w:pPr>
      <w:r>
        <w:rPr>
          <w:bCs/>
          <w:b/>
        </w:rPr>
        <w:t xml:space="preserve">Identifier.</w:t>
      </w:r>
      <w:r>
        <w:t xml:space="preserve"> </w:t>
      </w:r>
      <w:r>
        <w:rPr>
          <w:rStyle w:val="VerbatimChar"/>
        </w:rPr>
        <w:t xml:space="preserve">SAFE.SpeedViolationRate</w:t>
      </w:r>
      <w:r>
        <w:t xml:space="preserve"> · </w:t>
      </w:r>
      <w:r>
        <w:rPr>
          <w:bCs/>
          <w:b/>
        </w:rPr>
        <w:t xml:space="preserve">Official Name.</w:t>
      </w:r>
      <w:r>
        <w:t xml:space="preserve"> Speed Violation Rate · </w:t>
      </w:r>
      <w:r>
        <w:rPr>
          <w:bCs/>
          <w:b/>
        </w:rPr>
        <w:t xml:space="preserve">Status.</w:t>
      </w:r>
      <w:r>
        <w:t xml:space="preserve"> Active · </w:t>
      </w:r>
      <w:r>
        <w:rPr>
          <w:bCs/>
          <w:b/>
        </w:rPr>
        <w:t xml:space="preserve">Version.</w:t>
      </w:r>
      <w:r>
        <w:t xml:space="preserve"> 1.0.0</w:t>
      </w:r>
    </w:p>
    <w:p>
      <w:pPr>
        <w:pStyle w:val="BodyText"/>
      </w:pPr>
      <w:r>
        <w:rPr>
          <w:bCs/>
          <w:b/>
        </w:rPr>
        <w:t xml:space="preserve">Business Purpose.</w:t>
      </w:r>
      <w:r>
        <w:t xml:space="preserve"> Speed-violation rate expresses speeding events per unit of exposure (per 100 operating hours). It exists as a </w:t>
      </w:r>
      <w:r>
        <w:rPr>
          <w:iCs/>
          <w:i/>
        </w:rPr>
        <w:t xml:space="preserve">leading</w:t>
      </w:r>
      <w:r>
        <w:t xml:space="preserve"> safety indicator: excessive speed is a controllable precursor to collisions and loss-of-control incidents, and normalising by exposure makes it comparable and trendable across fleets and sites.</w:t>
      </w:r>
    </w:p>
    <w:p>
      <w:pPr>
        <w:pStyle w:val="BodyText"/>
      </w:pPr>
      <w:r>
        <w:rPr>
          <w:bCs/>
          <w:b/>
        </w:rPr>
        <w:t xml:space="preserve">Operational Question.</w:t>
      </w:r>
      <w:r>
        <w:t xml:space="preserve"> </w:t>
      </w:r>
      <w:r>
        <w:rPr>
          <w:iCs/>
          <w:i/>
        </w:rPr>
        <w:t xml:space="preserve">How frequently, per unit of exposure, are vehicles exceeding safe speed limits?</w:t>
      </w:r>
    </w:p>
    <w:p>
      <w:pPr>
        <w:pStyle w:val="BodyText"/>
      </w:pPr>
      <w:r>
        <w:rPr>
          <w:bCs/>
          <w:b/>
        </w:rPr>
        <w:t xml:space="preserve">Business Meaning.</w:t>
      </w:r>
      <w:r>
        <w:t xml:space="preserve"> A rising rate is an early, actionable signal — before any incident — that operating discipline, road conditions, limit-setting, or fatigue is degrading. Because it is normalised per 100 operating hours, a large busy fleet and a small one are directly comparable, and the trend is meaningful even as activity fluctuates.</w:t>
      </w:r>
    </w:p>
    <w:p>
      <w:pPr>
        <w:pStyle w:val="BodyText"/>
      </w:pPr>
      <w:r>
        <w:rPr>
          <w:bCs/>
          <w:b/>
        </w:rPr>
        <w:t xml:space="preserve">Formula.</w:t>
      </w:r>
    </w:p>
    <w:p>
      <w:pPr>
        <w:pStyle w:val="SourceCode"/>
      </w:pPr>
      <w:r>
        <w:rPr>
          <w:rStyle w:val="VerbatimChar"/>
        </w:rPr>
        <w:t xml:space="preserve">SAFE.SpeedViolationRate  =  100 × Violations  ÷  Vehicle operating hours   [per 100 h]</w:t>
      </w:r>
    </w:p>
    <w:p>
      <w:pPr>
        <w:pStyle w:val="FirstParagraph"/>
      </w:pPr>
      <w:r>
        <w:rPr>
          <w:bCs/>
          <w:b/>
        </w:rPr>
        <w:t xml:space="preserve">Units.</w:t>
      </w:r>
      <w:r>
        <w:t xml:space="preserve"> Events per 100 operating hours. </w:t>
      </w:r>
      <w:r>
        <w:rPr>
          <w:bCs/>
          <w:b/>
        </w:rPr>
        <w:t xml:space="preserve">Dimensions.</w:t>
      </w:r>
      <w:r>
        <w:t xml:space="preserve"> Equipment, Fleet, Operator, Road segment, Shift, Time-of-day, Day, Month, Mine, Contractor.</w:t>
      </w:r>
    </w:p>
    <w:p>
      <w:pPr>
        <w:pStyle w:val="BodyText"/>
      </w:pPr>
      <w:r>
        <w:rPr>
          <w:bCs/>
          <w:b/>
        </w:rPr>
        <w:t xml:space="preserve">Required Events.</w:t>
      </w:r>
      <w:r>
        <w:t xml:space="preserve"> </w:t>
      </w:r>
      <w:r>
        <w:rPr>
          <w:rStyle w:val="VerbatimChar"/>
        </w:rPr>
        <w:t xml:space="preserve">SafetyEvent</w:t>
      </w:r>
      <w:r>
        <w:t xml:space="preserve"> of type speed-violation (from FMS/telemetry geofenced speed limits) and the operating-hours exposure (shared with </w:t>
      </w:r>
      <w:r>
        <w:rPr>
          <w:rStyle w:val="VerbatimChar"/>
        </w:rPr>
        <w:t xml:space="preserve">UTIL</w:t>
      </w:r>
      <w:r>
        <w:t xml:space="preserve">/</w:t>
      </w:r>
      <w:r>
        <w:rPr>
          <w:rStyle w:val="VerbatimChar"/>
        </w:rPr>
        <w:t xml:space="preserve">MAINT</w:t>
      </w:r>
      <w:r>
        <w:t xml:space="preserve">). </w:t>
      </w:r>
      <w:r>
        <w:rPr>
          <w:bCs/>
          <w:b/>
        </w:rPr>
        <w:t xml:space="preserve">Required Ontology.</w:t>
      </w:r>
      <w:r>
        <w:t xml:space="preserve"> Equipment, Operator, Road/Zone (limits), Mine. </w:t>
      </w:r>
      <w:r>
        <w:rPr>
          <w:bCs/>
          <w:b/>
        </w:rPr>
        <w:t xml:space="preserve">Dependencies.</w:t>
      </w:r>
      <w:r>
        <w:t xml:space="preserve"> A governed speed-limit map (limits per zone) so a “violation” is well-defined; the operating-hours basis used across the library.</w:t>
      </w:r>
    </w:p>
    <w:p>
      <w:pPr>
        <w:pStyle w:val="BodyText"/>
      </w:pPr>
      <w:r>
        <w:rPr>
          <w:bCs/>
          <w:b/>
        </w:rPr>
        <w:t xml:space="preserve">Mathematical Properties.</w:t>
      </w:r>
      <w:r>
        <w:t xml:space="preserve"> A rate (count per exposure); the count numerator is additive, exposure is additive, so aggregate by pooling both — never average rates. Rolling windows are the natural presentation; a weighted average (by exposure hours) combines fleets.</w:t>
      </w:r>
    </w:p>
    <w:p>
      <w:pPr>
        <w:pStyle w:val="BodyText"/>
      </w:pPr>
      <w:r>
        <w:rPr>
          <w:bCs/>
          <w:b/>
        </w:rPr>
        <w:t xml:space="preserve">Calculation Logic.</w:t>
      </w:r>
      <w:r>
        <w:t xml:space="preserve"> (1) Count speed-violation </w:t>
      </w:r>
      <w:r>
        <w:rPr>
          <w:rStyle w:val="VerbatimChar"/>
        </w:rPr>
        <w:t xml:space="preserve">SafetyEvent</w:t>
      </w:r>
      <w:r>
        <w:t xml:space="preserve"> records in scope against the governed limit map. (2) Sum vehicle operating hours over the same scope. (3) Rate = 100 × violations ÷ hours. Hold the exposure basis identical to the availability KPIs so safety and productivity share one denominator.</w:t>
      </w:r>
    </w:p>
    <w:p>
      <w:pPr>
        <w:pStyle w:val="BodyText"/>
      </w:pPr>
      <w:r>
        <w:rPr>
          <w:bCs/>
          <w:b/>
        </w:rPr>
        <w:t xml:space="preserve">Python Implementation.</w:t>
      </w:r>
    </w:p>
    <w:p>
      <w:pPr>
        <w:pStyle w:val="SourceCode"/>
      </w:pPr>
      <w:r>
        <w:rPr>
          <w:rStyle w:val="KeywordTok"/>
        </w:rPr>
        <w:t xml:space="preserve">def</w:t>
      </w:r>
      <w:r>
        <w:rPr>
          <w:rStyle w:val="NormalTok"/>
        </w:rPr>
        <w:t xml:space="preserve"> speed_violation_rate(violations: </w:t>
      </w:r>
      <w:r>
        <w:rPr>
          <w:rStyle w:val="BuiltInTok"/>
        </w:rPr>
        <w:t xml:space="preserve">int</w:t>
      </w:r>
      <w:r>
        <w:rPr>
          <w:rStyle w:val="NormalTok"/>
        </w:rPr>
        <w:t xml:space="preserve">, vehicle_hours: </w:t>
      </w:r>
      <w:r>
        <w:rPr>
          <w:rStyle w:val="BuiltInTok"/>
        </w:rPr>
        <w:t xml:space="preserve">float</w:t>
      </w:r>
      <w:r>
        <w:rPr>
          <w:rStyle w:val="NormalTok"/>
        </w:rPr>
        <w:t xml:space="preserve">) </w:t>
      </w:r>
      <w:r>
        <w:rPr>
          <w:rStyle w:val="OperatorTok"/>
        </w:rPr>
        <w:t xml:space="preserve">-&gt;</w:t>
      </w:r>
      <w:r>
        <w:rPr>
          <w:rStyle w:val="NormalTok"/>
        </w:rPr>
        <w:t xml:space="preserve"> </w:t>
      </w:r>
      <w:r>
        <w:rPr>
          <w:rStyle w:val="BuiltInTok"/>
        </w:rPr>
        <w:t xml:space="preserve">float</w:t>
      </w:r>
      <w:r>
        <w:rPr>
          <w:rStyle w:val="NormalTok"/>
        </w:rPr>
        <w:t xml:space="preserve">:</w:t>
      </w:r>
      <w:r>
        <w:br/>
      </w:r>
      <w:r>
        <w:rPr>
          <w:rStyle w:val="NormalTok"/>
        </w:rPr>
        <w:t xml:space="preserve">    </w:t>
      </w:r>
      <w:r>
        <w:rPr>
          <w:rStyle w:val="CommentTok"/>
        </w:rPr>
        <w:t xml:space="preserve">"""SAFE.SpeedViolationRate — speeding events per 100 operating hours."""</w:t>
      </w:r>
      <w:r>
        <w:br/>
      </w:r>
      <w:r>
        <w:rPr>
          <w:rStyle w:val="NormalTok"/>
        </w:rPr>
        <w:t xml:space="preserve">    </w:t>
      </w:r>
      <w:r>
        <w:rPr>
          <w:rStyle w:val="ControlFlowTok"/>
        </w:rPr>
        <w:t xml:space="preserve">if</w:t>
      </w:r>
      <w:r>
        <w:rPr>
          <w:rStyle w:val="NormalTok"/>
        </w:rPr>
        <w:t xml:space="preserve"> vehicle_hours </w:t>
      </w:r>
      <w:r>
        <w:rPr>
          <w:rStyle w:val="OperatorTok"/>
        </w:rPr>
        <w:t xml:space="preserve">&lt;=</w:t>
      </w:r>
      <w:r>
        <w:rPr>
          <w:rStyle w:val="NormalTok"/>
        </w:rPr>
        <w:t xml:space="preserve"> </w:t>
      </w:r>
      <w:r>
        <w:rPr>
          <w:rStyle w:val="DecValTok"/>
        </w:rPr>
        <w:t xml:space="preserve">0</w:t>
      </w:r>
      <w:r>
        <w:rPr>
          <w:rStyle w:val="NormalTok"/>
        </w:rPr>
        <w:t xml:space="preserve">:</w:t>
      </w:r>
      <w:r>
        <w:br/>
      </w:r>
      <w:r>
        <w:rPr>
          <w:rStyle w:val="NormalTok"/>
        </w:rPr>
        <w:t xml:space="preserve">        </w:t>
      </w:r>
      <w:r>
        <w:rPr>
          <w:rStyle w:val="ControlFlowTok"/>
        </w:rPr>
        <w:t xml:space="preserve">raise</w:t>
      </w:r>
      <w:r>
        <w:rPr>
          <w:rStyle w:val="NormalTok"/>
        </w:rPr>
        <w:t xml:space="preserve"> </w:t>
      </w:r>
      <w:r>
        <w:rPr>
          <w:rStyle w:val="PreprocessorTok"/>
        </w:rPr>
        <w:t xml:space="preserve">ValueError</w:t>
      </w:r>
      <w:r>
        <w:rPr>
          <w:rStyle w:val="NormalTok"/>
        </w:rPr>
        <w:t xml:space="preserve">(</w:t>
      </w:r>
      <w:r>
        <w:rPr>
          <w:rStyle w:val="StringTok"/>
        </w:rPr>
        <w:t xml:space="preserve">"vehicle_hours must be &gt; 0"</w:t>
      </w:r>
      <w:r>
        <w:rPr>
          <w:rStyle w:val="NormalTok"/>
        </w:rPr>
        <w:t xml:space="preserve">)</w:t>
      </w:r>
      <w:r>
        <w:br/>
      </w:r>
      <w:r>
        <w:rPr>
          <w:rStyle w:val="NormalTok"/>
        </w:rPr>
        <w:t xml:space="preserve">    </w:t>
      </w:r>
      <w:r>
        <w:rPr>
          <w:rStyle w:val="ControlFlowTok"/>
        </w:rPr>
        <w:t xml:space="preserve">return</w:t>
      </w:r>
      <w:r>
        <w:rPr>
          <w:rStyle w:val="NormalTok"/>
        </w:rPr>
        <w:t xml:space="preserve"> </w:t>
      </w:r>
      <w:r>
        <w:rPr>
          <w:rStyle w:val="FloatTok"/>
        </w:rPr>
        <w:t xml:space="preserve">100.0</w:t>
      </w:r>
      <w:r>
        <w:rPr>
          <w:rStyle w:val="NormalTok"/>
        </w:rPr>
        <w:t xml:space="preserve"> </w:t>
      </w:r>
      <w:r>
        <w:rPr>
          <w:rStyle w:val="OperatorTok"/>
        </w:rPr>
        <w:t xml:space="preserve">*</w:t>
      </w:r>
      <w:r>
        <w:rPr>
          <w:rStyle w:val="NormalTok"/>
        </w:rPr>
        <w:t xml:space="preserve"> violations </w:t>
      </w:r>
      <w:r>
        <w:rPr>
          <w:rStyle w:val="OperatorTok"/>
        </w:rPr>
        <w:t xml:space="preserve">/</w:t>
      </w:r>
      <w:r>
        <w:rPr>
          <w:rStyle w:val="NormalTok"/>
        </w:rPr>
        <w:t xml:space="preserve"> vehicle_hours</w:t>
      </w:r>
    </w:p>
    <w:p>
      <w:pPr>
        <w:pStyle w:val="FirstParagraph"/>
      </w:pPr>
      <w:r>
        <w:rPr>
          <w:bCs/>
          <w:b/>
        </w:rPr>
        <w:t xml:space="preserve">Expected Output.</w:t>
      </w:r>
      <w:r>
        <w:t xml:space="preserve"> Events per 100 hours. Worked example → </w:t>
      </w:r>
      <w:r>
        <w:rPr>
          <w:rStyle w:val="VerbatimChar"/>
        </w:rPr>
        <w:t xml:space="preserve">5.385</w:t>
      </w:r>
      <w:r>
        <w:t xml:space="preserve">.</w:t>
      </w:r>
    </w:p>
    <w:p>
      <w:pPr>
        <w:pStyle w:val="BodyText"/>
      </w:pPr>
      <w:r>
        <w:rPr>
          <w:bCs/>
          <w:b/>
        </w:rPr>
        <w:t xml:space="preserve">Worked Example.</w:t>
      </w:r>
      <w:r>
        <w:t xml:space="preserve"> Over a week the </w:t>
      </w:r>
      <w:r>
        <w:rPr>
          <w:iCs/>
          <w:i/>
        </w:rPr>
        <w:t xml:space="preserve">Aurora Gold</w:t>
      </w:r>
      <w:r>
        <w:t xml:space="preserve"> haul fleet logs </w:t>
      </w:r>
      <w:r>
        <w:rPr>
          <w:bCs/>
          <w:b/>
        </w:rPr>
        <w:t xml:space="preserve">7</w:t>
      </w:r>
      <w:r>
        <w:t xml:space="preserve"> speed violations across </w:t>
      </w:r>
      <w:r>
        <w:rPr>
          <w:bCs/>
          <w:b/>
        </w:rPr>
        <w:t xml:space="preserve">130</w:t>
      </w:r>
      <w:r>
        <w:t xml:space="preserve"> vehicle operating hours. </w:t>
      </w:r>
      <w:r>
        <w:rPr>
          <w:rStyle w:val="VerbatimChar"/>
        </w:rPr>
        <w:t xml:space="preserve">speed_violation_rate(7, 130)</w:t>
      </w:r>
      <w:r>
        <w:t xml:space="preserve"> → </w:t>
      </w:r>
      <w:r>
        <w:rPr>
          <w:bCs/>
          <w:b/>
        </w:rPr>
        <w:t xml:space="preserve">5.385 per 100 h</w:t>
      </w:r>
      <w:r>
        <w:t xml:space="preserve"> (≈ 5.4). Against a site target of ≤ 3 per 100 h, the fleet is running high — a trigger for operator coaching and a review of the limit map on the segment where violations cluster, </w:t>
      </w:r>
      <w:r>
        <w:rPr>
          <w:iCs/>
          <w:i/>
        </w:rPr>
        <w:t xml:space="preserve">before</w:t>
      </w:r>
      <w:r>
        <w:t xml:space="preserve"> an incident occurs.</w:t>
      </w:r>
    </w:p>
    <w:p>
      <w:pPr>
        <w:pStyle w:val="BodyText"/>
      </w:pPr>
      <w:r>
        <w:rPr>
          <w:bCs/>
          <w:b/>
        </w:rPr>
        <w:t xml:space="preserve">Sample Dataset.</w:t>
      </w:r>
    </w:p>
    <w:tbl>
      <w:tblPr>
        <w:tblStyle w:val="Table"/>
        <w:tblW w:type="auto" w:w="0"/>
        <w:tblLook w:firstRow="1" w:lastRow="0" w:firstColumn="0" w:lastColumn="0" w:noHBand="0" w:noVBand="0" w:val="0020"/>
        <w:jc w:val="start"/>
      </w:tblPr>
      <w:tblGrid>
        <w:gridCol w:w="1980"/>
        <w:gridCol w:w="1980"/>
        <w:gridCol w:w="1980"/>
        <w:gridCol w:w="1980"/>
      </w:tblGrid>
      <w:tr>
        <w:trPr>
          <w:tblHeader w:val="true"/>
        </w:trPr>
        <w:tc>
          <w:tcPr/>
          <w:p>
            <w:pPr>
              <w:pStyle w:val="Compact"/>
              <w:jc w:val="left"/>
            </w:pPr>
            <w:r>
              <w:t xml:space="preserve">fleet</w:t>
            </w:r>
          </w:p>
        </w:tc>
        <w:tc>
          <w:tcPr/>
          <w:p>
            <w:pPr>
              <w:pStyle w:val="Compact"/>
              <w:jc w:val="left"/>
            </w:pPr>
            <w:r>
              <w:t xml:space="preserve">violations</w:t>
            </w:r>
          </w:p>
        </w:tc>
        <w:tc>
          <w:tcPr/>
          <w:p>
            <w:pPr>
              <w:pStyle w:val="Compact"/>
              <w:jc w:val="left"/>
            </w:pPr>
            <w:r>
              <w:t xml:space="preserve">vehicle_h</w:t>
            </w:r>
          </w:p>
        </w:tc>
        <w:tc>
          <w:tcPr/>
          <w:p>
            <w:pPr>
              <w:pStyle w:val="Compact"/>
              <w:jc w:val="left"/>
            </w:pPr>
            <w:r>
              <w:t xml:space="preserve">rate_per_100h</w:t>
            </w:r>
          </w:p>
        </w:tc>
      </w:tr>
      <w:tr>
        <w:tc>
          <w:tcPr/>
          <w:p>
            <w:pPr>
              <w:pStyle w:val="Compact"/>
              <w:jc w:val="left"/>
            </w:pPr>
            <w:r>
              <w:t xml:space="preserve">Aurora Gold haul</w:t>
            </w:r>
          </w:p>
        </w:tc>
        <w:tc>
          <w:tcPr/>
          <w:p>
            <w:pPr>
              <w:pStyle w:val="Compact"/>
              <w:jc w:val="left"/>
            </w:pPr>
            <w:r>
              <w:t xml:space="preserve">7</w:t>
            </w:r>
          </w:p>
        </w:tc>
        <w:tc>
          <w:tcPr/>
          <w:p>
            <w:pPr>
              <w:pStyle w:val="Compact"/>
              <w:jc w:val="left"/>
            </w:pPr>
            <w:r>
              <w:t xml:space="preserve">130</w:t>
            </w:r>
          </w:p>
        </w:tc>
        <w:tc>
          <w:tcPr/>
          <w:p>
            <w:pPr>
              <w:pStyle w:val="Compact"/>
              <w:jc w:val="left"/>
            </w:pPr>
            <w:r>
              <w:t xml:space="preserve">5.385</w:t>
            </w:r>
          </w:p>
        </w:tc>
      </w:tr>
    </w:tbl>
    <w:p>
      <w:pPr>
        <w:pStyle w:val="BodyText"/>
      </w:pPr>
      <w:r>
        <w:rPr>
          <w:bCs/>
          <w:b/>
        </w:rPr>
        <w:t xml:space="preserve">Visualization.</w:t>
      </w:r>
      <w:r>
        <w:t xml:space="preserve"> Rate trend against a target line; a heat map of violations by road segment × time-of-day (to localise the cause); an operator-level Pareto used for </w:t>
      </w:r>
      <w:r>
        <w:rPr>
          <w:iCs/>
          <w:i/>
        </w:rPr>
        <w:t xml:space="preserve">coaching</w:t>
      </w:r>
      <w:r>
        <w:t xml:space="preserve">, not ranking.</w:t>
      </w:r>
    </w:p>
    <w:p>
      <w:pPr>
        <w:pStyle w:val="BodyText"/>
      </w:pPr>
      <w:r>
        <w:rPr>
          <w:bCs/>
          <w:b/>
        </w:rPr>
        <w:t xml:space="preserve">Operational Interpretation.</w:t>
      </w:r>
      <w:r>
        <w:t xml:space="preserve"> Lower is better; interpret against the site target and, crucially, against the </w:t>
      </w:r>
      <w:r>
        <w:rPr>
          <w:iCs/>
          <w:i/>
        </w:rPr>
        <w:t xml:space="preserve">trend</w:t>
      </w:r>
      <w:r>
        <w:t xml:space="preserve"> — a single week is noisy. </w:t>
      </w:r>
      <w:r>
        <w:rPr>
          <w:iCs/>
          <w:i/>
        </w:rPr>
        <w:t xml:space="preserve">Excellent</w:t>
      </w:r>
      <w:r>
        <w:t xml:space="preserve"> = low and stable at or below target; </w:t>
      </w:r>
      <w:r>
        <w:rPr>
          <w:iCs/>
          <w:i/>
        </w:rPr>
        <w:t xml:space="preserve">Critical</w:t>
      </w:r>
      <w:r>
        <w:t xml:space="preserve"> = a rising trend or a spatial cluster on one segment (usually a road, sight-line, or limit-setting problem, not just operator behaviour). The absolute target is site-specific and set by the safety management system.</w:t>
      </w:r>
    </w:p>
    <w:p>
      <w:pPr>
        <w:pStyle w:val="BodyText"/>
      </w:pPr>
      <w:r>
        <w:rPr>
          <w:bCs/>
          <w:b/>
        </w:rPr>
        <w:t xml:space="preserve">Common Mistakes.</w:t>
      </w:r>
      <w:r>
        <w:t xml:space="preserve"> Reporting raw violation counts without exposure normalisation (busy fleets look worse purely for working more); averaging fleet rates instead of pooling; using the metric punitively (which suppresses telemetry trust and reporting); an ungoverned or stale limit map (making “violation” arbitrary).</w:t>
      </w:r>
    </w:p>
    <w:p>
      <w:pPr>
        <w:pStyle w:val="BodyText"/>
      </w:pPr>
      <w:r>
        <w:rPr>
          <w:bCs/>
          <w:b/>
        </w:rPr>
        <w:t xml:space="preserve">Validation Rules.</w:t>
      </w:r>
      <w:r>
        <w:t xml:space="preserve"> </w:t>
      </w:r>
      <w:r>
        <w:rPr>
          <w:rStyle w:val="VerbatimChar"/>
        </w:rPr>
        <w:t xml:space="preserve">violations ≥ 0</w:t>
      </w:r>
      <w:r>
        <w:t xml:space="preserve">, </w:t>
      </w:r>
      <w:r>
        <w:rPr>
          <w:rStyle w:val="VerbatimChar"/>
        </w:rPr>
        <w:t xml:space="preserve">vehicle_hours &gt; 0</w:t>
      </w:r>
      <w:r>
        <w:t xml:space="preserve">; violations defined against a current, governed limit map; exposure basis consistent with </w:t>
      </w:r>
      <w:r>
        <w:rPr>
          <w:rStyle w:val="VerbatimChar"/>
        </w:rPr>
        <w:t xml:space="preserve">UTIL</w:t>
      </w:r>
      <w:r>
        <w:t xml:space="preserve">/</w:t>
      </w:r>
      <w:r>
        <w:rPr>
          <w:rStyle w:val="VerbatimChar"/>
        </w:rPr>
        <w:t xml:space="preserve">MAINT</w:t>
      </w:r>
      <w:r>
        <w:t xml:space="preserve">; result ≥ 0.</w:t>
      </w:r>
    </w:p>
    <w:p>
      <w:pPr>
        <w:pStyle w:val="BodyText"/>
      </w:pPr>
      <w:r>
        <w:rPr>
          <w:bCs/>
          <w:b/>
        </w:rPr>
        <w:t xml:space="preserve">Unit Tests.</w:t>
      </w:r>
    </w:p>
    <w:p>
      <w:pPr>
        <w:pStyle w:val="SourceCode"/>
      </w:pPr>
      <w:r>
        <w:rPr>
          <w:rStyle w:val="ImportTok"/>
        </w:rPr>
        <w:t xml:space="preserve">from</w:t>
      </w:r>
      <w:r>
        <w:rPr>
          <w:rStyle w:val="NormalTok"/>
        </w:rPr>
        <w:t xml:space="preserve"> mp_kpis_p3 </w:t>
      </w:r>
      <w:r>
        <w:rPr>
          <w:rStyle w:val="ImportTok"/>
        </w:rPr>
        <w:t xml:space="preserve">import</w:t>
      </w:r>
      <w:r>
        <w:rPr>
          <w:rStyle w:val="NormalTok"/>
        </w:rPr>
        <w:t xml:space="preserve"> speed_violation_rate</w:t>
      </w:r>
      <w:r>
        <w:br/>
      </w:r>
      <w:r>
        <w:rPr>
          <w:rStyle w:val="ImportTok"/>
        </w:rPr>
        <w:t xml:space="preserve">import</w:t>
      </w:r>
      <w:r>
        <w:rPr>
          <w:rStyle w:val="NormalTok"/>
        </w:rPr>
        <w:t xml:space="preserve"> pytest</w:t>
      </w:r>
      <w:r>
        <w:br/>
        <w:br/>
      </w:r>
      <w:r>
        <w:rPr>
          <w:rStyle w:val="KeywordTok"/>
        </w:rPr>
        <w:t xml:space="preserve">def</w:t>
      </w:r>
      <w:r>
        <w:rPr>
          <w:rStyle w:val="NormalTok"/>
        </w:rPr>
        <w:t xml:space="preserve"> test_speed_violation_rate_canonical():</w:t>
      </w:r>
      <w:r>
        <w:br/>
      </w:r>
      <w:r>
        <w:rPr>
          <w:rStyle w:val="NormalTok"/>
        </w:rPr>
        <w:t xml:space="preserve">    </w:t>
      </w:r>
      <w:r>
        <w:rPr>
          <w:rStyle w:val="ControlFlowTok"/>
        </w:rPr>
        <w:t xml:space="preserve">assert</w:t>
      </w:r>
      <w:r>
        <w:rPr>
          <w:rStyle w:val="NormalTok"/>
        </w:rPr>
        <w:t xml:space="preserve"> </w:t>
      </w:r>
      <w:r>
        <w:rPr>
          <w:rStyle w:val="BuiltInTok"/>
        </w:rPr>
        <w:t xml:space="preserve">round</w:t>
      </w:r>
      <w:r>
        <w:rPr>
          <w:rStyle w:val="NormalTok"/>
        </w:rPr>
        <w:t xml:space="preserve">(speed_violation_rate(</w:t>
      </w:r>
      <w:r>
        <w:rPr>
          <w:rStyle w:val="DecValTok"/>
        </w:rPr>
        <w:t xml:space="preserve">7</w:t>
      </w:r>
      <w:r>
        <w:rPr>
          <w:rStyle w:val="NormalTok"/>
        </w:rPr>
        <w:t xml:space="preserve">, </w:t>
      </w:r>
      <w:r>
        <w:rPr>
          <w:rStyle w:val="DecValTok"/>
        </w:rPr>
        <w:t xml:space="preserve">130</w:t>
      </w:r>
      <w:r>
        <w:rPr>
          <w:rStyle w:val="NormalTok"/>
        </w:rPr>
        <w:t xml:space="preserve">), </w:t>
      </w:r>
      <w:r>
        <w:rPr>
          <w:rStyle w:val="DecValTok"/>
        </w:rPr>
        <w:t xml:space="preserve">3</w:t>
      </w:r>
      <w:r>
        <w:rPr>
          <w:rStyle w:val="NormalTok"/>
        </w:rPr>
        <w:t xml:space="preserve">) </w:t>
      </w:r>
      <w:r>
        <w:rPr>
          <w:rStyle w:val="OperatorTok"/>
        </w:rPr>
        <w:t xml:space="preserve">==</w:t>
      </w:r>
      <w:r>
        <w:rPr>
          <w:rStyle w:val="NormalTok"/>
        </w:rPr>
        <w:t xml:space="preserve"> </w:t>
      </w:r>
      <w:r>
        <w:rPr>
          <w:rStyle w:val="FloatTok"/>
        </w:rPr>
        <w:t xml:space="preserve">5.385</w:t>
      </w:r>
      <w:r>
        <w:br/>
        <w:br/>
      </w:r>
      <w:r>
        <w:rPr>
          <w:rStyle w:val="KeywordTok"/>
        </w:rPr>
        <w:t xml:space="preserve">def</w:t>
      </w:r>
      <w:r>
        <w:rPr>
          <w:rStyle w:val="NormalTok"/>
        </w:rPr>
        <w:t xml:space="preserve"> test_speed_violation_rate_rejects_zero_hours():</w:t>
      </w:r>
      <w:r>
        <w:br/>
      </w:r>
      <w:r>
        <w:rPr>
          <w:rStyle w:val="NormalTok"/>
        </w:rPr>
        <w:t xml:space="preserve">    </w:t>
      </w:r>
      <w:r>
        <w:rPr>
          <w:rStyle w:val="ControlFlowTok"/>
        </w:rPr>
        <w:t xml:space="preserve">with</w:t>
      </w:r>
      <w:r>
        <w:rPr>
          <w:rStyle w:val="NormalTok"/>
        </w:rPr>
        <w:t xml:space="preserve"> pytest.raises(</w:t>
      </w:r>
      <w:r>
        <w:rPr>
          <w:rStyle w:val="PreprocessorTok"/>
        </w:rPr>
        <w:t xml:space="preserve">ValueError</w:t>
      </w:r>
      <w:r>
        <w:rPr>
          <w:rStyle w:val="NormalTok"/>
        </w:rPr>
        <w:t xml:space="preserve">):</w:t>
      </w:r>
      <w:r>
        <w:br/>
      </w:r>
      <w:r>
        <w:rPr>
          <w:rStyle w:val="NormalTok"/>
        </w:rPr>
        <w:t xml:space="preserve">        speed_violation_rate(</w:t>
      </w:r>
      <w:r>
        <w:rPr>
          <w:rStyle w:val="DecValTok"/>
        </w:rPr>
        <w:t xml:space="preserve">7</w:t>
      </w:r>
      <w:r>
        <w:rPr>
          <w:rStyle w:val="NormalTok"/>
        </w:rPr>
        <w:t xml:space="preserve">, </w:t>
      </w:r>
      <w:r>
        <w:rPr>
          <w:rStyle w:val="DecValTok"/>
        </w:rPr>
        <w:t xml:space="preserve">0</w:t>
      </w:r>
      <w:r>
        <w:rPr>
          <w:rStyle w:val="NormalTok"/>
        </w:rPr>
        <w:t xml:space="preserve">)</w:t>
      </w:r>
    </w:p>
    <w:p>
      <w:pPr>
        <w:pStyle w:val="FirstParagraph"/>
      </w:pPr>
      <w:r>
        <w:rPr>
          <w:bCs/>
          <w:b/>
        </w:rPr>
        <w:t xml:space="preserve">Performance Considerations.</w:t>
      </w:r>
      <w:r>
        <w:t xml:space="preserve"> O(n) to count events, O(1) for the rate; over a fleet-month it is high-volume telemetry — pre-aggregate to (asset, day) and (segment, day). </w:t>
      </w:r>
      <w:r>
        <w:rPr>
          <w:bCs/>
          <w:b/>
        </w:rPr>
        <w:t xml:space="preserve">Edge Cases.</w:t>
      </w:r>
      <w:r>
        <w:t xml:space="preserve"> Zero exposure (asset parked all period) → undefined rate (report “no exposure”, not zero); a limit-map change mid-window makes pre- and post-change violations non-comparable. </w:t>
      </w:r>
      <w:r>
        <w:rPr>
          <w:bCs/>
          <w:b/>
        </w:rPr>
        <w:t xml:space="preserve">AI Contributor Notes.</w:t>
      </w:r>
      <w:r>
        <w:t xml:space="preserve"> Leading/operational and safety-critical. An agent must frame this as prevention — recommend coaching, road, or limit-review interventions — and must never rank individuals in a way that discourages the reporting the KPI relies on. </w:t>
      </w:r>
      <w:r>
        <w:rPr>
          <w:bCs/>
          <w:b/>
        </w:rPr>
        <w:t xml:space="preserve">Digital Twin Mapping.</w:t>
      </w:r>
      <w:r>
        <w:t xml:space="preserve"> The twin tracks live violation rate by fleet and segment and raises a proactive alert on adverse trends or spatial clusters. </w:t>
      </w:r>
      <w:r>
        <w:rPr>
          <w:bCs/>
          <w:b/>
        </w:rPr>
        <w:t xml:space="preserve">Decision Intelligence Mapping.</w:t>
      </w:r>
      <w:r>
        <w:t xml:space="preserve"> A rising rate routes to intervention: segment cluster→road/limit review; time-of-day pattern→fatigue management; broad rise→operating-discipline programme. </w:t>
      </w:r>
      <w:r>
        <w:rPr>
          <w:bCs/>
          <w:b/>
        </w:rPr>
        <w:t xml:space="preserve">Related KPIs.</w:t>
      </w:r>
      <w:r>
        <w:t xml:space="preserve"> other </w:t>
      </w:r>
      <w:r>
        <w:rPr>
          <w:rStyle w:val="VerbatimChar"/>
        </w:rPr>
        <w:t xml:space="preserve">SAFE</w:t>
      </w:r>
      <w:r>
        <w:t xml:space="preserve"> leading indicators (fatigue, proximity, seat-belt — registered in the appendix), </w:t>
      </w:r>
      <w:r>
        <w:rPr>
          <w:rStyle w:val="VerbatimChar"/>
        </w:rPr>
        <w:t xml:space="preserve">AUTO</w:t>
      </w:r>
      <w:r>
        <w:t xml:space="preserve"> compliance KPIs. </w:t>
      </w:r>
      <w:r>
        <w:rPr>
          <w:bCs/>
          <w:b/>
        </w:rPr>
        <w:t xml:space="preserve">References.</w:t>
      </w:r>
      <w:r>
        <w:t xml:space="preserve"> Recognised mine-safety leading-indicator practice; Master Architecture Handbook, safety ontology.</w:t>
      </w:r>
    </w:p>
    <w:bookmarkEnd w:id="120"/>
    <w:bookmarkEnd w:id="121"/>
    <w:bookmarkStart w:id="122" w:name="summary-safety"/>
    <w:p>
      <w:pPr>
        <w:pStyle w:val="Heading2"/>
      </w:pPr>
      <w:bookmarkStart w:id="900071" w:name="_TocMP900071"/>
      <w:r>
        <w:t xml:space="preserve">Summary — Safety</w:t>
      </w:r>
      <w:bookmarkEnd w:id="900071"/>
    </w:p>
    <w:p>
      <w:pPr>
        <w:pStyle w:val="FirstParagraph"/>
      </w:pPr>
      <w:r>
        <w:rPr>
          <w:rStyle w:val="VerbatimChar"/>
        </w:rPr>
        <w:t xml:space="preserve">SAFE.SpeedViolationRate</w:t>
      </w:r>
      <w:r>
        <w:t xml:space="preserve"> is a </w:t>
      </w:r>
      <w:r>
        <w:rPr>
          <w:iCs/>
          <w:i/>
        </w:rPr>
        <w:t xml:space="preserve">leading</w:t>
      </w:r>
      <w:r>
        <w:t xml:space="preserve"> safety indicator — a controllable precursor to harm, normalised per 100 operating hours so it is comparable and trendable. It is an intervention trigger, not a scoreboard: read the trend and the spatial/temporal clusters, act to prevent, and never let the metric become punitive. Safety KPIs share the same exposure denominator as the productivity KPIs, uniting the two conversations.</w:t>
      </w:r>
    </w:p>
    <w:bookmarkEnd w:id="122"/>
    <w:bookmarkStart w:id="123" w:name="further-reading-11"/>
    <w:p>
      <w:pPr>
        <w:pStyle w:val="Heading2"/>
      </w:pPr>
      <w:bookmarkStart w:id="900072" w:name="_TocMP900072"/>
      <w:r>
        <w:t xml:space="preserve">Further Reading</w:t>
      </w:r>
      <w:bookmarkEnd w:id="900072"/>
    </w:p>
    <w:p>
      <w:pPr>
        <w:pStyle w:val="FirstParagraph"/>
      </w:pPr>
      <w:r>
        <w:t xml:space="preserve">Canonical Semantics (exposure basis); </w:t>
      </w:r>
      <w:r>
        <w:rPr>
          <w:rStyle w:val="VerbatimChar"/>
        </w:rPr>
        <w:t xml:space="preserve">UTIL</w:t>
      </w:r>
      <w:r>
        <w:t xml:space="preserve">/</w:t>
      </w:r>
      <w:r>
        <w:rPr>
          <w:rStyle w:val="VerbatimChar"/>
        </w:rPr>
        <w:t xml:space="preserve">MAINT</w:t>
      </w:r>
      <w:r>
        <w:t xml:space="preserve"> (shared operating-hours denominator); Autonomous-mining compliance KPIs (appendix). Next: </w:t>
      </w:r>
      <w:r>
        <w:rPr>
          <w:bCs/>
          <w:b/>
        </w:rPr>
        <w:t xml:space="preserve">Appendix A — The KPI Registry</w:t>
      </w:r>
      <w:r>
        <w:t xml:space="preserve">.</w:t>
      </w:r>
    </w:p>
    <w:p>
      <w:r>
        <w:br w:type="page"/>
      </w:r>
    </w:p>
    <w:bookmarkEnd w:id="123"/>
    <w:bookmarkEnd w:id="124"/>
    <w:bookmarkStart w:id="127" w:name="appendix-a-the-kpi-registry"/>
    <w:p>
      <w:pPr>
        <w:pStyle w:val="Heading1"/>
      </w:pPr>
      <w:bookmarkStart w:id="900073" w:name="_TocMP900073"/>
      <w:r>
        <w:t xml:space="preserve">Appendix A — The KPI Registry</w:t>
      </w:r>
      <w:bookmarkEnd w:id="900073"/>
    </w:p>
    <w:p>
      <w:pPr>
        <w:pStyle w:val="FirstParagraph"/>
      </w:pPr>
      <w:r>
        <w:t xml:space="preserve">This registry is the machine-readable catalogue of the MineProductivity KPI Standard Library. Every KPI in the project — whether fully documented in the chapters above or registered for a future edition — appears here with its complete, governed metadata. The engine, the discovery API, and AI agents read this registry (not prose) to reason about which KPIs exist, what they need, and how they relate.</w:t>
      </w:r>
    </w:p>
    <w:p>
      <w:pPr>
        <w:pStyle w:val="BodyText"/>
      </w:pPr>
      <w:r>
        <w:rPr>
          <w:bCs/>
          <w:b/>
        </w:rPr>
        <w:t xml:space="preserve">Status legend.</w:t>
      </w:r>
      <w:r>
        <w:t xml:space="preserve"> </w:t>
      </w:r>
      <w:r>
        <w:rPr>
          <w:iCs/>
          <w:i/>
        </w:rPr>
        <w:t xml:space="preserve">Active</w:t>
      </w:r>
      <w:r>
        <w:t xml:space="preserve"> — fully specified in this edition with validated implementation, worked example, and unit tests (the flagship KPI of its category). </w:t>
      </w:r>
      <w:r>
        <w:rPr>
          <w:iCs/>
          <w:i/>
        </w:rPr>
        <w:t xml:space="preserve">Registered</w:t>
      </w:r>
      <w:r>
        <w:t xml:space="preserve"> — canonical identifier, semantics, and complete metadata are fixed and reserved here; the full per-KPI chapter entry is scheduled for a future edition. Registered KPIs are </w:t>
      </w:r>
      <w:r>
        <w:rPr>
          <w:bCs/>
          <w:b/>
        </w:rPr>
        <w:t xml:space="preserve">not</w:t>
      </w:r>
      <w:r>
        <w:t xml:space="preserve"> placeholders: their identifier, units, events, ontology, dependencies, and mapping are normative from this edition onward.</w:t>
      </w:r>
    </w:p>
    <w:p>
      <w:pPr>
        <w:pStyle w:val="BodyText"/>
      </w:pPr>
      <w:r>
        <w:t xml:space="preserve">The registry is presented in two linked tables sharing the </w:t>
      </w:r>
      <w:r>
        <w:rPr>
          <w:bCs/>
          <w:b/>
        </w:rPr>
        <w:t xml:space="preserve">Identifier</w:t>
      </w:r>
      <w:r>
        <w:t xml:space="preserve"> key: Table A.1 (core catalogue — status, version, units, events, dependencies, aliases) and Table A.2 (applicability &amp; mapping — method, commodity, implementation class, ontology, cross-references). Together they carry all fourteen mandated registry attributes for every KPI.</w:t>
      </w:r>
    </w:p>
    <w:p>
      <w:pPr>
        <w:pStyle w:val="BodyText"/>
      </w:pPr>
      <w:r>
        <w:rPr>
          <w:bCs/>
          <w:b/>
        </w:rPr>
        <w:t xml:space="preserve">Total catalogued in this edition: 100 KPIs across 25 namespaces.</w:t>
      </w:r>
    </w:p>
    <w:bookmarkStart w:id="125" w:name="table-a.1-core-catalogue"/>
    <w:p>
      <w:pPr>
        <w:pStyle w:val="Heading2"/>
      </w:pPr>
      <w:bookmarkStart w:id="900074" w:name="_TocMP900074"/>
      <w:r>
        <w:t xml:space="preserve">Table A.1 — Core Catalogue</w:t>
      </w:r>
      <w:bookmarkEnd w:id="900074"/>
    </w:p>
    <w:tbl>
      <w:tblPr>
        <w:tblStyle w:val="Table"/>
        <w:tblW w:type="pct" w:w="5000"/>
        <w:tblLook w:firstRow="1" w:lastRow="0" w:firstColumn="0" w:lastColumn="0" w:noHBand="0" w:noVBand="0" w:val="0020"/>
        <w:jc w:val="start"/>
      </w:tblPr>
      <w:tblGrid>
        <w:gridCol w:w="990"/>
        <w:gridCol w:w="990"/>
        <w:gridCol w:w="990"/>
        <w:gridCol w:w="990"/>
        <w:gridCol w:w="990"/>
        <w:gridCol w:w="990"/>
        <w:gridCol w:w="990"/>
        <w:gridCol w:w="990"/>
      </w:tblGrid>
      <w:tr>
        <w:trPr>
          <w:tblHeader w:val="true"/>
        </w:trPr>
        <w:tc>
          <w:tcPr/>
          <w:p>
            <w:pPr>
              <w:pStyle w:val="Compact"/>
              <w:jc w:val="left"/>
            </w:pPr>
            <w:r>
              <w:t xml:space="preserve">Identifier</w:t>
            </w:r>
          </w:p>
        </w:tc>
        <w:tc>
          <w:tcPr/>
          <w:p>
            <w:pPr>
              <w:pStyle w:val="Compact"/>
              <w:jc w:val="left"/>
            </w:pPr>
            <w:r>
              <w:t xml:space="preserve">Category</w:t>
            </w:r>
          </w:p>
        </w:tc>
        <w:tc>
          <w:tcPr/>
          <w:p>
            <w:pPr>
              <w:pStyle w:val="Compact"/>
              <w:jc w:val="left"/>
            </w:pPr>
            <w:r>
              <w:t xml:space="preserve">Status</w:t>
            </w:r>
          </w:p>
        </w:tc>
        <w:tc>
          <w:tcPr/>
          <w:p>
            <w:pPr>
              <w:pStyle w:val="Compact"/>
              <w:jc w:val="left"/>
            </w:pPr>
            <w:r>
              <w:t xml:space="preserve">Ver</w:t>
            </w:r>
          </w:p>
        </w:tc>
        <w:tc>
          <w:tcPr/>
          <w:p>
            <w:pPr>
              <w:pStyle w:val="Compact"/>
              <w:jc w:val="left"/>
            </w:pPr>
            <w:r>
              <w:t xml:space="preserve">Units</w:t>
            </w:r>
          </w:p>
        </w:tc>
        <w:tc>
          <w:tcPr/>
          <w:p>
            <w:pPr>
              <w:pStyle w:val="Compact"/>
              <w:jc w:val="left"/>
            </w:pPr>
            <w:r>
              <w:t xml:space="preserve">Required Events</w:t>
            </w:r>
          </w:p>
        </w:tc>
        <w:tc>
          <w:tcPr/>
          <w:p>
            <w:pPr>
              <w:pStyle w:val="Compact"/>
              <w:jc w:val="left"/>
            </w:pPr>
            <w:r>
              <w:t xml:space="preserve">Dependencies</w:t>
            </w:r>
          </w:p>
        </w:tc>
        <w:tc>
          <w:tcPr/>
          <w:p>
            <w:pPr>
              <w:pStyle w:val="Compact"/>
              <w:jc w:val="left"/>
            </w:pPr>
            <w:r>
              <w:t xml:space="preserve">Aliases / Deprecation</w:t>
            </w:r>
          </w:p>
        </w:tc>
      </w:tr>
      <w:tr>
        <w:tc>
          <w:tcPr/>
          <w:p>
            <w:pPr>
              <w:pStyle w:val="Compact"/>
              <w:jc w:val="left"/>
            </w:pPr>
            <w:r>
              <w:rPr>
                <w:rStyle w:val="VerbatimChar"/>
              </w:rPr>
              <w:t xml:space="preserve">PROD.BCMPerHour</w:t>
            </w:r>
          </w:p>
        </w:tc>
        <w:tc>
          <w:tcPr/>
          <w:p>
            <w:pPr>
              <w:pStyle w:val="Compact"/>
              <w:jc w:val="left"/>
            </w:pPr>
            <w:r>
              <w:t xml:space="preserve">Production</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BCM/h</w:t>
            </w:r>
          </w:p>
        </w:tc>
        <w:tc>
          <w:tcPr/>
          <w:p>
            <w:pPr>
              <w:pStyle w:val="Compact"/>
              <w:jc w:val="left"/>
            </w:pPr>
            <w:r>
              <w:t xml:space="preserve">CycleEvent</w:t>
            </w:r>
          </w:p>
        </w:tc>
        <w:tc>
          <w:tcPr/>
          <w:p>
            <w:pPr>
              <w:pStyle w:val="Compact"/>
              <w:jc w:val="left"/>
            </w:pPr>
            <w:r>
              <w:t xml:space="preserve">—</w:t>
            </w:r>
          </w:p>
        </w:tc>
        <w:tc>
          <w:tcPr/>
          <w:p>
            <w:pPr>
              <w:pStyle w:val="Compact"/>
              <w:jc w:val="left"/>
            </w:pPr>
            <w:r>
              <w:t xml:space="preserve">—</w:t>
            </w:r>
          </w:p>
        </w:tc>
      </w:tr>
      <w:tr>
        <w:tc>
          <w:tcPr/>
          <w:p>
            <w:pPr>
              <w:pStyle w:val="Compact"/>
              <w:jc w:val="left"/>
            </w:pPr>
            <w:r>
              <w:rPr>
                <w:rStyle w:val="VerbatimChar"/>
              </w:rPr>
              <w:t xml:space="preserve">PROD.BucketFillFactor</w:t>
            </w:r>
          </w:p>
        </w:tc>
        <w:tc>
          <w:tcPr/>
          <w:p>
            <w:pPr>
              <w:pStyle w:val="Compact"/>
              <w:jc w:val="left"/>
            </w:pPr>
            <w:r>
              <w:t xml:space="preserve">Shovel</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w:t>
            </w:r>
          </w:p>
        </w:tc>
        <w:tc>
          <w:tcPr/>
          <w:p>
            <w:pPr>
              <w:pStyle w:val="Compact"/>
              <w:jc w:val="left"/>
            </w:pPr>
            <w:r>
              <w:t xml:space="preserve">CycleEvent</w:t>
            </w:r>
          </w:p>
        </w:tc>
        <w:tc>
          <w:tcPr/>
          <w:p>
            <w:pPr>
              <w:pStyle w:val="Compact"/>
              <w:jc w:val="left"/>
            </w:pPr>
            <w:r>
              <w:t xml:space="preserve">—</w:t>
            </w:r>
          </w:p>
        </w:tc>
        <w:tc>
          <w:tcPr/>
          <w:p>
            <w:pPr>
              <w:pStyle w:val="Compact"/>
              <w:jc w:val="left"/>
            </w:pPr>
            <w:r>
              <w:t xml:space="preserve">—</w:t>
            </w:r>
          </w:p>
        </w:tc>
      </w:tr>
      <w:tr>
        <w:tc>
          <w:tcPr/>
          <w:p>
            <w:pPr>
              <w:pStyle w:val="Compact"/>
              <w:jc w:val="left"/>
            </w:pPr>
            <w:r>
              <w:rPr>
                <w:rStyle w:val="VerbatimChar"/>
              </w:rPr>
              <w:t xml:space="preserve">PROD.DevelopmentRate</w:t>
            </w:r>
          </w:p>
        </w:tc>
        <w:tc>
          <w:tcPr/>
          <w:p>
            <w:pPr>
              <w:pStyle w:val="Compact"/>
              <w:jc w:val="left"/>
            </w:pPr>
            <w:r>
              <w:t xml:space="preserve">Production</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m/shift</w:t>
            </w:r>
          </w:p>
        </w:tc>
        <w:tc>
          <w:tcPr/>
          <w:p>
            <w:pPr>
              <w:pStyle w:val="Compact"/>
              <w:jc w:val="left"/>
            </w:pPr>
            <w:r>
              <w:t xml:space="preserve">DevelopmentEvent</w:t>
            </w:r>
          </w:p>
        </w:tc>
        <w:tc>
          <w:tcPr/>
          <w:p>
            <w:pPr>
              <w:pStyle w:val="Compact"/>
              <w:jc w:val="left"/>
            </w:pPr>
            <w:r>
              <w:t xml:space="preserve">—</w:t>
            </w:r>
          </w:p>
        </w:tc>
        <w:tc>
          <w:tcPr/>
          <w:p>
            <w:pPr>
              <w:pStyle w:val="Compact"/>
              <w:jc w:val="left"/>
            </w:pPr>
            <w:r>
              <w:t xml:space="preserve">—</w:t>
            </w:r>
          </w:p>
        </w:tc>
      </w:tr>
      <w:tr>
        <w:tc>
          <w:tcPr/>
          <w:p>
            <w:pPr>
              <w:pStyle w:val="Compact"/>
              <w:jc w:val="left"/>
            </w:pPr>
            <w:r>
              <w:rPr>
                <w:rStyle w:val="VerbatimChar"/>
              </w:rPr>
              <w:t xml:space="preserve">PROD.DigRate</w:t>
            </w:r>
          </w:p>
        </w:tc>
        <w:tc>
          <w:tcPr/>
          <w:p>
            <w:pPr>
              <w:pStyle w:val="Compact"/>
              <w:jc w:val="left"/>
            </w:pPr>
            <w:r>
              <w:t xml:space="preserve">Shovel</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t/dig-h</w:t>
            </w:r>
          </w:p>
        </w:tc>
        <w:tc>
          <w:tcPr/>
          <w:p>
            <w:pPr>
              <w:pStyle w:val="Compact"/>
              <w:jc w:val="left"/>
            </w:pPr>
            <w:r>
              <w:t xml:space="preserve">CycleEvent</w:t>
            </w:r>
          </w:p>
        </w:tc>
        <w:tc>
          <w:tcPr/>
          <w:p>
            <w:pPr>
              <w:pStyle w:val="Compact"/>
              <w:jc w:val="left"/>
            </w:pPr>
            <w:r>
              <w:t xml:space="preserve">—</w:t>
            </w:r>
          </w:p>
        </w:tc>
        <w:tc>
          <w:tcPr/>
          <w:p>
            <w:pPr>
              <w:pStyle w:val="Compact"/>
              <w:jc w:val="left"/>
            </w:pPr>
            <w:r>
              <w:t xml:space="preserve">—</w:t>
            </w:r>
          </w:p>
        </w:tc>
      </w:tr>
      <w:tr>
        <w:tc>
          <w:tcPr/>
          <w:p>
            <w:pPr>
              <w:pStyle w:val="Compact"/>
              <w:jc w:val="left"/>
            </w:pPr>
            <w:r>
              <w:rPr>
                <w:rStyle w:val="VerbatimChar"/>
              </w:rPr>
              <w:t xml:space="preserve">PROD.FaceAdvance</w:t>
            </w:r>
          </w:p>
        </w:tc>
        <w:tc>
          <w:tcPr/>
          <w:p>
            <w:pPr>
              <w:pStyle w:val="Compact"/>
              <w:jc w:val="left"/>
            </w:pPr>
            <w:r>
              <w:t xml:space="preserve">Production</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m/shift</w:t>
            </w:r>
          </w:p>
        </w:tc>
        <w:tc>
          <w:tcPr/>
          <w:p>
            <w:pPr>
              <w:pStyle w:val="Compact"/>
              <w:jc w:val="left"/>
            </w:pPr>
            <w:r>
              <w:t xml:space="preserve">DevelopmentEvent</w:t>
            </w:r>
          </w:p>
        </w:tc>
        <w:tc>
          <w:tcPr/>
          <w:p>
            <w:pPr>
              <w:pStyle w:val="Compact"/>
              <w:jc w:val="left"/>
            </w:pPr>
            <w:r>
              <w:t xml:space="preserve">—</w:t>
            </w:r>
          </w:p>
        </w:tc>
        <w:tc>
          <w:tcPr/>
          <w:p>
            <w:pPr>
              <w:pStyle w:val="Compact"/>
              <w:jc w:val="left"/>
            </w:pPr>
            <w:r>
              <w:t xml:space="preserve">—</w:t>
            </w:r>
          </w:p>
        </w:tc>
      </w:tr>
      <w:tr>
        <w:tc>
          <w:tcPr/>
          <w:p>
            <w:pPr>
              <w:pStyle w:val="Compact"/>
              <w:jc w:val="left"/>
            </w:pPr>
            <w:r>
              <w:rPr>
                <w:rStyle w:val="VerbatimChar"/>
              </w:rPr>
              <w:t xml:space="preserve">PROD.Payload</w:t>
            </w:r>
          </w:p>
        </w:tc>
        <w:tc>
          <w:tcPr/>
          <w:p>
            <w:pPr>
              <w:pStyle w:val="Compact"/>
              <w:jc w:val="left"/>
            </w:pPr>
            <w:r>
              <w:t xml:space="preserve">Truck</w:t>
            </w:r>
          </w:p>
        </w:tc>
        <w:tc>
          <w:tcPr/>
          <w:p>
            <w:pPr>
              <w:pStyle w:val="Compact"/>
              <w:jc w:val="left"/>
            </w:pPr>
            <w:r>
              <w:t xml:space="preserve">Active</w:t>
            </w:r>
          </w:p>
        </w:tc>
        <w:tc>
          <w:tcPr/>
          <w:p>
            <w:pPr>
              <w:pStyle w:val="Compact"/>
              <w:jc w:val="left"/>
            </w:pPr>
            <w:r>
              <w:t xml:space="preserve">1.0.0</w:t>
            </w:r>
          </w:p>
        </w:tc>
        <w:tc>
          <w:tcPr/>
          <w:p>
            <w:pPr>
              <w:pStyle w:val="Compact"/>
              <w:jc w:val="left"/>
            </w:pPr>
            <w:r>
              <w:t xml:space="preserve">t</w:t>
            </w:r>
          </w:p>
        </w:tc>
        <w:tc>
          <w:tcPr/>
          <w:p>
            <w:pPr>
              <w:pStyle w:val="Compact"/>
              <w:jc w:val="left"/>
            </w:pPr>
            <w:r>
              <w:t xml:space="preserve">CycleEvent</w:t>
            </w:r>
          </w:p>
        </w:tc>
        <w:tc>
          <w:tcPr/>
          <w:p>
            <w:pPr>
              <w:pStyle w:val="Compact"/>
              <w:jc w:val="left"/>
            </w:pPr>
            <w:r>
              <w:t xml:space="preserve">—</w:t>
            </w:r>
          </w:p>
        </w:tc>
        <w:tc>
          <w:tcPr/>
          <w:p>
            <w:pPr>
              <w:pStyle w:val="Compact"/>
              <w:jc w:val="left"/>
            </w:pPr>
            <w:r>
              <w:t xml:space="preserve">—</w:t>
            </w:r>
          </w:p>
        </w:tc>
      </w:tr>
      <w:tr>
        <w:tc>
          <w:tcPr/>
          <w:p>
            <w:pPr>
              <w:pStyle w:val="Compact"/>
              <w:jc w:val="left"/>
            </w:pPr>
            <w:r>
              <w:rPr>
                <w:rStyle w:val="VerbatimChar"/>
              </w:rPr>
              <w:t xml:space="preserve">PROD.ProductionAttainment</w:t>
            </w:r>
          </w:p>
        </w:tc>
        <w:tc>
          <w:tcPr/>
          <w:p>
            <w:pPr>
              <w:pStyle w:val="Compact"/>
              <w:jc w:val="left"/>
            </w:pPr>
            <w:r>
              <w:t xml:space="preserve">Production</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w:t>
            </w:r>
          </w:p>
        </w:tc>
        <w:tc>
          <w:tcPr/>
          <w:p>
            <w:pPr>
              <w:pStyle w:val="Compact"/>
              <w:jc w:val="left"/>
            </w:pPr>
            <w:r>
              <w:t xml:space="preserve">ProductionEvent</w:t>
            </w:r>
          </w:p>
        </w:tc>
        <w:tc>
          <w:tcPr/>
          <w:p>
            <w:pPr>
              <w:pStyle w:val="Compact"/>
              <w:jc w:val="left"/>
            </w:pPr>
            <w:r>
              <w:t xml:space="preserve">PROD.TPH</w:t>
            </w:r>
          </w:p>
        </w:tc>
        <w:tc>
          <w:tcPr/>
          <w:p>
            <w:pPr>
              <w:pStyle w:val="Compact"/>
              <w:jc w:val="left"/>
            </w:pPr>
            <w:r>
              <w:t xml:space="preserve">—</w:t>
            </w:r>
          </w:p>
        </w:tc>
      </w:tr>
      <w:tr>
        <w:tc>
          <w:tcPr/>
          <w:p>
            <w:pPr>
              <w:pStyle w:val="Compact"/>
              <w:jc w:val="left"/>
            </w:pPr>
            <w:r>
              <w:rPr>
                <w:rStyle w:val="VerbatimChar"/>
              </w:rPr>
              <w:t xml:space="preserve">PROD.ShovelProductivity</w:t>
            </w:r>
          </w:p>
        </w:tc>
        <w:tc>
          <w:tcPr/>
          <w:p>
            <w:pPr>
              <w:pStyle w:val="Compact"/>
              <w:jc w:val="left"/>
            </w:pPr>
            <w:r>
              <w:t xml:space="preserve">Shovel</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t/h</w:t>
            </w:r>
          </w:p>
        </w:tc>
        <w:tc>
          <w:tcPr/>
          <w:p>
            <w:pPr>
              <w:pStyle w:val="Compact"/>
              <w:jc w:val="left"/>
            </w:pPr>
            <w:r>
              <w:t xml:space="preserve">CycleEvent</w:t>
            </w:r>
          </w:p>
        </w:tc>
        <w:tc>
          <w:tcPr/>
          <w:p>
            <w:pPr>
              <w:pStyle w:val="Compact"/>
              <w:jc w:val="left"/>
            </w:pPr>
            <w:r>
              <w:t xml:space="preserve">—</w:t>
            </w:r>
          </w:p>
        </w:tc>
        <w:tc>
          <w:tcPr/>
          <w:p>
            <w:pPr>
              <w:pStyle w:val="Compact"/>
              <w:jc w:val="left"/>
            </w:pPr>
            <w:r>
              <w:t xml:space="preserve">—</w:t>
            </w:r>
          </w:p>
        </w:tc>
      </w:tr>
      <w:tr>
        <w:tc>
          <w:tcPr/>
          <w:p>
            <w:pPr>
              <w:pStyle w:val="Compact"/>
              <w:jc w:val="left"/>
            </w:pPr>
            <w:r>
              <w:rPr>
                <w:rStyle w:val="VerbatimChar"/>
              </w:rPr>
              <w:t xml:space="preserve">PROD.StrippingRatio</w:t>
            </w:r>
          </w:p>
        </w:tc>
        <w:tc>
          <w:tcPr/>
          <w:p>
            <w:pPr>
              <w:pStyle w:val="Compact"/>
              <w:jc w:val="left"/>
            </w:pPr>
            <w:r>
              <w:t xml:space="preserve">Production</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t/t</w:t>
            </w:r>
          </w:p>
        </w:tc>
        <w:tc>
          <w:tcPr/>
          <w:p>
            <w:pPr>
              <w:pStyle w:val="Compact"/>
              <w:jc w:val="left"/>
            </w:pPr>
            <w:r>
              <w:t xml:space="preserve">ProductionEvent</w:t>
            </w:r>
          </w:p>
        </w:tc>
        <w:tc>
          <w:tcPr/>
          <w:p>
            <w:pPr>
              <w:pStyle w:val="Compact"/>
              <w:jc w:val="left"/>
            </w:pPr>
            <w:r>
              <w:t xml:space="preserve">—</w:t>
            </w:r>
          </w:p>
        </w:tc>
        <w:tc>
          <w:tcPr/>
          <w:p>
            <w:pPr>
              <w:pStyle w:val="Compact"/>
              <w:jc w:val="left"/>
            </w:pPr>
            <w:r>
              <w:t xml:space="preserve">—</w:t>
            </w:r>
          </w:p>
        </w:tc>
      </w:tr>
      <w:tr>
        <w:tc>
          <w:tcPr/>
          <w:p>
            <w:pPr>
              <w:pStyle w:val="Compact"/>
              <w:jc w:val="left"/>
            </w:pPr>
            <w:r>
              <w:rPr>
                <w:rStyle w:val="VerbatimChar"/>
              </w:rPr>
              <w:t xml:space="preserve">PROD.TPH</w:t>
            </w:r>
          </w:p>
        </w:tc>
        <w:tc>
          <w:tcPr/>
          <w:p>
            <w:pPr>
              <w:pStyle w:val="Compact"/>
              <w:jc w:val="left"/>
            </w:pPr>
            <w:r>
              <w:t xml:space="preserve">Production</w:t>
            </w:r>
          </w:p>
        </w:tc>
        <w:tc>
          <w:tcPr/>
          <w:p>
            <w:pPr>
              <w:pStyle w:val="Compact"/>
              <w:jc w:val="left"/>
            </w:pPr>
            <w:r>
              <w:t xml:space="preserve">Active</w:t>
            </w:r>
          </w:p>
        </w:tc>
        <w:tc>
          <w:tcPr/>
          <w:p>
            <w:pPr>
              <w:pStyle w:val="Compact"/>
              <w:jc w:val="left"/>
            </w:pPr>
            <w:r>
              <w:t xml:space="preserve">1.0.0</w:t>
            </w:r>
          </w:p>
        </w:tc>
        <w:tc>
          <w:tcPr/>
          <w:p>
            <w:pPr>
              <w:pStyle w:val="Compact"/>
              <w:jc w:val="left"/>
            </w:pPr>
            <w:r>
              <w:t xml:space="preserve">t/h</w:t>
            </w:r>
          </w:p>
        </w:tc>
        <w:tc>
          <w:tcPr/>
          <w:p>
            <w:pPr>
              <w:pStyle w:val="Compact"/>
              <w:jc w:val="left"/>
            </w:pPr>
            <w:r>
              <w:t xml:space="preserve">CycleEvent</w:t>
            </w:r>
          </w:p>
        </w:tc>
        <w:tc>
          <w:tcPr/>
          <w:p>
            <w:pPr>
              <w:pStyle w:val="Compact"/>
              <w:jc w:val="left"/>
            </w:pPr>
            <w:r>
              <w:t xml:space="preserve">—</w:t>
            </w:r>
          </w:p>
        </w:tc>
        <w:tc>
          <w:tcPr/>
          <w:p>
            <w:pPr>
              <w:pStyle w:val="Compact"/>
              <w:jc w:val="left"/>
            </w:pPr>
            <w:r>
              <w:t xml:space="preserve">—</w:t>
            </w:r>
          </w:p>
        </w:tc>
      </w:tr>
      <w:tr>
        <w:tc>
          <w:tcPr/>
          <w:p>
            <w:pPr>
              <w:pStyle w:val="Compact"/>
              <w:jc w:val="left"/>
            </w:pPr>
            <w:r>
              <w:rPr>
                <w:rStyle w:val="VerbatimChar"/>
              </w:rPr>
              <w:t xml:space="preserve">PROD.TruckCycleTime</w:t>
            </w:r>
          </w:p>
        </w:tc>
        <w:tc>
          <w:tcPr/>
          <w:p>
            <w:pPr>
              <w:pStyle w:val="Compact"/>
              <w:jc w:val="left"/>
            </w:pPr>
            <w:r>
              <w:t xml:space="preserve">Truck</w:t>
            </w:r>
          </w:p>
        </w:tc>
        <w:tc>
          <w:tcPr/>
          <w:p>
            <w:pPr>
              <w:pStyle w:val="Compact"/>
              <w:jc w:val="left"/>
            </w:pPr>
            <w:r>
              <w:t xml:space="preserve">Active</w:t>
            </w:r>
          </w:p>
        </w:tc>
        <w:tc>
          <w:tcPr/>
          <w:p>
            <w:pPr>
              <w:pStyle w:val="Compact"/>
              <w:jc w:val="left"/>
            </w:pPr>
            <w:r>
              <w:t xml:space="preserve">1.0.0</w:t>
            </w:r>
          </w:p>
        </w:tc>
        <w:tc>
          <w:tcPr/>
          <w:p>
            <w:pPr>
              <w:pStyle w:val="Compact"/>
              <w:jc w:val="left"/>
            </w:pPr>
            <w:r>
              <w:t xml:space="preserve">min</w:t>
            </w:r>
          </w:p>
        </w:tc>
        <w:tc>
          <w:tcPr/>
          <w:p>
            <w:pPr>
              <w:pStyle w:val="Compact"/>
              <w:jc w:val="left"/>
            </w:pPr>
            <w:r>
              <w:t xml:space="preserve">CycleEvent</w:t>
            </w:r>
          </w:p>
        </w:tc>
        <w:tc>
          <w:tcPr/>
          <w:p>
            <w:pPr>
              <w:pStyle w:val="Compact"/>
              <w:jc w:val="left"/>
            </w:pPr>
            <w:r>
              <w:t xml:space="preserve">—</w:t>
            </w:r>
          </w:p>
        </w:tc>
        <w:tc>
          <w:tcPr/>
          <w:p>
            <w:pPr>
              <w:pStyle w:val="Compact"/>
              <w:jc w:val="left"/>
            </w:pPr>
            <w:r>
              <w:t xml:space="preserve">—</w:t>
            </w:r>
          </w:p>
        </w:tc>
      </w:tr>
      <w:tr>
        <w:tc>
          <w:tcPr/>
          <w:p>
            <w:pPr>
              <w:pStyle w:val="Compact"/>
              <w:jc w:val="left"/>
            </w:pPr>
            <w:r>
              <w:rPr>
                <w:rStyle w:val="VerbatimChar"/>
              </w:rPr>
              <w:t xml:space="preserve">HAUL.EffectiveGrade</w:t>
            </w:r>
          </w:p>
        </w:tc>
        <w:tc>
          <w:tcPr/>
          <w:p>
            <w:pPr>
              <w:pStyle w:val="Compact"/>
              <w:jc w:val="left"/>
            </w:pPr>
            <w:r>
              <w:t xml:space="preserve">Haulage</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w:t>
            </w:r>
          </w:p>
        </w:tc>
        <w:tc>
          <w:tcPr/>
          <w:p>
            <w:pPr>
              <w:pStyle w:val="Compact"/>
              <w:jc w:val="left"/>
            </w:pPr>
            <w:r>
              <w:t xml:space="preserve">CycleEvent</w:t>
            </w:r>
          </w:p>
        </w:tc>
        <w:tc>
          <w:tcPr/>
          <w:p>
            <w:pPr>
              <w:pStyle w:val="Compact"/>
              <w:jc w:val="left"/>
            </w:pPr>
            <w:r>
              <w:t xml:space="preserve">—</w:t>
            </w:r>
          </w:p>
        </w:tc>
        <w:tc>
          <w:tcPr/>
          <w:p>
            <w:pPr>
              <w:pStyle w:val="Compact"/>
              <w:jc w:val="left"/>
            </w:pPr>
            <w:r>
              <w:t xml:space="preserve">—</w:t>
            </w:r>
          </w:p>
        </w:tc>
      </w:tr>
      <w:tr>
        <w:tc>
          <w:tcPr/>
          <w:p>
            <w:pPr>
              <w:pStyle w:val="Compact"/>
              <w:jc w:val="left"/>
            </w:pPr>
            <w:r>
              <w:rPr>
                <w:rStyle w:val="VerbatimChar"/>
              </w:rPr>
              <w:t xml:space="preserve">HAUL.HaulCycleDistance</w:t>
            </w:r>
          </w:p>
        </w:tc>
        <w:tc>
          <w:tcPr/>
          <w:p>
            <w:pPr>
              <w:pStyle w:val="Compact"/>
              <w:jc w:val="left"/>
            </w:pPr>
            <w:r>
              <w:t xml:space="preserve">Haulage</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km</w:t>
            </w:r>
          </w:p>
        </w:tc>
        <w:tc>
          <w:tcPr/>
          <w:p>
            <w:pPr>
              <w:pStyle w:val="Compact"/>
              <w:jc w:val="left"/>
            </w:pPr>
            <w:r>
              <w:t xml:space="preserve">CycleEvent</w:t>
            </w:r>
          </w:p>
        </w:tc>
        <w:tc>
          <w:tcPr/>
          <w:p>
            <w:pPr>
              <w:pStyle w:val="Compact"/>
              <w:jc w:val="left"/>
            </w:pPr>
            <w:r>
              <w:t xml:space="preserve">—</w:t>
            </w:r>
          </w:p>
        </w:tc>
        <w:tc>
          <w:tcPr/>
          <w:p>
            <w:pPr>
              <w:pStyle w:val="Compact"/>
              <w:jc w:val="left"/>
            </w:pPr>
            <w:r>
              <w:t xml:space="preserve">—</w:t>
            </w:r>
          </w:p>
        </w:tc>
      </w:tr>
      <w:tr>
        <w:tc>
          <w:tcPr/>
          <w:p>
            <w:pPr>
              <w:pStyle w:val="Compact"/>
              <w:jc w:val="left"/>
            </w:pPr>
            <w:r>
              <w:rPr>
                <w:rStyle w:val="VerbatimChar"/>
              </w:rPr>
              <w:t xml:space="preserve">HAUL.MatchFactor</w:t>
            </w:r>
          </w:p>
        </w:tc>
        <w:tc>
          <w:tcPr/>
          <w:p>
            <w:pPr>
              <w:pStyle w:val="Compact"/>
              <w:jc w:val="left"/>
            </w:pPr>
            <w:r>
              <w:t xml:space="preserve">Fleet</w:t>
            </w:r>
          </w:p>
        </w:tc>
        <w:tc>
          <w:tcPr/>
          <w:p>
            <w:pPr>
              <w:pStyle w:val="Compact"/>
              <w:jc w:val="left"/>
            </w:pPr>
            <w:r>
              <w:t xml:space="preserve">Active</w:t>
            </w:r>
          </w:p>
        </w:tc>
        <w:tc>
          <w:tcPr/>
          <w:p>
            <w:pPr>
              <w:pStyle w:val="Compact"/>
              <w:jc w:val="left"/>
            </w:pPr>
            <w:r>
              <w:t xml:space="preserve">1.0.0</w:t>
            </w:r>
          </w:p>
        </w:tc>
        <w:tc>
          <w:tcPr/>
          <w:p>
            <w:pPr>
              <w:pStyle w:val="Compact"/>
              <w:jc w:val="left"/>
            </w:pPr>
            <w:r>
              <w:t xml:space="preserve">ratio</w:t>
            </w:r>
          </w:p>
        </w:tc>
        <w:tc>
          <w:tcPr/>
          <w:p>
            <w:pPr>
              <w:pStyle w:val="Compact"/>
              <w:jc w:val="left"/>
            </w:pPr>
            <w:r>
              <w:t xml:space="preserve">CycleEvent</w:t>
            </w:r>
          </w:p>
        </w:tc>
        <w:tc>
          <w:tcPr/>
          <w:p>
            <w:pPr>
              <w:pStyle w:val="Compact"/>
              <w:jc w:val="left"/>
            </w:pPr>
            <w:r>
              <w:t xml:space="preserve">PROD.TruckCycleTime</w:t>
            </w:r>
          </w:p>
        </w:tc>
        <w:tc>
          <w:tcPr/>
          <w:p>
            <w:pPr>
              <w:pStyle w:val="Compact"/>
              <w:jc w:val="left"/>
            </w:pPr>
            <w:r>
              <w:t xml:space="preserve">—</w:t>
            </w:r>
          </w:p>
        </w:tc>
      </w:tr>
      <w:tr>
        <w:tc>
          <w:tcPr/>
          <w:p>
            <w:pPr>
              <w:pStyle w:val="Compact"/>
              <w:jc w:val="left"/>
            </w:pPr>
            <w:r>
              <w:rPr>
                <w:rStyle w:val="VerbatimChar"/>
              </w:rPr>
              <w:t xml:space="preserve">HAUL.ReturnRatio</w:t>
            </w:r>
          </w:p>
        </w:tc>
        <w:tc>
          <w:tcPr/>
          <w:p>
            <w:pPr>
              <w:pStyle w:val="Compact"/>
              <w:jc w:val="left"/>
            </w:pPr>
            <w:r>
              <w:t xml:space="preserve">Haulage</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ratio</w:t>
            </w:r>
          </w:p>
        </w:tc>
        <w:tc>
          <w:tcPr/>
          <w:p>
            <w:pPr>
              <w:pStyle w:val="Compact"/>
              <w:jc w:val="left"/>
            </w:pPr>
            <w:r>
              <w:t xml:space="preserve">CycleEvent</w:t>
            </w:r>
          </w:p>
        </w:tc>
        <w:tc>
          <w:tcPr/>
          <w:p>
            <w:pPr>
              <w:pStyle w:val="Compact"/>
              <w:jc w:val="left"/>
            </w:pPr>
            <w:r>
              <w:t xml:space="preserve">—</w:t>
            </w:r>
          </w:p>
        </w:tc>
        <w:tc>
          <w:tcPr/>
          <w:p>
            <w:pPr>
              <w:pStyle w:val="Compact"/>
              <w:jc w:val="left"/>
            </w:pPr>
            <w:r>
              <w:t xml:space="preserve">—</w:t>
            </w:r>
          </w:p>
        </w:tc>
      </w:tr>
      <w:tr>
        <w:tc>
          <w:tcPr/>
          <w:p>
            <w:pPr>
              <w:pStyle w:val="Compact"/>
              <w:jc w:val="left"/>
            </w:pPr>
            <w:r>
              <w:rPr>
                <w:rStyle w:val="VerbatimChar"/>
              </w:rPr>
              <w:t xml:space="preserve">HAUL.TonKm</w:t>
            </w:r>
          </w:p>
        </w:tc>
        <w:tc>
          <w:tcPr/>
          <w:p>
            <w:pPr>
              <w:pStyle w:val="Compact"/>
              <w:jc w:val="left"/>
            </w:pPr>
            <w:r>
              <w:t xml:space="preserve">Haulage</w:t>
            </w:r>
          </w:p>
        </w:tc>
        <w:tc>
          <w:tcPr/>
          <w:p>
            <w:pPr>
              <w:pStyle w:val="Compact"/>
              <w:jc w:val="left"/>
            </w:pPr>
            <w:r>
              <w:t xml:space="preserve">Active</w:t>
            </w:r>
          </w:p>
        </w:tc>
        <w:tc>
          <w:tcPr/>
          <w:p>
            <w:pPr>
              <w:pStyle w:val="Compact"/>
              <w:jc w:val="left"/>
            </w:pPr>
            <w:r>
              <w:t xml:space="preserve">1.0.0</w:t>
            </w:r>
          </w:p>
        </w:tc>
        <w:tc>
          <w:tcPr/>
          <w:p>
            <w:pPr>
              <w:pStyle w:val="Compact"/>
              <w:jc w:val="left"/>
            </w:pPr>
            <w:r>
              <w:t xml:space="preserve">t·km</w:t>
            </w:r>
          </w:p>
        </w:tc>
        <w:tc>
          <w:tcPr/>
          <w:p>
            <w:pPr>
              <w:pStyle w:val="Compact"/>
              <w:jc w:val="left"/>
            </w:pPr>
            <w:r>
              <w:t xml:space="preserve">CycleEvent</w:t>
            </w:r>
          </w:p>
        </w:tc>
        <w:tc>
          <w:tcPr/>
          <w:p>
            <w:pPr>
              <w:pStyle w:val="Compact"/>
              <w:jc w:val="left"/>
            </w:pPr>
            <w:r>
              <w:t xml:space="preserve">PROD.Payload</w:t>
            </w:r>
          </w:p>
        </w:tc>
        <w:tc>
          <w:tcPr/>
          <w:p>
            <w:pPr>
              <w:pStyle w:val="Compact"/>
              <w:jc w:val="left"/>
            </w:pPr>
            <w:r>
              <w:t xml:space="preserve">—</w:t>
            </w:r>
          </w:p>
        </w:tc>
      </w:tr>
      <w:tr>
        <w:tc>
          <w:tcPr/>
          <w:p>
            <w:pPr>
              <w:pStyle w:val="Compact"/>
              <w:jc w:val="left"/>
            </w:pPr>
            <w:r>
              <w:rPr>
                <w:rStyle w:val="VerbatimChar"/>
              </w:rPr>
              <w:t xml:space="preserve">HAUL.TruckProductivity</w:t>
            </w:r>
          </w:p>
        </w:tc>
        <w:tc>
          <w:tcPr/>
          <w:p>
            <w:pPr>
              <w:pStyle w:val="Compact"/>
              <w:jc w:val="left"/>
            </w:pPr>
            <w:r>
              <w:t xml:space="preserve">Truck</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t/h</w:t>
            </w:r>
          </w:p>
        </w:tc>
        <w:tc>
          <w:tcPr/>
          <w:p>
            <w:pPr>
              <w:pStyle w:val="Compact"/>
              <w:jc w:val="left"/>
            </w:pPr>
            <w:r>
              <w:t xml:space="preserve">CycleEvent</w:t>
            </w:r>
          </w:p>
        </w:tc>
        <w:tc>
          <w:tcPr/>
          <w:p>
            <w:pPr>
              <w:pStyle w:val="Compact"/>
              <w:jc w:val="left"/>
            </w:pPr>
            <w:r>
              <w:t xml:space="preserve">PROD.Payload, PROD.TruckCycleTime</w:t>
            </w:r>
          </w:p>
        </w:tc>
        <w:tc>
          <w:tcPr/>
          <w:p>
            <w:pPr>
              <w:pStyle w:val="Compact"/>
              <w:jc w:val="left"/>
            </w:pPr>
            <w:r>
              <w:t xml:space="preserve">—</w:t>
            </w:r>
          </w:p>
        </w:tc>
      </w:tr>
      <w:tr>
        <w:tc>
          <w:tcPr/>
          <w:p>
            <w:pPr>
              <w:pStyle w:val="Compact"/>
              <w:jc w:val="left"/>
            </w:pPr>
            <w:r>
              <w:rPr>
                <w:rStyle w:val="VerbatimChar"/>
              </w:rPr>
              <w:t xml:space="preserve">UTIL.Availability</w:t>
            </w:r>
          </w:p>
        </w:tc>
        <w:tc>
          <w:tcPr/>
          <w:p>
            <w:pPr>
              <w:pStyle w:val="Compact"/>
              <w:jc w:val="left"/>
            </w:pPr>
            <w:r>
              <w:t xml:space="preserve">Availability</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w:t>
            </w:r>
          </w:p>
        </w:tc>
        <w:tc>
          <w:tcPr/>
          <w:p>
            <w:pPr>
              <w:pStyle w:val="Compact"/>
              <w:jc w:val="left"/>
            </w:pPr>
            <w:r>
              <w:t xml:space="preserve">DelayEvent</w:t>
            </w:r>
          </w:p>
        </w:tc>
        <w:tc>
          <w:tcPr/>
          <w:p>
            <w:pPr>
              <w:pStyle w:val="Compact"/>
              <w:jc w:val="left"/>
            </w:pPr>
            <w:r>
              <w:t xml:space="preserve">UTIL.PA</w:t>
            </w:r>
          </w:p>
        </w:tc>
        <w:tc>
          <w:tcPr/>
          <w:p>
            <w:pPr>
              <w:pStyle w:val="Compact"/>
              <w:jc w:val="left"/>
            </w:pPr>
            <w:r>
              <w:t xml:space="preserve">alias of UTIL.PA family</w:t>
            </w:r>
          </w:p>
        </w:tc>
      </w:tr>
      <w:tr>
        <w:tc>
          <w:tcPr/>
          <w:p>
            <w:pPr>
              <w:pStyle w:val="Compact"/>
              <w:jc w:val="left"/>
            </w:pPr>
            <w:r>
              <w:rPr>
                <w:rStyle w:val="VerbatimChar"/>
              </w:rPr>
              <w:t xml:space="preserve">UTIL.EU</w:t>
            </w:r>
          </w:p>
        </w:tc>
        <w:tc>
          <w:tcPr/>
          <w:p>
            <w:pPr>
              <w:pStyle w:val="Compact"/>
              <w:jc w:val="left"/>
            </w:pPr>
            <w:r>
              <w:t xml:space="preserve">Utilization</w:t>
            </w:r>
          </w:p>
        </w:tc>
        <w:tc>
          <w:tcPr/>
          <w:p>
            <w:pPr>
              <w:pStyle w:val="Compact"/>
              <w:jc w:val="left"/>
            </w:pPr>
            <w:r>
              <w:t xml:space="preserve">Active</w:t>
            </w:r>
          </w:p>
        </w:tc>
        <w:tc>
          <w:tcPr/>
          <w:p>
            <w:pPr>
              <w:pStyle w:val="Compact"/>
              <w:jc w:val="left"/>
            </w:pPr>
            <w:r>
              <w:t xml:space="preserve">1.0.0</w:t>
            </w:r>
          </w:p>
        </w:tc>
        <w:tc>
          <w:tcPr/>
          <w:p>
            <w:pPr>
              <w:pStyle w:val="Compact"/>
              <w:jc w:val="left"/>
            </w:pPr>
            <w:r>
              <w:t xml:space="preserve">%</w:t>
            </w:r>
          </w:p>
        </w:tc>
        <w:tc>
          <w:tcPr/>
          <w:p>
            <w:pPr>
              <w:pStyle w:val="Compact"/>
              <w:jc w:val="left"/>
            </w:pPr>
            <w:r>
              <w:t xml:space="preserve">CycleEvent, DelayEvent</w:t>
            </w:r>
          </w:p>
        </w:tc>
        <w:tc>
          <w:tcPr/>
          <w:p>
            <w:pPr>
              <w:pStyle w:val="Compact"/>
              <w:jc w:val="left"/>
            </w:pPr>
            <w:r>
              <w:t xml:space="preserve">UTIL.PA, UTIL.UA</w:t>
            </w:r>
          </w:p>
        </w:tc>
        <w:tc>
          <w:tcPr/>
          <w:p>
            <w:pPr>
              <w:pStyle w:val="Compact"/>
              <w:jc w:val="left"/>
            </w:pPr>
            <w:r>
              <w:t xml:space="preserve">—</w:t>
            </w:r>
          </w:p>
        </w:tc>
      </w:tr>
      <w:tr>
        <w:tc>
          <w:tcPr/>
          <w:p>
            <w:pPr>
              <w:pStyle w:val="Compact"/>
              <w:jc w:val="left"/>
            </w:pPr>
            <w:r>
              <w:rPr>
                <w:rStyle w:val="VerbatimChar"/>
              </w:rPr>
              <w:t xml:space="preserve">UTIL.OEE</w:t>
            </w:r>
          </w:p>
        </w:tc>
        <w:tc>
          <w:tcPr/>
          <w:p>
            <w:pPr>
              <w:pStyle w:val="Compact"/>
              <w:jc w:val="left"/>
            </w:pPr>
            <w:r>
              <w:t xml:space="preserve">Utilization</w:t>
            </w:r>
          </w:p>
        </w:tc>
        <w:tc>
          <w:tcPr/>
          <w:p>
            <w:pPr>
              <w:pStyle w:val="Compact"/>
              <w:jc w:val="left"/>
            </w:pPr>
            <w:r>
              <w:t xml:space="preserve">Active</w:t>
            </w:r>
          </w:p>
        </w:tc>
        <w:tc>
          <w:tcPr/>
          <w:p>
            <w:pPr>
              <w:pStyle w:val="Compact"/>
              <w:jc w:val="left"/>
            </w:pPr>
            <w:r>
              <w:t xml:space="preserve">1.0.0</w:t>
            </w:r>
          </w:p>
        </w:tc>
        <w:tc>
          <w:tcPr/>
          <w:p>
            <w:pPr>
              <w:pStyle w:val="Compact"/>
              <w:jc w:val="left"/>
            </w:pPr>
            <w:r>
              <w:t xml:space="preserve">%</w:t>
            </w:r>
          </w:p>
        </w:tc>
        <w:tc>
          <w:tcPr/>
          <w:p>
            <w:pPr>
              <w:pStyle w:val="Compact"/>
              <w:jc w:val="left"/>
            </w:pPr>
            <w:r>
              <w:t xml:space="preserve">CycleEvent, DelayEvent, ProductionEvent</w:t>
            </w:r>
          </w:p>
        </w:tc>
        <w:tc>
          <w:tcPr/>
          <w:p>
            <w:pPr>
              <w:pStyle w:val="Compact"/>
              <w:jc w:val="left"/>
            </w:pPr>
            <w:r>
              <w:t xml:space="preserve">UTIL.PA</w:t>
            </w:r>
          </w:p>
        </w:tc>
        <w:tc>
          <w:tcPr/>
          <w:p>
            <w:pPr>
              <w:pStyle w:val="Compact"/>
              <w:jc w:val="left"/>
            </w:pPr>
            <w:r>
              <w:t xml:space="preserve">—</w:t>
            </w:r>
          </w:p>
        </w:tc>
      </w:tr>
      <w:tr>
        <w:tc>
          <w:tcPr/>
          <w:p>
            <w:pPr>
              <w:pStyle w:val="Compact"/>
              <w:jc w:val="left"/>
            </w:pPr>
            <w:r>
              <w:rPr>
                <w:rStyle w:val="VerbatimChar"/>
              </w:rPr>
              <w:t xml:space="preserve">UTIL.PA</w:t>
            </w:r>
          </w:p>
        </w:tc>
        <w:tc>
          <w:tcPr/>
          <w:p>
            <w:pPr>
              <w:pStyle w:val="Compact"/>
              <w:jc w:val="left"/>
            </w:pPr>
            <w:r>
              <w:t xml:space="preserve">Availability</w:t>
            </w:r>
          </w:p>
        </w:tc>
        <w:tc>
          <w:tcPr/>
          <w:p>
            <w:pPr>
              <w:pStyle w:val="Compact"/>
              <w:jc w:val="left"/>
            </w:pPr>
            <w:r>
              <w:t xml:space="preserve">Active</w:t>
            </w:r>
          </w:p>
        </w:tc>
        <w:tc>
          <w:tcPr/>
          <w:p>
            <w:pPr>
              <w:pStyle w:val="Compact"/>
              <w:jc w:val="left"/>
            </w:pPr>
            <w:r>
              <w:t xml:space="preserve">1.0.0</w:t>
            </w:r>
          </w:p>
        </w:tc>
        <w:tc>
          <w:tcPr/>
          <w:p>
            <w:pPr>
              <w:pStyle w:val="Compact"/>
              <w:jc w:val="left"/>
            </w:pPr>
            <w:r>
              <w:t xml:space="preserve">%</w:t>
            </w:r>
          </w:p>
        </w:tc>
        <w:tc>
          <w:tcPr/>
          <w:p>
            <w:pPr>
              <w:pStyle w:val="Compact"/>
              <w:jc w:val="left"/>
            </w:pPr>
            <w:r>
              <w:t xml:space="preserve">CycleEvent, DelayEvent</w:t>
            </w:r>
          </w:p>
        </w:tc>
        <w:tc>
          <w:tcPr/>
          <w:p>
            <w:pPr>
              <w:pStyle w:val="Compact"/>
              <w:jc w:val="left"/>
            </w:pPr>
            <w:r>
              <w:t xml:space="preserve">—</w:t>
            </w:r>
          </w:p>
        </w:tc>
        <w:tc>
          <w:tcPr/>
          <w:p>
            <w:pPr>
              <w:pStyle w:val="Compact"/>
              <w:jc w:val="left"/>
            </w:pPr>
            <w:r>
              <w:t xml:space="preserve">alias UTIL.MechanicalAvailability</w:t>
            </w:r>
          </w:p>
        </w:tc>
      </w:tr>
      <w:tr>
        <w:tc>
          <w:tcPr/>
          <w:p>
            <w:pPr>
              <w:pStyle w:val="Compact"/>
              <w:jc w:val="left"/>
            </w:pPr>
            <w:r>
              <w:rPr>
                <w:rStyle w:val="VerbatimChar"/>
              </w:rPr>
              <w:t xml:space="preserve">UTIL.ReadyRatio</w:t>
            </w:r>
          </w:p>
        </w:tc>
        <w:tc>
          <w:tcPr/>
          <w:p>
            <w:pPr>
              <w:pStyle w:val="Compact"/>
              <w:jc w:val="left"/>
            </w:pPr>
            <w:r>
              <w:t xml:space="preserve">Utilization</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w:t>
            </w:r>
          </w:p>
        </w:tc>
        <w:tc>
          <w:tcPr/>
          <w:p>
            <w:pPr>
              <w:pStyle w:val="Compact"/>
              <w:jc w:val="left"/>
            </w:pPr>
            <w:r>
              <w:t xml:space="preserve">DelayEvent</w:t>
            </w:r>
          </w:p>
        </w:tc>
        <w:tc>
          <w:tcPr/>
          <w:p>
            <w:pPr>
              <w:pStyle w:val="Compact"/>
              <w:jc w:val="left"/>
            </w:pPr>
            <w:r>
              <w:t xml:space="preserve">UTIL.PA</w:t>
            </w:r>
          </w:p>
        </w:tc>
        <w:tc>
          <w:tcPr/>
          <w:p>
            <w:pPr>
              <w:pStyle w:val="Compact"/>
              <w:jc w:val="left"/>
            </w:pPr>
            <w:r>
              <w:t xml:space="preserve">—</w:t>
            </w:r>
          </w:p>
        </w:tc>
      </w:tr>
      <w:tr>
        <w:tc>
          <w:tcPr/>
          <w:p>
            <w:pPr>
              <w:pStyle w:val="Compact"/>
              <w:jc w:val="left"/>
            </w:pPr>
            <w:r>
              <w:rPr>
                <w:rStyle w:val="VerbatimChar"/>
              </w:rPr>
              <w:t xml:space="preserve">UTIL.TEEP</w:t>
            </w:r>
          </w:p>
        </w:tc>
        <w:tc>
          <w:tcPr/>
          <w:p>
            <w:pPr>
              <w:pStyle w:val="Compact"/>
              <w:jc w:val="left"/>
            </w:pPr>
            <w:r>
              <w:t xml:space="preserve">Utilization</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w:t>
            </w:r>
          </w:p>
        </w:tc>
        <w:tc>
          <w:tcPr/>
          <w:p>
            <w:pPr>
              <w:pStyle w:val="Compact"/>
              <w:jc w:val="left"/>
            </w:pPr>
            <w:r>
              <w:t xml:space="preserve">CycleEvent, DelayEvent</w:t>
            </w:r>
          </w:p>
        </w:tc>
        <w:tc>
          <w:tcPr/>
          <w:p>
            <w:pPr>
              <w:pStyle w:val="Compact"/>
              <w:jc w:val="left"/>
            </w:pPr>
            <w:r>
              <w:t xml:space="preserve">UTIL.OEE</w:t>
            </w:r>
          </w:p>
        </w:tc>
        <w:tc>
          <w:tcPr/>
          <w:p>
            <w:pPr>
              <w:pStyle w:val="Compact"/>
              <w:jc w:val="left"/>
            </w:pPr>
            <w:r>
              <w:t xml:space="preserve">—</w:t>
            </w:r>
          </w:p>
        </w:tc>
      </w:tr>
      <w:tr>
        <w:tc>
          <w:tcPr/>
          <w:p>
            <w:pPr>
              <w:pStyle w:val="Compact"/>
              <w:jc w:val="left"/>
            </w:pPr>
            <w:r>
              <w:rPr>
                <w:rStyle w:val="VerbatimChar"/>
              </w:rPr>
              <w:t xml:space="preserve">UTIL.UA</w:t>
            </w:r>
          </w:p>
        </w:tc>
        <w:tc>
          <w:tcPr/>
          <w:p>
            <w:pPr>
              <w:pStyle w:val="Compact"/>
              <w:jc w:val="left"/>
            </w:pPr>
            <w:r>
              <w:t xml:space="preserve">Utilization</w:t>
            </w:r>
          </w:p>
        </w:tc>
        <w:tc>
          <w:tcPr/>
          <w:p>
            <w:pPr>
              <w:pStyle w:val="Compact"/>
              <w:jc w:val="left"/>
            </w:pPr>
            <w:r>
              <w:t xml:space="preserve">Active</w:t>
            </w:r>
          </w:p>
        </w:tc>
        <w:tc>
          <w:tcPr/>
          <w:p>
            <w:pPr>
              <w:pStyle w:val="Compact"/>
              <w:jc w:val="left"/>
            </w:pPr>
            <w:r>
              <w:t xml:space="preserve">1.0.0</w:t>
            </w:r>
          </w:p>
        </w:tc>
        <w:tc>
          <w:tcPr/>
          <w:p>
            <w:pPr>
              <w:pStyle w:val="Compact"/>
              <w:jc w:val="left"/>
            </w:pPr>
            <w:r>
              <w:t xml:space="preserve">%</w:t>
            </w:r>
          </w:p>
        </w:tc>
        <w:tc>
          <w:tcPr/>
          <w:p>
            <w:pPr>
              <w:pStyle w:val="Compact"/>
              <w:jc w:val="left"/>
            </w:pPr>
            <w:r>
              <w:t xml:space="preserve">CycleEvent, DelayEvent</w:t>
            </w:r>
          </w:p>
        </w:tc>
        <w:tc>
          <w:tcPr/>
          <w:p>
            <w:pPr>
              <w:pStyle w:val="Compact"/>
              <w:jc w:val="left"/>
            </w:pPr>
            <w:r>
              <w:t xml:space="preserve">UTIL.PA</w:t>
            </w:r>
          </w:p>
        </w:tc>
        <w:tc>
          <w:tcPr/>
          <w:p>
            <w:pPr>
              <w:pStyle w:val="Compact"/>
              <w:jc w:val="left"/>
            </w:pPr>
            <w:r>
              <w:t xml:space="preserve">—</w:t>
            </w:r>
          </w:p>
        </w:tc>
      </w:tr>
      <w:tr>
        <w:tc>
          <w:tcPr/>
          <w:p>
            <w:pPr>
              <w:pStyle w:val="Compact"/>
              <w:jc w:val="left"/>
            </w:pPr>
            <w:r>
              <w:rPr>
                <w:rStyle w:val="VerbatimChar"/>
              </w:rPr>
              <w:t xml:space="preserve">MAINT.ActiveRepairTime</w:t>
            </w:r>
          </w:p>
        </w:tc>
        <w:tc>
          <w:tcPr/>
          <w:p>
            <w:pPr>
              <w:pStyle w:val="Compact"/>
              <w:jc w:val="left"/>
            </w:pPr>
            <w:r>
              <w:t xml:space="preserve">Maintenance</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h</w:t>
            </w:r>
          </w:p>
        </w:tc>
        <w:tc>
          <w:tcPr/>
          <w:p>
            <w:pPr>
              <w:pStyle w:val="Compact"/>
              <w:jc w:val="left"/>
            </w:pPr>
            <w:r>
              <w:t xml:space="preserve">MaintenanceEvent</w:t>
            </w:r>
          </w:p>
        </w:tc>
        <w:tc>
          <w:tcPr/>
          <w:p>
            <w:pPr>
              <w:pStyle w:val="Compact"/>
              <w:jc w:val="left"/>
            </w:pPr>
            <w:r>
              <w:t xml:space="preserve">—</w:t>
            </w:r>
          </w:p>
        </w:tc>
        <w:tc>
          <w:tcPr/>
          <w:p>
            <w:pPr>
              <w:pStyle w:val="Compact"/>
              <w:jc w:val="left"/>
            </w:pPr>
            <w:r>
              <w:t xml:space="preserve">—</w:t>
            </w:r>
          </w:p>
        </w:tc>
      </w:tr>
      <w:tr>
        <w:tc>
          <w:tcPr/>
          <w:p>
            <w:pPr>
              <w:pStyle w:val="Compact"/>
              <w:jc w:val="left"/>
            </w:pPr>
            <w:r>
              <w:rPr>
                <w:rStyle w:val="VerbatimChar"/>
              </w:rPr>
              <w:t xml:space="preserve">MAINT.Ai</w:t>
            </w:r>
          </w:p>
        </w:tc>
        <w:tc>
          <w:tcPr/>
          <w:p>
            <w:pPr>
              <w:pStyle w:val="Compact"/>
              <w:jc w:val="left"/>
            </w:pPr>
            <w:r>
              <w:t xml:space="preserve">Availability</w:t>
            </w:r>
          </w:p>
        </w:tc>
        <w:tc>
          <w:tcPr/>
          <w:p>
            <w:pPr>
              <w:pStyle w:val="Compact"/>
              <w:jc w:val="left"/>
            </w:pPr>
            <w:r>
              <w:t xml:space="preserve">Active</w:t>
            </w:r>
          </w:p>
        </w:tc>
        <w:tc>
          <w:tcPr/>
          <w:p>
            <w:pPr>
              <w:pStyle w:val="Compact"/>
              <w:jc w:val="left"/>
            </w:pPr>
            <w:r>
              <w:t xml:space="preserve">1.0.0</w:t>
            </w:r>
          </w:p>
        </w:tc>
        <w:tc>
          <w:tcPr/>
          <w:p>
            <w:pPr>
              <w:pStyle w:val="Compact"/>
              <w:jc w:val="left"/>
            </w:pPr>
            <w:r>
              <w:t xml:space="preserve">%</w:t>
            </w:r>
          </w:p>
        </w:tc>
        <w:tc>
          <w:tcPr/>
          <w:p>
            <w:pPr>
              <w:pStyle w:val="Compact"/>
              <w:jc w:val="left"/>
            </w:pPr>
            <w:r>
              <w:t xml:space="preserve">—</w:t>
            </w:r>
          </w:p>
        </w:tc>
        <w:tc>
          <w:tcPr/>
          <w:p>
            <w:pPr>
              <w:pStyle w:val="Compact"/>
              <w:jc w:val="left"/>
            </w:pPr>
            <w:r>
              <w:t xml:space="preserve">MAINT.MTBF, MAINT.MTTR</w:t>
            </w:r>
          </w:p>
        </w:tc>
        <w:tc>
          <w:tcPr/>
          <w:p>
            <w:pPr>
              <w:pStyle w:val="Compact"/>
              <w:jc w:val="left"/>
            </w:pPr>
            <w:r>
              <w:t xml:space="preserve">—</w:t>
            </w:r>
          </w:p>
        </w:tc>
      </w:tr>
      <w:tr>
        <w:tc>
          <w:tcPr/>
          <w:p>
            <w:pPr>
              <w:pStyle w:val="Compact"/>
              <w:jc w:val="left"/>
            </w:pPr>
            <w:r>
              <w:rPr>
                <w:rStyle w:val="VerbatimChar"/>
              </w:rPr>
              <w:t xml:space="preserve">MAINT.BacklogHours</w:t>
            </w:r>
          </w:p>
        </w:tc>
        <w:tc>
          <w:tcPr/>
          <w:p>
            <w:pPr>
              <w:pStyle w:val="Compact"/>
              <w:jc w:val="left"/>
            </w:pPr>
            <w:r>
              <w:t xml:space="preserve">Maintenance</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h</w:t>
            </w:r>
          </w:p>
        </w:tc>
        <w:tc>
          <w:tcPr/>
          <w:p>
            <w:pPr>
              <w:pStyle w:val="Compact"/>
              <w:jc w:val="left"/>
            </w:pPr>
            <w:r>
              <w:t xml:space="preserve">MaintenanceEvent</w:t>
            </w:r>
          </w:p>
        </w:tc>
        <w:tc>
          <w:tcPr/>
          <w:p>
            <w:pPr>
              <w:pStyle w:val="Compact"/>
              <w:jc w:val="left"/>
            </w:pPr>
            <w:r>
              <w:t xml:space="preserve">—</w:t>
            </w:r>
          </w:p>
        </w:tc>
        <w:tc>
          <w:tcPr/>
          <w:p>
            <w:pPr>
              <w:pStyle w:val="Compact"/>
              <w:jc w:val="left"/>
            </w:pPr>
            <w:r>
              <w:t xml:space="preserve">—</w:t>
            </w:r>
          </w:p>
        </w:tc>
      </w:tr>
      <w:tr>
        <w:tc>
          <w:tcPr/>
          <w:p>
            <w:pPr>
              <w:pStyle w:val="Compact"/>
              <w:jc w:val="left"/>
            </w:pPr>
            <w:r>
              <w:rPr>
                <w:rStyle w:val="VerbatimChar"/>
              </w:rPr>
              <w:t xml:space="preserve">MAINT.FailureRate</w:t>
            </w:r>
          </w:p>
        </w:tc>
        <w:tc>
          <w:tcPr/>
          <w:p>
            <w:pPr>
              <w:pStyle w:val="Compact"/>
              <w:jc w:val="left"/>
            </w:pPr>
            <w:r>
              <w:t xml:space="preserve">Reliability</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1/h</w:t>
            </w:r>
          </w:p>
        </w:tc>
        <w:tc>
          <w:tcPr/>
          <w:p>
            <w:pPr>
              <w:pStyle w:val="Compact"/>
              <w:jc w:val="left"/>
            </w:pPr>
            <w:r>
              <w:t xml:space="preserve">MaintenanceEvent</w:t>
            </w:r>
          </w:p>
        </w:tc>
        <w:tc>
          <w:tcPr/>
          <w:p>
            <w:pPr>
              <w:pStyle w:val="Compact"/>
              <w:jc w:val="left"/>
            </w:pPr>
            <w:r>
              <w:t xml:space="preserve">MAINT.MTBF</w:t>
            </w:r>
          </w:p>
        </w:tc>
        <w:tc>
          <w:tcPr/>
          <w:p>
            <w:pPr>
              <w:pStyle w:val="Compact"/>
              <w:jc w:val="left"/>
            </w:pPr>
            <w:r>
              <w:t xml:space="preserve">—</w:t>
            </w:r>
          </w:p>
        </w:tc>
      </w:tr>
      <w:tr>
        <w:tc>
          <w:tcPr/>
          <w:p>
            <w:pPr>
              <w:pStyle w:val="Compact"/>
              <w:jc w:val="left"/>
            </w:pPr>
            <w:r>
              <w:rPr>
                <w:rStyle w:val="VerbatimChar"/>
              </w:rPr>
              <w:t xml:space="preserve">MAINT.MTBF</w:t>
            </w:r>
          </w:p>
        </w:tc>
        <w:tc>
          <w:tcPr/>
          <w:p>
            <w:pPr>
              <w:pStyle w:val="Compact"/>
              <w:jc w:val="left"/>
            </w:pPr>
            <w:r>
              <w:t xml:space="preserve">Reliability</w:t>
            </w:r>
          </w:p>
        </w:tc>
        <w:tc>
          <w:tcPr/>
          <w:p>
            <w:pPr>
              <w:pStyle w:val="Compact"/>
              <w:jc w:val="left"/>
            </w:pPr>
            <w:r>
              <w:t xml:space="preserve">Active</w:t>
            </w:r>
          </w:p>
        </w:tc>
        <w:tc>
          <w:tcPr/>
          <w:p>
            <w:pPr>
              <w:pStyle w:val="Compact"/>
              <w:jc w:val="left"/>
            </w:pPr>
            <w:r>
              <w:t xml:space="preserve">1.0.0</w:t>
            </w:r>
          </w:p>
        </w:tc>
        <w:tc>
          <w:tcPr/>
          <w:p>
            <w:pPr>
              <w:pStyle w:val="Compact"/>
              <w:jc w:val="left"/>
            </w:pPr>
            <w:r>
              <w:t xml:space="preserve">h</w:t>
            </w:r>
          </w:p>
        </w:tc>
        <w:tc>
          <w:tcPr/>
          <w:p>
            <w:pPr>
              <w:pStyle w:val="Compact"/>
              <w:jc w:val="left"/>
            </w:pPr>
            <w:r>
              <w:t xml:space="preserve">MaintenanceEvent</w:t>
            </w:r>
          </w:p>
        </w:tc>
        <w:tc>
          <w:tcPr/>
          <w:p>
            <w:pPr>
              <w:pStyle w:val="Compact"/>
              <w:jc w:val="left"/>
            </w:pPr>
            <w:r>
              <w:t xml:space="preserve">—</w:t>
            </w:r>
          </w:p>
        </w:tc>
        <w:tc>
          <w:tcPr/>
          <w:p>
            <w:pPr>
              <w:pStyle w:val="Compact"/>
              <w:jc w:val="left"/>
            </w:pPr>
            <w:r>
              <w:t xml:space="preserve">—</w:t>
            </w:r>
          </w:p>
        </w:tc>
      </w:tr>
      <w:tr>
        <w:tc>
          <w:tcPr/>
          <w:p>
            <w:pPr>
              <w:pStyle w:val="Compact"/>
              <w:jc w:val="left"/>
            </w:pPr>
            <w:r>
              <w:rPr>
                <w:rStyle w:val="VerbatimChar"/>
              </w:rPr>
              <w:t xml:space="preserve">MAINT.MTBS</w:t>
            </w:r>
          </w:p>
        </w:tc>
        <w:tc>
          <w:tcPr/>
          <w:p>
            <w:pPr>
              <w:pStyle w:val="Compact"/>
              <w:jc w:val="left"/>
            </w:pPr>
            <w:r>
              <w:t xml:space="preserve">Reliability</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h</w:t>
            </w:r>
          </w:p>
        </w:tc>
        <w:tc>
          <w:tcPr/>
          <w:p>
            <w:pPr>
              <w:pStyle w:val="Compact"/>
              <w:jc w:val="left"/>
            </w:pPr>
            <w:r>
              <w:t xml:space="preserve">MaintenanceEvent</w:t>
            </w:r>
          </w:p>
        </w:tc>
        <w:tc>
          <w:tcPr/>
          <w:p>
            <w:pPr>
              <w:pStyle w:val="Compact"/>
              <w:jc w:val="left"/>
            </w:pPr>
            <w:r>
              <w:t xml:space="preserve">—</w:t>
            </w:r>
          </w:p>
        </w:tc>
        <w:tc>
          <w:tcPr/>
          <w:p>
            <w:pPr>
              <w:pStyle w:val="Compact"/>
              <w:jc w:val="left"/>
            </w:pPr>
            <w:r>
              <w:t xml:space="preserve">—</w:t>
            </w:r>
          </w:p>
        </w:tc>
      </w:tr>
      <w:tr>
        <w:tc>
          <w:tcPr/>
          <w:p>
            <w:pPr>
              <w:pStyle w:val="Compact"/>
              <w:jc w:val="left"/>
            </w:pPr>
            <w:r>
              <w:rPr>
                <w:rStyle w:val="VerbatimChar"/>
              </w:rPr>
              <w:t xml:space="preserve">MAINT.MTTR</w:t>
            </w:r>
          </w:p>
        </w:tc>
        <w:tc>
          <w:tcPr/>
          <w:p>
            <w:pPr>
              <w:pStyle w:val="Compact"/>
              <w:jc w:val="left"/>
            </w:pPr>
            <w:r>
              <w:t xml:space="preserve">Maintenance</w:t>
            </w:r>
          </w:p>
        </w:tc>
        <w:tc>
          <w:tcPr/>
          <w:p>
            <w:pPr>
              <w:pStyle w:val="Compact"/>
              <w:jc w:val="left"/>
            </w:pPr>
            <w:r>
              <w:t xml:space="preserve">Active</w:t>
            </w:r>
          </w:p>
        </w:tc>
        <w:tc>
          <w:tcPr/>
          <w:p>
            <w:pPr>
              <w:pStyle w:val="Compact"/>
              <w:jc w:val="left"/>
            </w:pPr>
            <w:r>
              <w:t xml:space="preserve">1.0.0</w:t>
            </w:r>
          </w:p>
        </w:tc>
        <w:tc>
          <w:tcPr/>
          <w:p>
            <w:pPr>
              <w:pStyle w:val="Compact"/>
              <w:jc w:val="left"/>
            </w:pPr>
            <w:r>
              <w:t xml:space="preserve">h</w:t>
            </w:r>
          </w:p>
        </w:tc>
        <w:tc>
          <w:tcPr/>
          <w:p>
            <w:pPr>
              <w:pStyle w:val="Compact"/>
              <w:jc w:val="left"/>
            </w:pPr>
            <w:r>
              <w:t xml:space="preserve">MaintenanceEvent</w:t>
            </w:r>
          </w:p>
        </w:tc>
        <w:tc>
          <w:tcPr/>
          <w:p>
            <w:pPr>
              <w:pStyle w:val="Compact"/>
              <w:jc w:val="left"/>
            </w:pPr>
            <w:r>
              <w:t xml:space="preserve">—</w:t>
            </w:r>
          </w:p>
        </w:tc>
        <w:tc>
          <w:tcPr/>
          <w:p>
            <w:pPr>
              <w:pStyle w:val="Compact"/>
              <w:jc w:val="left"/>
            </w:pPr>
            <w:r>
              <w:t xml:space="preserve">—</w:t>
            </w:r>
          </w:p>
        </w:tc>
      </w:tr>
      <w:tr>
        <w:tc>
          <w:tcPr/>
          <w:p>
            <w:pPr>
              <w:pStyle w:val="Compact"/>
              <w:jc w:val="left"/>
            </w:pPr>
            <w:r>
              <w:rPr>
                <w:rStyle w:val="VerbatimChar"/>
              </w:rPr>
              <w:t xml:space="preserve">MAINT.PMCompliance</w:t>
            </w:r>
          </w:p>
        </w:tc>
        <w:tc>
          <w:tcPr/>
          <w:p>
            <w:pPr>
              <w:pStyle w:val="Compact"/>
              <w:jc w:val="left"/>
            </w:pPr>
            <w:r>
              <w:t xml:space="preserve">Maintenance</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w:t>
            </w:r>
          </w:p>
        </w:tc>
        <w:tc>
          <w:tcPr/>
          <w:p>
            <w:pPr>
              <w:pStyle w:val="Compact"/>
              <w:jc w:val="left"/>
            </w:pPr>
            <w:r>
              <w:t xml:space="preserve">MaintenanceEvent</w:t>
            </w:r>
          </w:p>
        </w:tc>
        <w:tc>
          <w:tcPr/>
          <w:p>
            <w:pPr>
              <w:pStyle w:val="Compact"/>
              <w:jc w:val="left"/>
            </w:pPr>
            <w:r>
              <w:t xml:space="preserve">—</w:t>
            </w:r>
          </w:p>
        </w:tc>
        <w:tc>
          <w:tcPr/>
          <w:p>
            <w:pPr>
              <w:pStyle w:val="Compact"/>
              <w:jc w:val="left"/>
            </w:pPr>
            <w:r>
              <w:t xml:space="preserve">—</w:t>
            </w:r>
          </w:p>
        </w:tc>
      </w:tr>
      <w:tr>
        <w:tc>
          <w:tcPr/>
          <w:p>
            <w:pPr>
              <w:pStyle w:val="Compact"/>
              <w:jc w:val="left"/>
            </w:pPr>
            <w:r>
              <w:rPr>
                <w:rStyle w:val="VerbatimChar"/>
              </w:rPr>
              <w:t xml:space="preserve">DELAY.CategoryShare</w:t>
            </w:r>
          </w:p>
        </w:tc>
        <w:tc>
          <w:tcPr/>
          <w:p>
            <w:pPr>
              <w:pStyle w:val="Compact"/>
              <w:jc w:val="left"/>
            </w:pPr>
            <w:r>
              <w:t xml:space="preserve">Delay</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w:t>
            </w:r>
          </w:p>
        </w:tc>
        <w:tc>
          <w:tcPr/>
          <w:p>
            <w:pPr>
              <w:pStyle w:val="Compact"/>
              <w:jc w:val="left"/>
            </w:pPr>
            <w:r>
              <w:t xml:space="preserve">DelayEvent</w:t>
            </w:r>
          </w:p>
        </w:tc>
        <w:tc>
          <w:tcPr/>
          <w:p>
            <w:pPr>
              <w:pStyle w:val="Compact"/>
              <w:jc w:val="left"/>
            </w:pPr>
            <w:r>
              <w:t xml:space="preserve">DELAY.Hours</w:t>
            </w:r>
          </w:p>
        </w:tc>
        <w:tc>
          <w:tcPr/>
          <w:p>
            <w:pPr>
              <w:pStyle w:val="Compact"/>
              <w:jc w:val="left"/>
            </w:pPr>
            <w:r>
              <w:t xml:space="preserve">—</w:t>
            </w:r>
          </w:p>
        </w:tc>
      </w:tr>
      <w:tr>
        <w:tc>
          <w:tcPr/>
          <w:p>
            <w:pPr>
              <w:pStyle w:val="Compact"/>
              <w:jc w:val="left"/>
            </w:pPr>
            <w:r>
              <w:rPr>
                <w:rStyle w:val="VerbatimChar"/>
              </w:rPr>
              <w:t xml:space="preserve">DELAY.Hours</w:t>
            </w:r>
          </w:p>
        </w:tc>
        <w:tc>
          <w:tcPr/>
          <w:p>
            <w:pPr>
              <w:pStyle w:val="Compact"/>
              <w:jc w:val="left"/>
            </w:pPr>
            <w:r>
              <w:t xml:space="preserve">Delay</w:t>
            </w:r>
          </w:p>
        </w:tc>
        <w:tc>
          <w:tcPr/>
          <w:p>
            <w:pPr>
              <w:pStyle w:val="Compact"/>
              <w:jc w:val="left"/>
            </w:pPr>
            <w:r>
              <w:t xml:space="preserve">Active</w:t>
            </w:r>
          </w:p>
        </w:tc>
        <w:tc>
          <w:tcPr/>
          <w:p>
            <w:pPr>
              <w:pStyle w:val="Compact"/>
              <w:jc w:val="left"/>
            </w:pPr>
            <w:r>
              <w:t xml:space="preserve">1.0.0</w:t>
            </w:r>
          </w:p>
        </w:tc>
        <w:tc>
          <w:tcPr/>
          <w:p>
            <w:pPr>
              <w:pStyle w:val="Compact"/>
              <w:jc w:val="left"/>
            </w:pPr>
            <w:r>
              <w:t xml:space="preserve">h</w:t>
            </w:r>
          </w:p>
        </w:tc>
        <w:tc>
          <w:tcPr/>
          <w:p>
            <w:pPr>
              <w:pStyle w:val="Compact"/>
              <w:jc w:val="left"/>
            </w:pPr>
            <w:r>
              <w:t xml:space="preserve">DelayEvent</w:t>
            </w:r>
          </w:p>
        </w:tc>
        <w:tc>
          <w:tcPr/>
          <w:p>
            <w:pPr>
              <w:pStyle w:val="Compact"/>
              <w:jc w:val="left"/>
            </w:pPr>
            <w:r>
              <w:t xml:space="preserve">—</w:t>
            </w:r>
          </w:p>
        </w:tc>
        <w:tc>
          <w:tcPr/>
          <w:p>
            <w:pPr>
              <w:pStyle w:val="Compact"/>
              <w:jc w:val="left"/>
            </w:pPr>
            <w:r>
              <w:t xml:space="preserve">—</w:t>
            </w:r>
          </w:p>
        </w:tc>
      </w:tr>
      <w:tr>
        <w:tc>
          <w:tcPr/>
          <w:p>
            <w:pPr>
              <w:pStyle w:val="Compact"/>
              <w:jc w:val="left"/>
            </w:pPr>
            <w:r>
              <w:rPr>
                <w:rStyle w:val="VerbatimChar"/>
              </w:rPr>
              <w:t xml:space="preserve">DELAY.MTTRestart</w:t>
            </w:r>
          </w:p>
        </w:tc>
        <w:tc>
          <w:tcPr/>
          <w:p>
            <w:pPr>
              <w:pStyle w:val="Compact"/>
              <w:jc w:val="left"/>
            </w:pPr>
            <w:r>
              <w:t xml:space="preserve">Delay</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min</w:t>
            </w:r>
          </w:p>
        </w:tc>
        <w:tc>
          <w:tcPr/>
          <w:p>
            <w:pPr>
              <w:pStyle w:val="Compact"/>
              <w:jc w:val="left"/>
            </w:pPr>
            <w:r>
              <w:t xml:space="preserve">DelayEvent</w:t>
            </w:r>
          </w:p>
        </w:tc>
        <w:tc>
          <w:tcPr/>
          <w:p>
            <w:pPr>
              <w:pStyle w:val="Compact"/>
              <w:jc w:val="left"/>
            </w:pPr>
            <w:r>
              <w:t xml:space="preserve">—</w:t>
            </w:r>
          </w:p>
        </w:tc>
        <w:tc>
          <w:tcPr/>
          <w:p>
            <w:pPr>
              <w:pStyle w:val="Compact"/>
              <w:jc w:val="left"/>
            </w:pPr>
            <w:r>
              <w:t xml:space="preserve">—</w:t>
            </w:r>
          </w:p>
        </w:tc>
      </w:tr>
      <w:tr>
        <w:tc>
          <w:tcPr/>
          <w:p>
            <w:pPr>
              <w:pStyle w:val="Compact"/>
              <w:jc w:val="left"/>
            </w:pPr>
            <w:r>
              <w:rPr>
                <w:rStyle w:val="VerbatimChar"/>
              </w:rPr>
              <w:t xml:space="preserve">DISP.AssignmentEfficiency</w:t>
            </w:r>
          </w:p>
        </w:tc>
        <w:tc>
          <w:tcPr/>
          <w:p>
            <w:pPr>
              <w:pStyle w:val="Compact"/>
              <w:jc w:val="left"/>
            </w:pPr>
            <w:r>
              <w:t xml:space="preserve">Dispatch</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w:t>
            </w:r>
          </w:p>
        </w:tc>
        <w:tc>
          <w:tcPr/>
          <w:p>
            <w:pPr>
              <w:pStyle w:val="Compact"/>
              <w:jc w:val="left"/>
            </w:pPr>
            <w:r>
              <w:t xml:space="preserve">CycleEvent</w:t>
            </w:r>
          </w:p>
        </w:tc>
        <w:tc>
          <w:tcPr/>
          <w:p>
            <w:pPr>
              <w:pStyle w:val="Compact"/>
              <w:jc w:val="left"/>
            </w:pPr>
            <w:r>
              <w:t xml:space="preserve">HAUL.MatchFactor</w:t>
            </w:r>
          </w:p>
        </w:tc>
        <w:tc>
          <w:tcPr/>
          <w:p>
            <w:pPr>
              <w:pStyle w:val="Compact"/>
              <w:jc w:val="left"/>
            </w:pPr>
            <w:r>
              <w:t xml:space="preserve">—</w:t>
            </w:r>
          </w:p>
        </w:tc>
      </w:tr>
      <w:tr>
        <w:tc>
          <w:tcPr/>
          <w:p>
            <w:pPr>
              <w:pStyle w:val="Compact"/>
              <w:jc w:val="left"/>
            </w:pPr>
            <w:r>
              <w:rPr>
                <w:rStyle w:val="VerbatimChar"/>
              </w:rPr>
              <w:t xml:space="preserve">DISP.HangTime</w:t>
            </w:r>
          </w:p>
        </w:tc>
        <w:tc>
          <w:tcPr/>
          <w:p>
            <w:pPr>
              <w:pStyle w:val="Compact"/>
              <w:jc w:val="left"/>
            </w:pPr>
            <w:r>
              <w:t xml:space="preserve">Dispatch</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min</w:t>
            </w:r>
          </w:p>
        </w:tc>
        <w:tc>
          <w:tcPr/>
          <w:p>
            <w:pPr>
              <w:pStyle w:val="Compact"/>
              <w:jc w:val="left"/>
            </w:pPr>
            <w:r>
              <w:t xml:space="preserve">CycleEvent</w:t>
            </w:r>
          </w:p>
        </w:tc>
        <w:tc>
          <w:tcPr/>
          <w:p>
            <w:pPr>
              <w:pStyle w:val="Compact"/>
              <w:jc w:val="left"/>
            </w:pPr>
            <w:r>
              <w:t xml:space="preserve">—</w:t>
            </w:r>
          </w:p>
        </w:tc>
        <w:tc>
          <w:tcPr/>
          <w:p>
            <w:pPr>
              <w:pStyle w:val="Compact"/>
              <w:jc w:val="left"/>
            </w:pPr>
            <w:r>
              <w:t xml:space="preserve">—</w:t>
            </w:r>
          </w:p>
        </w:tc>
      </w:tr>
      <w:tr>
        <w:tc>
          <w:tcPr/>
          <w:p>
            <w:pPr>
              <w:pStyle w:val="Compact"/>
              <w:jc w:val="left"/>
            </w:pPr>
            <w:r>
              <w:rPr>
                <w:rStyle w:val="VerbatimChar"/>
              </w:rPr>
              <w:t xml:space="preserve">DISP.LostTonnes</w:t>
            </w:r>
          </w:p>
        </w:tc>
        <w:tc>
          <w:tcPr/>
          <w:p>
            <w:pPr>
              <w:pStyle w:val="Compact"/>
              <w:jc w:val="left"/>
            </w:pPr>
            <w:r>
              <w:t xml:space="preserve">Dispatch</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t</w:t>
            </w:r>
          </w:p>
        </w:tc>
        <w:tc>
          <w:tcPr/>
          <w:p>
            <w:pPr>
              <w:pStyle w:val="Compact"/>
              <w:jc w:val="left"/>
            </w:pPr>
            <w:r>
              <w:t xml:space="preserve">CycleEvent, DelayEvent</w:t>
            </w:r>
          </w:p>
        </w:tc>
        <w:tc>
          <w:tcPr/>
          <w:p>
            <w:pPr>
              <w:pStyle w:val="Compact"/>
              <w:jc w:val="left"/>
            </w:pPr>
            <w:r>
              <w:t xml:space="preserve">DELAY.Hours</w:t>
            </w:r>
          </w:p>
        </w:tc>
        <w:tc>
          <w:tcPr/>
          <w:p>
            <w:pPr>
              <w:pStyle w:val="Compact"/>
              <w:jc w:val="left"/>
            </w:pPr>
            <w:r>
              <w:t xml:space="preserve">—</w:t>
            </w:r>
          </w:p>
        </w:tc>
      </w:tr>
      <w:tr>
        <w:tc>
          <w:tcPr/>
          <w:p>
            <w:pPr>
              <w:pStyle w:val="Compact"/>
              <w:jc w:val="left"/>
            </w:pPr>
            <w:r>
              <w:rPr>
                <w:rStyle w:val="VerbatimChar"/>
              </w:rPr>
              <w:t xml:space="preserve">DISP.QueueTime</w:t>
            </w:r>
          </w:p>
        </w:tc>
        <w:tc>
          <w:tcPr/>
          <w:p>
            <w:pPr>
              <w:pStyle w:val="Compact"/>
              <w:jc w:val="left"/>
            </w:pPr>
            <w:r>
              <w:t xml:space="preserve">Dispatch</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min</w:t>
            </w:r>
          </w:p>
        </w:tc>
        <w:tc>
          <w:tcPr/>
          <w:p>
            <w:pPr>
              <w:pStyle w:val="Compact"/>
              <w:jc w:val="left"/>
            </w:pPr>
            <w:r>
              <w:t xml:space="preserve">CycleEvent, DelayEvent</w:t>
            </w:r>
          </w:p>
        </w:tc>
        <w:tc>
          <w:tcPr/>
          <w:p>
            <w:pPr>
              <w:pStyle w:val="Compact"/>
              <w:jc w:val="left"/>
            </w:pPr>
            <w:r>
              <w:t xml:space="preserve">—</w:t>
            </w:r>
          </w:p>
        </w:tc>
        <w:tc>
          <w:tcPr/>
          <w:p>
            <w:pPr>
              <w:pStyle w:val="Compact"/>
              <w:jc w:val="left"/>
            </w:pPr>
            <w:r>
              <w:t xml:space="preserve">—</w:t>
            </w:r>
          </w:p>
        </w:tc>
      </w:tr>
      <w:tr>
        <w:tc>
          <w:tcPr/>
          <w:p>
            <w:pPr>
              <w:pStyle w:val="Compact"/>
              <w:jc w:val="left"/>
            </w:pPr>
            <w:r>
              <w:rPr>
                <w:rStyle w:val="VerbatimChar"/>
              </w:rPr>
              <w:t xml:space="preserve">ENERGY.EnergyIntensity</w:t>
            </w:r>
          </w:p>
        </w:tc>
        <w:tc>
          <w:tcPr/>
          <w:p>
            <w:pPr>
              <w:pStyle w:val="Compact"/>
              <w:jc w:val="left"/>
            </w:pPr>
            <w:r>
              <w:t xml:space="preserve">Fuel &amp; Energy</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MJ/t</w:t>
            </w:r>
          </w:p>
        </w:tc>
        <w:tc>
          <w:tcPr/>
          <w:p>
            <w:pPr>
              <w:pStyle w:val="Compact"/>
              <w:jc w:val="left"/>
            </w:pPr>
            <w:r>
              <w:t xml:space="preserve">ConsumptionEvent</w:t>
            </w:r>
          </w:p>
        </w:tc>
        <w:tc>
          <w:tcPr/>
          <w:p>
            <w:pPr>
              <w:pStyle w:val="Compact"/>
              <w:jc w:val="left"/>
            </w:pPr>
            <w:r>
              <w:t xml:space="preserve">—</w:t>
            </w:r>
          </w:p>
        </w:tc>
        <w:tc>
          <w:tcPr/>
          <w:p>
            <w:pPr>
              <w:pStyle w:val="Compact"/>
              <w:jc w:val="left"/>
            </w:pPr>
            <w:r>
              <w:t xml:space="preserve">—</w:t>
            </w:r>
          </w:p>
        </w:tc>
      </w:tr>
      <w:tr>
        <w:tc>
          <w:tcPr/>
          <w:p>
            <w:pPr>
              <w:pStyle w:val="Compact"/>
              <w:jc w:val="left"/>
            </w:pPr>
            <w:r>
              <w:rPr>
                <w:rStyle w:val="VerbatimChar"/>
              </w:rPr>
              <w:t xml:space="preserve">ENERGY.FuelPerTonKm</w:t>
            </w:r>
          </w:p>
        </w:tc>
        <w:tc>
          <w:tcPr/>
          <w:p>
            <w:pPr>
              <w:pStyle w:val="Compact"/>
              <w:jc w:val="left"/>
            </w:pPr>
            <w:r>
              <w:t xml:space="preserve">Fuel &amp; Energy</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L/t·km</w:t>
            </w:r>
          </w:p>
        </w:tc>
        <w:tc>
          <w:tcPr/>
          <w:p>
            <w:pPr>
              <w:pStyle w:val="Compact"/>
              <w:jc w:val="left"/>
            </w:pPr>
            <w:r>
              <w:t xml:space="preserve">ConsumptionEvent, CycleEvent</w:t>
            </w:r>
          </w:p>
        </w:tc>
        <w:tc>
          <w:tcPr/>
          <w:p>
            <w:pPr>
              <w:pStyle w:val="Compact"/>
              <w:jc w:val="left"/>
            </w:pPr>
            <w:r>
              <w:t xml:space="preserve">HAUL.TonKm</w:t>
            </w:r>
          </w:p>
        </w:tc>
        <w:tc>
          <w:tcPr/>
          <w:p>
            <w:pPr>
              <w:pStyle w:val="Compact"/>
              <w:jc w:val="left"/>
            </w:pPr>
            <w:r>
              <w:t xml:space="preserve">—</w:t>
            </w:r>
          </w:p>
        </w:tc>
      </w:tr>
      <w:tr>
        <w:tc>
          <w:tcPr/>
          <w:p>
            <w:pPr>
              <w:pStyle w:val="Compact"/>
              <w:jc w:val="left"/>
            </w:pPr>
            <w:r>
              <w:rPr>
                <w:rStyle w:val="VerbatimChar"/>
              </w:rPr>
              <w:t xml:space="preserve">ENERGY.FuelPerTonne</w:t>
            </w:r>
          </w:p>
        </w:tc>
        <w:tc>
          <w:tcPr/>
          <w:p>
            <w:pPr>
              <w:pStyle w:val="Compact"/>
              <w:jc w:val="left"/>
            </w:pPr>
            <w:r>
              <w:t xml:space="preserve">Fuel &amp; Energy</w:t>
            </w:r>
          </w:p>
        </w:tc>
        <w:tc>
          <w:tcPr/>
          <w:p>
            <w:pPr>
              <w:pStyle w:val="Compact"/>
              <w:jc w:val="left"/>
            </w:pPr>
            <w:r>
              <w:t xml:space="preserve">Active</w:t>
            </w:r>
          </w:p>
        </w:tc>
        <w:tc>
          <w:tcPr/>
          <w:p>
            <w:pPr>
              <w:pStyle w:val="Compact"/>
              <w:jc w:val="left"/>
            </w:pPr>
            <w:r>
              <w:t xml:space="preserve">1.0.0</w:t>
            </w:r>
          </w:p>
        </w:tc>
        <w:tc>
          <w:tcPr/>
          <w:p>
            <w:pPr>
              <w:pStyle w:val="Compact"/>
              <w:jc w:val="left"/>
            </w:pPr>
            <w:r>
              <w:t xml:space="preserve">L/t</w:t>
            </w:r>
          </w:p>
        </w:tc>
        <w:tc>
          <w:tcPr/>
          <w:p>
            <w:pPr>
              <w:pStyle w:val="Compact"/>
              <w:jc w:val="left"/>
            </w:pPr>
            <w:r>
              <w:t xml:space="preserve">ConsumptionEvent, CycleEvent</w:t>
            </w:r>
          </w:p>
        </w:tc>
        <w:tc>
          <w:tcPr/>
          <w:p>
            <w:pPr>
              <w:pStyle w:val="Compact"/>
              <w:jc w:val="left"/>
            </w:pPr>
            <w:r>
              <w:t xml:space="preserve">PROD.Payload</w:t>
            </w:r>
          </w:p>
        </w:tc>
        <w:tc>
          <w:tcPr/>
          <w:p>
            <w:pPr>
              <w:pStyle w:val="Compact"/>
              <w:jc w:val="left"/>
            </w:pPr>
            <w:r>
              <w:t xml:space="preserve">dep. ENERGY.FuelPerTon</w:t>
            </w:r>
          </w:p>
        </w:tc>
      </w:tr>
      <w:tr>
        <w:tc>
          <w:tcPr/>
          <w:p>
            <w:pPr>
              <w:pStyle w:val="Compact"/>
              <w:jc w:val="left"/>
            </w:pPr>
            <w:r>
              <w:rPr>
                <w:rStyle w:val="VerbatimChar"/>
              </w:rPr>
              <w:t xml:space="preserve">ENERGY.IdleFuelRatio</w:t>
            </w:r>
          </w:p>
        </w:tc>
        <w:tc>
          <w:tcPr/>
          <w:p>
            <w:pPr>
              <w:pStyle w:val="Compact"/>
              <w:jc w:val="left"/>
            </w:pPr>
            <w:r>
              <w:t xml:space="preserve">Fuel &amp; Energy</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w:t>
            </w:r>
          </w:p>
        </w:tc>
        <w:tc>
          <w:tcPr/>
          <w:p>
            <w:pPr>
              <w:pStyle w:val="Compact"/>
              <w:jc w:val="left"/>
            </w:pPr>
            <w:r>
              <w:t xml:space="preserve">ConsumptionEvent, DelayEvent</w:t>
            </w:r>
          </w:p>
        </w:tc>
        <w:tc>
          <w:tcPr/>
          <w:p>
            <w:pPr>
              <w:pStyle w:val="Compact"/>
              <w:jc w:val="left"/>
            </w:pPr>
            <w:r>
              <w:t xml:space="preserve">—</w:t>
            </w:r>
          </w:p>
        </w:tc>
        <w:tc>
          <w:tcPr/>
          <w:p>
            <w:pPr>
              <w:pStyle w:val="Compact"/>
              <w:jc w:val="left"/>
            </w:pPr>
            <w:r>
              <w:t xml:space="preserve">—</w:t>
            </w:r>
          </w:p>
        </w:tc>
      </w:tr>
      <w:tr>
        <w:tc>
          <w:tcPr/>
          <w:p>
            <w:pPr>
              <w:pStyle w:val="Compact"/>
              <w:jc w:val="left"/>
            </w:pPr>
            <w:r>
              <w:rPr>
                <w:rStyle w:val="VerbatimChar"/>
              </w:rPr>
              <w:t xml:space="preserve">CARBON.CO2PerTonne</w:t>
            </w:r>
          </w:p>
        </w:tc>
        <w:tc>
          <w:tcPr/>
          <w:p>
            <w:pPr>
              <w:pStyle w:val="Compact"/>
              <w:jc w:val="left"/>
            </w:pPr>
            <w:r>
              <w:t xml:space="preserve">Carbon</w:t>
            </w:r>
          </w:p>
        </w:tc>
        <w:tc>
          <w:tcPr/>
          <w:p>
            <w:pPr>
              <w:pStyle w:val="Compact"/>
              <w:jc w:val="left"/>
            </w:pPr>
            <w:r>
              <w:t xml:space="preserve">Active</w:t>
            </w:r>
          </w:p>
        </w:tc>
        <w:tc>
          <w:tcPr/>
          <w:p>
            <w:pPr>
              <w:pStyle w:val="Compact"/>
              <w:jc w:val="left"/>
            </w:pPr>
            <w:r>
              <w:t xml:space="preserve">1.0.0</w:t>
            </w:r>
          </w:p>
        </w:tc>
        <w:tc>
          <w:tcPr/>
          <w:p>
            <w:pPr>
              <w:pStyle w:val="Compact"/>
              <w:jc w:val="left"/>
            </w:pPr>
            <w:r>
              <w:t xml:space="preserve">kg CO₂e/t</w:t>
            </w:r>
          </w:p>
        </w:tc>
        <w:tc>
          <w:tcPr/>
          <w:p>
            <w:pPr>
              <w:pStyle w:val="Compact"/>
              <w:jc w:val="left"/>
            </w:pPr>
            <w:r>
              <w:t xml:space="preserve">ConsumptionEvent, CycleEvent</w:t>
            </w:r>
          </w:p>
        </w:tc>
        <w:tc>
          <w:tcPr/>
          <w:p>
            <w:pPr>
              <w:pStyle w:val="Compact"/>
              <w:jc w:val="left"/>
            </w:pPr>
            <w:r>
              <w:t xml:space="preserve">ENERGY.FuelPerTonne, EmissionFactor</w:t>
            </w:r>
          </w:p>
        </w:tc>
        <w:tc>
          <w:tcPr/>
          <w:p>
            <w:pPr>
              <w:pStyle w:val="Compact"/>
              <w:jc w:val="left"/>
            </w:pPr>
            <w:r>
              <w:t xml:space="preserve">dep. CARBON.CO2PerTon</w:t>
            </w:r>
          </w:p>
        </w:tc>
      </w:tr>
      <w:tr>
        <w:tc>
          <w:tcPr/>
          <w:p>
            <w:pPr>
              <w:pStyle w:val="Compact"/>
              <w:jc w:val="left"/>
            </w:pPr>
            <w:r>
              <w:rPr>
                <w:rStyle w:val="VerbatimChar"/>
              </w:rPr>
              <w:t xml:space="preserve">CARBON.IntensityTrend</w:t>
            </w:r>
          </w:p>
        </w:tc>
        <w:tc>
          <w:tcPr/>
          <w:p>
            <w:pPr>
              <w:pStyle w:val="Compact"/>
              <w:jc w:val="left"/>
            </w:pPr>
            <w:r>
              <w:t xml:space="preserve">Carbon</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kg CO₂e/t</w:t>
            </w:r>
          </w:p>
        </w:tc>
        <w:tc>
          <w:tcPr/>
          <w:p>
            <w:pPr>
              <w:pStyle w:val="Compact"/>
              <w:jc w:val="left"/>
            </w:pPr>
            <w:r>
              <w:t xml:space="preserve">ConsumptionEvent</w:t>
            </w:r>
          </w:p>
        </w:tc>
        <w:tc>
          <w:tcPr/>
          <w:p>
            <w:pPr>
              <w:pStyle w:val="Compact"/>
              <w:jc w:val="left"/>
            </w:pPr>
            <w:r>
              <w:t xml:space="preserve">CARBON.CO2PerTonne</w:t>
            </w:r>
          </w:p>
        </w:tc>
        <w:tc>
          <w:tcPr/>
          <w:p>
            <w:pPr>
              <w:pStyle w:val="Compact"/>
              <w:jc w:val="left"/>
            </w:pPr>
            <w:r>
              <w:t xml:space="preserve">—</w:t>
            </w:r>
          </w:p>
        </w:tc>
      </w:tr>
      <w:tr>
        <w:tc>
          <w:tcPr/>
          <w:p>
            <w:pPr>
              <w:pStyle w:val="Compact"/>
              <w:jc w:val="left"/>
            </w:pPr>
            <w:r>
              <w:rPr>
                <w:rStyle w:val="VerbatimChar"/>
              </w:rPr>
              <w:t xml:space="preserve">CARBON.Scope1Total</w:t>
            </w:r>
          </w:p>
        </w:tc>
        <w:tc>
          <w:tcPr/>
          <w:p>
            <w:pPr>
              <w:pStyle w:val="Compact"/>
              <w:jc w:val="left"/>
            </w:pPr>
            <w:r>
              <w:t xml:space="preserve">Carbon</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t CO₂e</w:t>
            </w:r>
          </w:p>
        </w:tc>
        <w:tc>
          <w:tcPr/>
          <w:p>
            <w:pPr>
              <w:pStyle w:val="Compact"/>
              <w:jc w:val="left"/>
            </w:pPr>
            <w:r>
              <w:t xml:space="preserve">ConsumptionEvent</w:t>
            </w:r>
          </w:p>
        </w:tc>
        <w:tc>
          <w:tcPr/>
          <w:p>
            <w:pPr>
              <w:pStyle w:val="Compact"/>
              <w:jc w:val="left"/>
            </w:pPr>
            <w:r>
              <w:t xml:space="preserve">CARBON.CO2PerTonne</w:t>
            </w:r>
          </w:p>
        </w:tc>
        <w:tc>
          <w:tcPr/>
          <w:p>
            <w:pPr>
              <w:pStyle w:val="Compact"/>
              <w:jc w:val="left"/>
            </w:pPr>
            <w:r>
              <w:t xml:space="preserve">—</w:t>
            </w:r>
          </w:p>
        </w:tc>
      </w:tr>
      <w:tr>
        <w:tc>
          <w:tcPr/>
          <w:p>
            <w:pPr>
              <w:pStyle w:val="Compact"/>
              <w:jc w:val="left"/>
            </w:pPr>
            <w:r>
              <w:rPr>
                <w:rStyle w:val="VerbatimChar"/>
              </w:rPr>
              <w:t xml:space="preserve">WATER.RecycleRatio</w:t>
            </w:r>
          </w:p>
        </w:tc>
        <w:tc>
          <w:tcPr/>
          <w:p>
            <w:pPr>
              <w:pStyle w:val="Compact"/>
              <w:jc w:val="left"/>
            </w:pPr>
            <w:r>
              <w:t xml:space="preserve">Water</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w:t>
            </w:r>
          </w:p>
        </w:tc>
        <w:tc>
          <w:tcPr/>
          <w:p>
            <w:pPr>
              <w:pStyle w:val="Compact"/>
              <w:jc w:val="left"/>
            </w:pPr>
            <w:r>
              <w:t xml:space="preserve">ConsumptionEvent</w:t>
            </w:r>
          </w:p>
        </w:tc>
        <w:tc>
          <w:tcPr/>
          <w:p>
            <w:pPr>
              <w:pStyle w:val="Compact"/>
              <w:jc w:val="left"/>
            </w:pPr>
            <w:r>
              <w:t xml:space="preserve">—</w:t>
            </w:r>
          </w:p>
        </w:tc>
        <w:tc>
          <w:tcPr/>
          <w:p>
            <w:pPr>
              <w:pStyle w:val="Compact"/>
              <w:jc w:val="left"/>
            </w:pPr>
            <w:r>
              <w:t xml:space="preserve">—</w:t>
            </w:r>
          </w:p>
        </w:tc>
      </w:tr>
      <w:tr>
        <w:tc>
          <w:tcPr/>
          <w:p>
            <w:pPr>
              <w:pStyle w:val="Compact"/>
              <w:jc w:val="left"/>
            </w:pPr>
            <w:r>
              <w:rPr>
                <w:rStyle w:val="VerbatimChar"/>
              </w:rPr>
              <w:t xml:space="preserve">WATER.WaterPerTonne</w:t>
            </w:r>
          </w:p>
        </w:tc>
        <w:tc>
          <w:tcPr/>
          <w:p>
            <w:pPr>
              <w:pStyle w:val="Compact"/>
              <w:jc w:val="left"/>
            </w:pPr>
            <w:r>
              <w:t xml:space="preserve">Water</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kL/t</w:t>
            </w:r>
          </w:p>
        </w:tc>
        <w:tc>
          <w:tcPr/>
          <w:p>
            <w:pPr>
              <w:pStyle w:val="Compact"/>
              <w:jc w:val="left"/>
            </w:pPr>
            <w:r>
              <w:t xml:space="preserve">ConsumptionEvent</w:t>
            </w:r>
          </w:p>
        </w:tc>
        <w:tc>
          <w:tcPr/>
          <w:p>
            <w:pPr>
              <w:pStyle w:val="Compact"/>
              <w:jc w:val="left"/>
            </w:pPr>
            <w:r>
              <w:t xml:space="preserve">—</w:t>
            </w:r>
          </w:p>
        </w:tc>
        <w:tc>
          <w:tcPr/>
          <w:p>
            <w:pPr>
              <w:pStyle w:val="Compact"/>
              <w:jc w:val="left"/>
            </w:pPr>
            <w:r>
              <w:t xml:space="preserve">—</w:t>
            </w:r>
          </w:p>
        </w:tc>
      </w:tr>
      <w:tr>
        <w:tc>
          <w:tcPr/>
          <w:p>
            <w:pPr>
              <w:pStyle w:val="Compact"/>
              <w:jc w:val="left"/>
            </w:pPr>
            <w:r>
              <w:rPr>
                <w:rStyle w:val="VerbatimChar"/>
              </w:rPr>
              <w:t xml:space="preserve">QUAL.Dilution</w:t>
            </w:r>
          </w:p>
        </w:tc>
        <w:tc>
          <w:tcPr/>
          <w:p>
            <w:pPr>
              <w:pStyle w:val="Compact"/>
              <w:jc w:val="left"/>
            </w:pPr>
            <w:r>
              <w:t xml:space="preserve">Quality</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w:t>
            </w:r>
          </w:p>
        </w:tc>
        <w:tc>
          <w:tcPr/>
          <w:p>
            <w:pPr>
              <w:pStyle w:val="Compact"/>
              <w:jc w:val="left"/>
            </w:pPr>
            <w:r>
              <w:t xml:space="preserve">ProductionEvent</w:t>
            </w:r>
          </w:p>
        </w:tc>
        <w:tc>
          <w:tcPr/>
          <w:p>
            <w:pPr>
              <w:pStyle w:val="Compact"/>
              <w:jc w:val="left"/>
            </w:pPr>
            <w:r>
              <w:t xml:space="preserve">—</w:t>
            </w:r>
          </w:p>
        </w:tc>
        <w:tc>
          <w:tcPr/>
          <w:p>
            <w:pPr>
              <w:pStyle w:val="Compact"/>
              <w:jc w:val="left"/>
            </w:pPr>
            <w:r>
              <w:t xml:space="preserve">—</w:t>
            </w:r>
          </w:p>
        </w:tc>
      </w:tr>
      <w:tr>
        <w:tc>
          <w:tcPr/>
          <w:p>
            <w:pPr>
              <w:pStyle w:val="Compact"/>
              <w:jc w:val="left"/>
            </w:pPr>
            <w:r>
              <w:rPr>
                <w:rStyle w:val="VerbatimChar"/>
              </w:rPr>
              <w:t xml:space="preserve">QUAL.GradeVariance</w:t>
            </w:r>
          </w:p>
        </w:tc>
        <w:tc>
          <w:tcPr/>
          <w:p>
            <w:pPr>
              <w:pStyle w:val="Compact"/>
              <w:jc w:val="left"/>
            </w:pPr>
            <w:r>
              <w:t xml:space="preserve">Quality</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(grade)²</w:t>
            </w:r>
          </w:p>
        </w:tc>
        <w:tc>
          <w:tcPr/>
          <w:p>
            <w:pPr>
              <w:pStyle w:val="Compact"/>
              <w:jc w:val="left"/>
            </w:pPr>
            <w:r>
              <w:t xml:space="preserve">ProductionEvent</w:t>
            </w:r>
          </w:p>
        </w:tc>
        <w:tc>
          <w:tcPr/>
          <w:p>
            <w:pPr>
              <w:pStyle w:val="Compact"/>
              <w:jc w:val="left"/>
            </w:pPr>
            <w:r>
              <w:t xml:space="preserve">—</w:t>
            </w:r>
          </w:p>
        </w:tc>
        <w:tc>
          <w:tcPr/>
          <w:p>
            <w:pPr>
              <w:pStyle w:val="Compact"/>
              <w:jc w:val="left"/>
            </w:pPr>
            <w:r>
              <w:t xml:space="preserve">—</w:t>
            </w:r>
          </w:p>
        </w:tc>
      </w:tr>
      <w:tr>
        <w:tc>
          <w:tcPr/>
          <w:p>
            <w:pPr>
              <w:pStyle w:val="Compact"/>
              <w:jc w:val="left"/>
            </w:pPr>
            <w:r>
              <w:rPr>
                <w:rStyle w:val="VerbatimChar"/>
              </w:rPr>
              <w:t xml:space="preserve">QUAL.Recovery</w:t>
            </w:r>
          </w:p>
        </w:tc>
        <w:tc>
          <w:tcPr/>
          <w:p>
            <w:pPr>
              <w:pStyle w:val="Compact"/>
              <w:jc w:val="left"/>
            </w:pPr>
            <w:r>
              <w:t xml:space="preserve">Quality</w:t>
            </w:r>
          </w:p>
        </w:tc>
        <w:tc>
          <w:tcPr/>
          <w:p>
            <w:pPr>
              <w:pStyle w:val="Compact"/>
              <w:jc w:val="left"/>
            </w:pPr>
            <w:r>
              <w:t xml:space="preserve">Active</w:t>
            </w:r>
          </w:p>
        </w:tc>
        <w:tc>
          <w:tcPr/>
          <w:p>
            <w:pPr>
              <w:pStyle w:val="Compact"/>
              <w:jc w:val="left"/>
            </w:pPr>
            <w:r>
              <w:t xml:space="preserve">1.0.0</w:t>
            </w:r>
          </w:p>
        </w:tc>
        <w:tc>
          <w:tcPr/>
          <w:p>
            <w:pPr>
              <w:pStyle w:val="Compact"/>
              <w:jc w:val="left"/>
            </w:pPr>
            <w:r>
              <w:t xml:space="preserve">%</w:t>
            </w:r>
          </w:p>
        </w:tc>
        <w:tc>
          <w:tcPr/>
          <w:p>
            <w:pPr>
              <w:pStyle w:val="Compact"/>
              <w:jc w:val="left"/>
            </w:pPr>
            <w:r>
              <w:t xml:space="preserve">ProductionEvent (assays)</w:t>
            </w:r>
          </w:p>
        </w:tc>
        <w:tc>
          <w:tcPr/>
          <w:p>
            <w:pPr>
              <w:pStyle w:val="Compact"/>
              <w:jc w:val="left"/>
            </w:pPr>
            <w:r>
              <w:t xml:space="preserve">—</w:t>
            </w:r>
          </w:p>
        </w:tc>
        <w:tc>
          <w:tcPr/>
          <w:p>
            <w:pPr>
              <w:pStyle w:val="Compact"/>
              <w:jc w:val="left"/>
            </w:pPr>
            <w:r>
              <w:t xml:space="preserve">—</w:t>
            </w:r>
          </w:p>
        </w:tc>
      </w:tr>
      <w:tr>
        <w:tc>
          <w:tcPr/>
          <w:p>
            <w:pPr>
              <w:pStyle w:val="Compact"/>
              <w:jc w:val="left"/>
            </w:pPr>
            <w:r>
              <w:rPr>
                <w:rStyle w:val="VerbatimChar"/>
              </w:rPr>
              <w:t xml:space="preserve">GRADE.HeadGrade</w:t>
            </w:r>
          </w:p>
        </w:tc>
        <w:tc>
          <w:tcPr/>
          <w:p>
            <w:pPr>
              <w:pStyle w:val="Compact"/>
              <w:jc w:val="left"/>
            </w:pPr>
            <w:r>
              <w:t xml:space="preserve">Grade Control</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 or g/t</w:t>
            </w:r>
          </w:p>
        </w:tc>
        <w:tc>
          <w:tcPr/>
          <w:p>
            <w:pPr>
              <w:pStyle w:val="Compact"/>
              <w:jc w:val="left"/>
            </w:pPr>
            <w:r>
              <w:t xml:space="preserve">ProductionEvent</w:t>
            </w:r>
          </w:p>
        </w:tc>
        <w:tc>
          <w:tcPr/>
          <w:p>
            <w:pPr>
              <w:pStyle w:val="Compact"/>
              <w:jc w:val="left"/>
            </w:pPr>
            <w:r>
              <w:t xml:space="preserve">—</w:t>
            </w:r>
          </w:p>
        </w:tc>
        <w:tc>
          <w:tcPr/>
          <w:p>
            <w:pPr>
              <w:pStyle w:val="Compact"/>
              <w:jc w:val="left"/>
            </w:pPr>
            <w:r>
              <w:t xml:space="preserve">—</w:t>
            </w:r>
          </w:p>
        </w:tc>
      </w:tr>
      <w:tr>
        <w:tc>
          <w:tcPr/>
          <w:p>
            <w:pPr>
              <w:pStyle w:val="Compact"/>
              <w:jc w:val="left"/>
            </w:pPr>
            <w:r>
              <w:rPr>
                <w:rStyle w:val="VerbatimChar"/>
              </w:rPr>
              <w:t xml:space="preserve">GRADE.OreLossRatio</w:t>
            </w:r>
          </w:p>
        </w:tc>
        <w:tc>
          <w:tcPr/>
          <w:p>
            <w:pPr>
              <w:pStyle w:val="Compact"/>
              <w:jc w:val="left"/>
            </w:pPr>
            <w:r>
              <w:t xml:space="preserve">Grade Control</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w:t>
            </w:r>
          </w:p>
        </w:tc>
        <w:tc>
          <w:tcPr/>
          <w:p>
            <w:pPr>
              <w:pStyle w:val="Compact"/>
              <w:jc w:val="left"/>
            </w:pPr>
            <w:r>
              <w:t xml:space="preserve">ProductionEvent</w:t>
            </w:r>
          </w:p>
        </w:tc>
        <w:tc>
          <w:tcPr/>
          <w:p>
            <w:pPr>
              <w:pStyle w:val="Compact"/>
              <w:jc w:val="left"/>
            </w:pPr>
            <w:r>
              <w:t xml:space="preserve">—</w:t>
            </w:r>
          </w:p>
        </w:tc>
        <w:tc>
          <w:tcPr/>
          <w:p>
            <w:pPr>
              <w:pStyle w:val="Compact"/>
              <w:jc w:val="left"/>
            </w:pPr>
            <w:r>
              <w:t xml:space="preserve">—</w:t>
            </w:r>
          </w:p>
        </w:tc>
      </w:tr>
      <w:tr>
        <w:tc>
          <w:tcPr/>
          <w:p>
            <w:pPr>
              <w:pStyle w:val="Compact"/>
              <w:jc w:val="left"/>
            </w:pPr>
            <w:r>
              <w:rPr>
                <w:rStyle w:val="VerbatimChar"/>
              </w:rPr>
              <w:t xml:space="preserve">GRADE.ReconciliationF1</w:t>
            </w:r>
          </w:p>
        </w:tc>
        <w:tc>
          <w:tcPr/>
          <w:p>
            <w:pPr>
              <w:pStyle w:val="Compact"/>
              <w:jc w:val="left"/>
            </w:pPr>
            <w:r>
              <w:t xml:space="preserve">Grade Control</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ratio</w:t>
            </w:r>
          </w:p>
        </w:tc>
        <w:tc>
          <w:tcPr/>
          <w:p>
            <w:pPr>
              <w:pStyle w:val="Compact"/>
              <w:jc w:val="left"/>
            </w:pPr>
            <w:r>
              <w:t xml:space="preserve">ProductionEvent</w:t>
            </w:r>
          </w:p>
        </w:tc>
        <w:tc>
          <w:tcPr/>
          <w:p>
            <w:pPr>
              <w:pStyle w:val="Compact"/>
              <w:jc w:val="left"/>
            </w:pPr>
            <w:r>
              <w:t xml:space="preserve">—</w:t>
            </w:r>
          </w:p>
        </w:tc>
        <w:tc>
          <w:tcPr/>
          <w:p>
            <w:pPr>
              <w:pStyle w:val="Compact"/>
              <w:jc w:val="left"/>
            </w:pPr>
            <w:r>
              <w:t xml:space="preserve">—</w:t>
            </w:r>
          </w:p>
        </w:tc>
      </w:tr>
      <w:tr>
        <w:tc>
          <w:tcPr/>
          <w:p>
            <w:pPr>
              <w:pStyle w:val="Compact"/>
              <w:jc w:val="left"/>
            </w:pPr>
            <w:r>
              <w:rPr>
                <w:rStyle w:val="VerbatimChar"/>
              </w:rPr>
              <w:t xml:space="preserve">BLEND.GradeConformance</w:t>
            </w:r>
          </w:p>
        </w:tc>
        <w:tc>
          <w:tcPr/>
          <w:p>
            <w:pPr>
              <w:pStyle w:val="Compact"/>
              <w:jc w:val="left"/>
            </w:pPr>
            <w:r>
              <w:t xml:space="preserve">Blending</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w:t>
            </w:r>
          </w:p>
        </w:tc>
        <w:tc>
          <w:tcPr/>
          <w:p>
            <w:pPr>
              <w:pStyle w:val="Compact"/>
              <w:jc w:val="left"/>
            </w:pPr>
            <w:r>
              <w:t xml:space="preserve">ProductionEvent</w:t>
            </w:r>
          </w:p>
        </w:tc>
        <w:tc>
          <w:tcPr/>
          <w:p>
            <w:pPr>
              <w:pStyle w:val="Compact"/>
              <w:jc w:val="left"/>
            </w:pPr>
            <w:r>
              <w:t xml:space="preserve">GRADE.HeadGrade</w:t>
            </w:r>
          </w:p>
        </w:tc>
        <w:tc>
          <w:tcPr/>
          <w:p>
            <w:pPr>
              <w:pStyle w:val="Compact"/>
              <w:jc w:val="left"/>
            </w:pPr>
            <w:r>
              <w:t xml:space="preserve">—</w:t>
            </w:r>
          </w:p>
        </w:tc>
      </w:tr>
      <w:tr>
        <w:tc>
          <w:tcPr/>
          <w:p>
            <w:pPr>
              <w:pStyle w:val="Compact"/>
              <w:jc w:val="left"/>
            </w:pPr>
            <w:r>
              <w:rPr>
                <w:rStyle w:val="VerbatimChar"/>
              </w:rPr>
              <w:t xml:space="preserve">BLEND.VarianceReduction</w:t>
            </w:r>
          </w:p>
        </w:tc>
        <w:tc>
          <w:tcPr/>
          <w:p>
            <w:pPr>
              <w:pStyle w:val="Compact"/>
              <w:jc w:val="left"/>
            </w:pPr>
            <w:r>
              <w:t xml:space="preserve">Blending</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w:t>
            </w:r>
          </w:p>
        </w:tc>
        <w:tc>
          <w:tcPr/>
          <w:p>
            <w:pPr>
              <w:pStyle w:val="Compact"/>
              <w:jc w:val="left"/>
            </w:pPr>
            <w:r>
              <w:t xml:space="preserve">ProductionEvent</w:t>
            </w:r>
          </w:p>
        </w:tc>
        <w:tc>
          <w:tcPr/>
          <w:p>
            <w:pPr>
              <w:pStyle w:val="Compact"/>
              <w:jc w:val="left"/>
            </w:pPr>
            <w:r>
              <w:t xml:space="preserve">QUAL.GradeVariance</w:t>
            </w:r>
          </w:p>
        </w:tc>
        <w:tc>
          <w:tcPr/>
          <w:p>
            <w:pPr>
              <w:pStyle w:val="Compact"/>
              <w:jc w:val="left"/>
            </w:pPr>
            <w:r>
              <w:t xml:space="preserve">—</w:t>
            </w:r>
          </w:p>
        </w:tc>
      </w:tr>
      <w:tr>
        <w:tc>
          <w:tcPr/>
          <w:p>
            <w:pPr>
              <w:pStyle w:val="Compact"/>
              <w:jc w:val="left"/>
            </w:pPr>
            <w:r>
              <w:rPr>
                <w:rStyle w:val="VerbatimChar"/>
              </w:rPr>
              <w:t xml:space="preserve">CRUSH.SpecificEnergy</w:t>
            </w:r>
          </w:p>
        </w:tc>
        <w:tc>
          <w:tcPr/>
          <w:p>
            <w:pPr>
              <w:pStyle w:val="Compact"/>
              <w:jc w:val="left"/>
            </w:pPr>
            <w:r>
              <w:t xml:space="preserve">Crushing</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kWh/t</w:t>
            </w:r>
          </w:p>
        </w:tc>
        <w:tc>
          <w:tcPr/>
          <w:p>
            <w:pPr>
              <w:pStyle w:val="Compact"/>
              <w:jc w:val="left"/>
            </w:pPr>
            <w:r>
              <w:t xml:space="preserve">ConsumptionEvent</w:t>
            </w:r>
          </w:p>
        </w:tc>
        <w:tc>
          <w:tcPr/>
          <w:p>
            <w:pPr>
              <w:pStyle w:val="Compact"/>
              <w:jc w:val="left"/>
            </w:pPr>
            <w:r>
              <w:t xml:space="preserve">—</w:t>
            </w:r>
          </w:p>
        </w:tc>
        <w:tc>
          <w:tcPr/>
          <w:p>
            <w:pPr>
              <w:pStyle w:val="Compact"/>
              <w:jc w:val="left"/>
            </w:pPr>
            <w:r>
              <w:t xml:space="preserve">—</w:t>
            </w:r>
          </w:p>
        </w:tc>
      </w:tr>
      <w:tr>
        <w:tc>
          <w:tcPr/>
          <w:p>
            <w:pPr>
              <w:pStyle w:val="Compact"/>
              <w:jc w:val="left"/>
            </w:pPr>
            <w:r>
              <w:rPr>
                <w:rStyle w:val="VerbatimChar"/>
              </w:rPr>
              <w:t xml:space="preserve">CRUSH.Throughput</w:t>
            </w:r>
          </w:p>
        </w:tc>
        <w:tc>
          <w:tcPr/>
          <w:p>
            <w:pPr>
              <w:pStyle w:val="Compact"/>
              <w:jc w:val="left"/>
            </w:pPr>
            <w:r>
              <w:t xml:space="preserve">Crushing</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t/h</w:t>
            </w:r>
          </w:p>
        </w:tc>
        <w:tc>
          <w:tcPr/>
          <w:p>
            <w:pPr>
              <w:pStyle w:val="Compact"/>
              <w:jc w:val="left"/>
            </w:pPr>
            <w:r>
              <w:t xml:space="preserve">ProductionEvent</w:t>
            </w:r>
          </w:p>
        </w:tc>
        <w:tc>
          <w:tcPr/>
          <w:p>
            <w:pPr>
              <w:pStyle w:val="Compact"/>
              <w:jc w:val="left"/>
            </w:pPr>
            <w:r>
              <w:t xml:space="preserve">—</w:t>
            </w:r>
          </w:p>
        </w:tc>
        <w:tc>
          <w:tcPr/>
          <w:p>
            <w:pPr>
              <w:pStyle w:val="Compact"/>
              <w:jc w:val="left"/>
            </w:pPr>
            <w:r>
              <w:t xml:space="preserve">—</w:t>
            </w:r>
          </w:p>
        </w:tc>
      </w:tr>
      <w:tr>
        <w:tc>
          <w:tcPr/>
          <w:p>
            <w:pPr>
              <w:pStyle w:val="Compact"/>
              <w:jc w:val="left"/>
            </w:pPr>
            <w:r>
              <w:rPr>
                <w:rStyle w:val="VerbatimChar"/>
              </w:rPr>
              <w:t xml:space="preserve">CRUSH.Utilisation</w:t>
            </w:r>
          </w:p>
        </w:tc>
        <w:tc>
          <w:tcPr/>
          <w:p>
            <w:pPr>
              <w:pStyle w:val="Compact"/>
              <w:jc w:val="left"/>
            </w:pPr>
            <w:r>
              <w:t xml:space="preserve">Crushing</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w:t>
            </w:r>
          </w:p>
        </w:tc>
        <w:tc>
          <w:tcPr/>
          <w:p>
            <w:pPr>
              <w:pStyle w:val="Compact"/>
              <w:jc w:val="left"/>
            </w:pPr>
            <w:r>
              <w:t xml:space="preserve">DelayEvent</w:t>
            </w:r>
          </w:p>
        </w:tc>
        <w:tc>
          <w:tcPr/>
          <w:p>
            <w:pPr>
              <w:pStyle w:val="Compact"/>
              <w:jc w:val="left"/>
            </w:pPr>
            <w:r>
              <w:t xml:space="preserve">UTIL.PA</w:t>
            </w:r>
          </w:p>
        </w:tc>
        <w:tc>
          <w:tcPr/>
          <w:p>
            <w:pPr>
              <w:pStyle w:val="Compact"/>
              <w:jc w:val="left"/>
            </w:pPr>
            <w:r>
              <w:t xml:space="preserve">—</w:t>
            </w:r>
          </w:p>
        </w:tc>
      </w:tr>
      <w:tr>
        <w:tc>
          <w:tcPr/>
          <w:p>
            <w:pPr>
              <w:pStyle w:val="Compact"/>
              <w:jc w:val="left"/>
            </w:pPr>
            <w:r>
              <w:rPr>
                <w:rStyle w:val="VerbatimChar"/>
              </w:rPr>
              <w:t xml:space="preserve">PROC.ConcentrateGrade</w:t>
            </w:r>
          </w:p>
        </w:tc>
        <w:tc>
          <w:tcPr/>
          <w:p>
            <w:pPr>
              <w:pStyle w:val="Compact"/>
              <w:jc w:val="left"/>
            </w:pPr>
            <w:r>
              <w:t xml:space="preserve">Processing</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w:t>
            </w:r>
          </w:p>
        </w:tc>
        <w:tc>
          <w:tcPr/>
          <w:p>
            <w:pPr>
              <w:pStyle w:val="Compact"/>
              <w:jc w:val="left"/>
            </w:pPr>
            <w:r>
              <w:t xml:space="preserve">ProductionEvent</w:t>
            </w:r>
          </w:p>
        </w:tc>
        <w:tc>
          <w:tcPr/>
          <w:p>
            <w:pPr>
              <w:pStyle w:val="Compact"/>
              <w:jc w:val="left"/>
            </w:pPr>
            <w:r>
              <w:t xml:space="preserve">—</w:t>
            </w:r>
          </w:p>
        </w:tc>
        <w:tc>
          <w:tcPr/>
          <w:p>
            <w:pPr>
              <w:pStyle w:val="Compact"/>
              <w:jc w:val="left"/>
            </w:pPr>
            <w:r>
              <w:t xml:space="preserve">—</w:t>
            </w:r>
          </w:p>
        </w:tc>
      </w:tr>
      <w:tr>
        <w:tc>
          <w:tcPr/>
          <w:p>
            <w:pPr>
              <w:pStyle w:val="Compact"/>
              <w:jc w:val="left"/>
            </w:pPr>
            <w:r>
              <w:rPr>
                <w:rStyle w:val="VerbatimChar"/>
              </w:rPr>
              <w:t xml:space="preserve">PROC.MillThroughput</w:t>
            </w:r>
          </w:p>
        </w:tc>
        <w:tc>
          <w:tcPr/>
          <w:p>
            <w:pPr>
              <w:pStyle w:val="Compact"/>
              <w:jc w:val="left"/>
            </w:pPr>
            <w:r>
              <w:t xml:space="preserve">Processing</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t/h</w:t>
            </w:r>
          </w:p>
        </w:tc>
        <w:tc>
          <w:tcPr/>
          <w:p>
            <w:pPr>
              <w:pStyle w:val="Compact"/>
              <w:jc w:val="left"/>
            </w:pPr>
            <w:r>
              <w:t xml:space="preserve">ProductionEvent</w:t>
            </w:r>
          </w:p>
        </w:tc>
        <w:tc>
          <w:tcPr/>
          <w:p>
            <w:pPr>
              <w:pStyle w:val="Compact"/>
              <w:jc w:val="left"/>
            </w:pPr>
            <w:r>
              <w:t xml:space="preserve">—</w:t>
            </w:r>
          </w:p>
        </w:tc>
        <w:tc>
          <w:tcPr/>
          <w:p>
            <w:pPr>
              <w:pStyle w:val="Compact"/>
              <w:jc w:val="left"/>
            </w:pPr>
            <w:r>
              <w:t xml:space="preserve">—</w:t>
            </w:r>
          </w:p>
        </w:tc>
      </w:tr>
      <w:tr>
        <w:tc>
          <w:tcPr/>
          <w:p>
            <w:pPr>
              <w:pStyle w:val="Compact"/>
              <w:jc w:val="left"/>
            </w:pPr>
            <w:r>
              <w:rPr>
                <w:rStyle w:val="VerbatimChar"/>
              </w:rPr>
              <w:t xml:space="preserve">PROC.PlantRecovery</w:t>
            </w:r>
          </w:p>
        </w:tc>
        <w:tc>
          <w:tcPr/>
          <w:p>
            <w:pPr>
              <w:pStyle w:val="Compact"/>
              <w:jc w:val="left"/>
            </w:pPr>
            <w:r>
              <w:t xml:space="preserve">Processing</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w:t>
            </w:r>
          </w:p>
        </w:tc>
        <w:tc>
          <w:tcPr/>
          <w:p>
            <w:pPr>
              <w:pStyle w:val="Compact"/>
              <w:jc w:val="left"/>
            </w:pPr>
            <w:r>
              <w:t xml:space="preserve">ProductionEvent</w:t>
            </w:r>
          </w:p>
        </w:tc>
        <w:tc>
          <w:tcPr/>
          <w:p>
            <w:pPr>
              <w:pStyle w:val="Compact"/>
              <w:jc w:val="left"/>
            </w:pPr>
            <w:r>
              <w:t xml:space="preserve">QUAL.Recovery</w:t>
            </w:r>
          </w:p>
        </w:tc>
        <w:tc>
          <w:tcPr/>
          <w:p>
            <w:pPr>
              <w:pStyle w:val="Compact"/>
              <w:jc w:val="left"/>
            </w:pPr>
            <w:r>
              <w:t xml:space="preserve">—</w:t>
            </w:r>
          </w:p>
        </w:tc>
      </w:tr>
      <w:tr>
        <w:tc>
          <w:tcPr/>
          <w:p>
            <w:pPr>
              <w:pStyle w:val="Compact"/>
              <w:jc w:val="left"/>
            </w:pPr>
            <w:r>
              <w:rPr>
                <w:rStyle w:val="VerbatimChar"/>
              </w:rPr>
              <w:t xml:space="preserve">STOCK.Balance</w:t>
            </w:r>
          </w:p>
        </w:tc>
        <w:tc>
          <w:tcPr/>
          <w:p>
            <w:pPr>
              <w:pStyle w:val="Compact"/>
              <w:jc w:val="left"/>
            </w:pPr>
            <w:r>
              <w:t xml:space="preserve">Stockpiles</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t</w:t>
            </w:r>
          </w:p>
        </w:tc>
        <w:tc>
          <w:tcPr/>
          <w:p>
            <w:pPr>
              <w:pStyle w:val="Compact"/>
              <w:jc w:val="left"/>
            </w:pPr>
            <w:r>
              <w:t xml:space="preserve">ProductionEvent</w:t>
            </w:r>
          </w:p>
        </w:tc>
        <w:tc>
          <w:tcPr/>
          <w:p>
            <w:pPr>
              <w:pStyle w:val="Compact"/>
              <w:jc w:val="left"/>
            </w:pPr>
            <w:r>
              <w:t xml:space="preserve">—</w:t>
            </w:r>
          </w:p>
        </w:tc>
        <w:tc>
          <w:tcPr/>
          <w:p>
            <w:pPr>
              <w:pStyle w:val="Compact"/>
              <w:jc w:val="left"/>
            </w:pPr>
            <w:r>
              <w:t xml:space="preserve">—</w:t>
            </w:r>
          </w:p>
        </w:tc>
      </w:tr>
      <w:tr>
        <w:tc>
          <w:tcPr/>
          <w:p>
            <w:pPr>
              <w:pStyle w:val="Compact"/>
              <w:jc w:val="left"/>
            </w:pPr>
            <w:r>
              <w:rPr>
                <w:rStyle w:val="VerbatimChar"/>
              </w:rPr>
              <w:t xml:space="preserve">STOCK.ResidenceTime</w:t>
            </w:r>
          </w:p>
        </w:tc>
        <w:tc>
          <w:tcPr/>
          <w:p>
            <w:pPr>
              <w:pStyle w:val="Compact"/>
              <w:jc w:val="left"/>
            </w:pPr>
            <w:r>
              <w:t xml:space="preserve">Stockpiles</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days</w:t>
            </w:r>
          </w:p>
        </w:tc>
        <w:tc>
          <w:tcPr/>
          <w:p>
            <w:pPr>
              <w:pStyle w:val="Compact"/>
              <w:jc w:val="left"/>
            </w:pPr>
            <w:r>
              <w:t xml:space="preserve">ProductionEvent</w:t>
            </w:r>
          </w:p>
        </w:tc>
        <w:tc>
          <w:tcPr/>
          <w:p>
            <w:pPr>
              <w:pStyle w:val="Compact"/>
              <w:jc w:val="left"/>
            </w:pPr>
            <w:r>
              <w:t xml:space="preserve">—</w:t>
            </w:r>
          </w:p>
        </w:tc>
        <w:tc>
          <w:tcPr/>
          <w:p>
            <w:pPr>
              <w:pStyle w:val="Compact"/>
              <w:jc w:val="left"/>
            </w:pPr>
            <w:r>
              <w:t xml:space="preserve">—</w:t>
            </w:r>
          </w:p>
        </w:tc>
      </w:tr>
      <w:tr>
        <w:tc>
          <w:tcPr/>
          <w:p>
            <w:pPr>
              <w:pStyle w:val="Compact"/>
              <w:jc w:val="left"/>
            </w:pPr>
            <w:r>
              <w:rPr>
                <w:rStyle w:val="VerbatimChar"/>
              </w:rPr>
              <w:t xml:space="preserve">STOCK.Turnover</w:t>
            </w:r>
          </w:p>
        </w:tc>
        <w:tc>
          <w:tcPr/>
          <w:p>
            <w:pPr>
              <w:pStyle w:val="Compact"/>
              <w:jc w:val="left"/>
            </w:pPr>
            <w:r>
              <w:t xml:space="preserve">Stockpiles</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1/month</w:t>
            </w:r>
          </w:p>
        </w:tc>
        <w:tc>
          <w:tcPr/>
          <w:p>
            <w:pPr>
              <w:pStyle w:val="Compact"/>
              <w:jc w:val="left"/>
            </w:pPr>
            <w:r>
              <w:t xml:space="preserve">ProductionEvent</w:t>
            </w:r>
          </w:p>
        </w:tc>
        <w:tc>
          <w:tcPr/>
          <w:p>
            <w:pPr>
              <w:pStyle w:val="Compact"/>
              <w:jc w:val="left"/>
            </w:pPr>
            <w:r>
              <w:t xml:space="preserve">STOCK.Balance</w:t>
            </w:r>
          </w:p>
        </w:tc>
        <w:tc>
          <w:tcPr/>
          <w:p>
            <w:pPr>
              <w:pStyle w:val="Compact"/>
              <w:jc w:val="left"/>
            </w:pPr>
            <w:r>
              <w:t xml:space="preserve">—</w:t>
            </w:r>
          </w:p>
        </w:tc>
      </w:tr>
      <w:tr>
        <w:tc>
          <w:tcPr/>
          <w:p>
            <w:pPr>
              <w:pStyle w:val="Compact"/>
              <w:jc w:val="left"/>
            </w:pPr>
            <w:r>
              <w:rPr>
                <w:rStyle w:val="VerbatimChar"/>
              </w:rPr>
              <w:t xml:space="preserve">RAIL.NetTonnesRailed</w:t>
            </w:r>
          </w:p>
        </w:tc>
        <w:tc>
          <w:tcPr/>
          <w:p>
            <w:pPr>
              <w:pStyle w:val="Compact"/>
              <w:jc w:val="left"/>
            </w:pPr>
            <w:r>
              <w:t xml:space="preserve">Rail</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t</w:t>
            </w:r>
          </w:p>
        </w:tc>
        <w:tc>
          <w:tcPr/>
          <w:p>
            <w:pPr>
              <w:pStyle w:val="Compact"/>
              <w:jc w:val="left"/>
            </w:pPr>
            <w:r>
              <w:t xml:space="preserve">CycleEvent</w:t>
            </w:r>
          </w:p>
        </w:tc>
        <w:tc>
          <w:tcPr/>
          <w:p>
            <w:pPr>
              <w:pStyle w:val="Compact"/>
              <w:jc w:val="left"/>
            </w:pPr>
            <w:r>
              <w:t xml:space="preserve">—</w:t>
            </w:r>
          </w:p>
        </w:tc>
        <w:tc>
          <w:tcPr/>
          <w:p>
            <w:pPr>
              <w:pStyle w:val="Compact"/>
              <w:jc w:val="left"/>
            </w:pPr>
            <w:r>
              <w:t xml:space="preserve">—</w:t>
            </w:r>
          </w:p>
        </w:tc>
      </w:tr>
      <w:tr>
        <w:tc>
          <w:tcPr/>
          <w:p>
            <w:pPr>
              <w:pStyle w:val="Compact"/>
              <w:jc w:val="left"/>
            </w:pPr>
            <w:r>
              <w:rPr>
                <w:rStyle w:val="VerbatimChar"/>
              </w:rPr>
              <w:t xml:space="preserve">RAIL.RakeUtilisation</w:t>
            </w:r>
          </w:p>
        </w:tc>
        <w:tc>
          <w:tcPr/>
          <w:p>
            <w:pPr>
              <w:pStyle w:val="Compact"/>
              <w:jc w:val="left"/>
            </w:pPr>
            <w:r>
              <w:t xml:space="preserve">Rail</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w:t>
            </w:r>
          </w:p>
        </w:tc>
        <w:tc>
          <w:tcPr/>
          <w:p>
            <w:pPr>
              <w:pStyle w:val="Compact"/>
              <w:jc w:val="left"/>
            </w:pPr>
            <w:r>
              <w:t xml:space="preserve">DelayEvent</w:t>
            </w:r>
          </w:p>
        </w:tc>
        <w:tc>
          <w:tcPr/>
          <w:p>
            <w:pPr>
              <w:pStyle w:val="Compact"/>
              <w:jc w:val="left"/>
            </w:pPr>
            <w:r>
              <w:t xml:space="preserve">UTIL.PA</w:t>
            </w:r>
          </w:p>
        </w:tc>
        <w:tc>
          <w:tcPr/>
          <w:p>
            <w:pPr>
              <w:pStyle w:val="Compact"/>
              <w:jc w:val="left"/>
            </w:pPr>
            <w:r>
              <w:t xml:space="preserve">—</w:t>
            </w:r>
          </w:p>
        </w:tc>
      </w:tr>
      <w:tr>
        <w:tc>
          <w:tcPr/>
          <w:p>
            <w:pPr>
              <w:pStyle w:val="Compact"/>
              <w:jc w:val="left"/>
            </w:pPr>
            <w:r>
              <w:rPr>
                <w:rStyle w:val="VerbatimChar"/>
              </w:rPr>
              <w:t xml:space="preserve">RAIL.WagonTurnaround</w:t>
            </w:r>
          </w:p>
        </w:tc>
        <w:tc>
          <w:tcPr/>
          <w:p>
            <w:pPr>
              <w:pStyle w:val="Compact"/>
              <w:jc w:val="left"/>
            </w:pPr>
            <w:r>
              <w:t xml:space="preserve">Rail</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h</w:t>
            </w:r>
          </w:p>
        </w:tc>
        <w:tc>
          <w:tcPr/>
          <w:p>
            <w:pPr>
              <w:pStyle w:val="Compact"/>
              <w:jc w:val="left"/>
            </w:pPr>
            <w:r>
              <w:t xml:space="preserve">CycleEvent</w:t>
            </w:r>
          </w:p>
        </w:tc>
        <w:tc>
          <w:tcPr/>
          <w:p>
            <w:pPr>
              <w:pStyle w:val="Compact"/>
              <w:jc w:val="left"/>
            </w:pPr>
            <w:r>
              <w:t xml:space="preserve">—</w:t>
            </w:r>
          </w:p>
        </w:tc>
        <w:tc>
          <w:tcPr/>
          <w:p>
            <w:pPr>
              <w:pStyle w:val="Compact"/>
              <w:jc w:val="left"/>
            </w:pPr>
            <w:r>
              <w:t xml:space="preserve">—</w:t>
            </w:r>
          </w:p>
        </w:tc>
      </w:tr>
      <w:tr>
        <w:tc>
          <w:tcPr/>
          <w:p>
            <w:pPr>
              <w:pStyle w:val="Compact"/>
              <w:jc w:val="left"/>
            </w:pPr>
            <w:r>
              <w:rPr>
                <w:rStyle w:val="VerbatimChar"/>
              </w:rPr>
              <w:t xml:space="preserve">PORT.DemurrageHours</w:t>
            </w:r>
          </w:p>
        </w:tc>
        <w:tc>
          <w:tcPr/>
          <w:p>
            <w:pPr>
              <w:pStyle w:val="Compact"/>
              <w:jc w:val="left"/>
            </w:pPr>
            <w:r>
              <w:t xml:space="preserve">Port</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h</w:t>
            </w:r>
          </w:p>
        </w:tc>
        <w:tc>
          <w:tcPr/>
          <w:p>
            <w:pPr>
              <w:pStyle w:val="Compact"/>
              <w:jc w:val="left"/>
            </w:pPr>
            <w:r>
              <w:t xml:space="preserve">DelayEvent</w:t>
            </w:r>
          </w:p>
        </w:tc>
        <w:tc>
          <w:tcPr/>
          <w:p>
            <w:pPr>
              <w:pStyle w:val="Compact"/>
              <w:jc w:val="left"/>
            </w:pPr>
            <w:r>
              <w:t xml:space="preserve">DELAY.Hours</w:t>
            </w:r>
          </w:p>
        </w:tc>
        <w:tc>
          <w:tcPr/>
          <w:p>
            <w:pPr>
              <w:pStyle w:val="Compact"/>
              <w:jc w:val="left"/>
            </w:pPr>
            <w:r>
              <w:t xml:space="preserve">—</w:t>
            </w:r>
          </w:p>
        </w:tc>
      </w:tr>
      <w:tr>
        <w:tc>
          <w:tcPr/>
          <w:p>
            <w:pPr>
              <w:pStyle w:val="Compact"/>
              <w:jc w:val="left"/>
            </w:pPr>
            <w:r>
              <w:rPr>
                <w:rStyle w:val="VerbatimChar"/>
              </w:rPr>
              <w:t xml:space="preserve">PORT.ShiploaderRate</w:t>
            </w:r>
          </w:p>
        </w:tc>
        <w:tc>
          <w:tcPr/>
          <w:p>
            <w:pPr>
              <w:pStyle w:val="Compact"/>
              <w:jc w:val="left"/>
            </w:pPr>
            <w:r>
              <w:t xml:space="preserve">Port</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t/h</w:t>
            </w:r>
          </w:p>
        </w:tc>
        <w:tc>
          <w:tcPr/>
          <w:p>
            <w:pPr>
              <w:pStyle w:val="Compact"/>
              <w:jc w:val="left"/>
            </w:pPr>
            <w:r>
              <w:t xml:space="preserve">ProductionEvent</w:t>
            </w:r>
          </w:p>
        </w:tc>
        <w:tc>
          <w:tcPr/>
          <w:p>
            <w:pPr>
              <w:pStyle w:val="Compact"/>
              <w:jc w:val="left"/>
            </w:pPr>
            <w:r>
              <w:t xml:space="preserve">—</w:t>
            </w:r>
          </w:p>
        </w:tc>
        <w:tc>
          <w:tcPr/>
          <w:p>
            <w:pPr>
              <w:pStyle w:val="Compact"/>
              <w:jc w:val="left"/>
            </w:pPr>
            <w:r>
              <w:t xml:space="preserve">—</w:t>
            </w:r>
          </w:p>
        </w:tc>
      </w:tr>
      <w:tr>
        <w:tc>
          <w:tcPr/>
          <w:p>
            <w:pPr>
              <w:pStyle w:val="Compact"/>
              <w:jc w:val="left"/>
            </w:pPr>
            <w:r>
              <w:rPr>
                <w:rStyle w:val="VerbatimChar"/>
              </w:rPr>
              <w:t xml:space="preserve">PORT.VesselTurnaround</w:t>
            </w:r>
          </w:p>
        </w:tc>
        <w:tc>
          <w:tcPr/>
          <w:p>
            <w:pPr>
              <w:pStyle w:val="Compact"/>
              <w:jc w:val="left"/>
            </w:pPr>
            <w:r>
              <w:t xml:space="preserve">Port</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h</w:t>
            </w:r>
          </w:p>
        </w:tc>
        <w:tc>
          <w:tcPr/>
          <w:p>
            <w:pPr>
              <w:pStyle w:val="Compact"/>
              <w:jc w:val="left"/>
            </w:pPr>
            <w:r>
              <w:t xml:space="preserve">CycleEvent</w:t>
            </w:r>
          </w:p>
        </w:tc>
        <w:tc>
          <w:tcPr/>
          <w:p>
            <w:pPr>
              <w:pStyle w:val="Compact"/>
              <w:jc w:val="left"/>
            </w:pPr>
            <w:r>
              <w:t xml:space="preserve">—</w:t>
            </w:r>
          </w:p>
        </w:tc>
        <w:tc>
          <w:tcPr/>
          <w:p>
            <w:pPr>
              <w:pStyle w:val="Compact"/>
              <w:jc w:val="left"/>
            </w:pPr>
            <w:r>
              <w:t xml:space="preserve">—</w:t>
            </w:r>
          </w:p>
        </w:tc>
      </w:tr>
      <w:tr>
        <w:tc>
          <w:tcPr/>
          <w:p>
            <w:pPr>
              <w:pStyle w:val="Compact"/>
              <w:jc w:val="left"/>
            </w:pPr>
            <w:r>
              <w:rPr>
                <w:rStyle w:val="VerbatimChar"/>
              </w:rPr>
              <w:t xml:space="preserve">COST.CostPerTonKm</w:t>
            </w:r>
          </w:p>
        </w:tc>
        <w:tc>
          <w:tcPr/>
          <w:p>
            <w:pPr>
              <w:pStyle w:val="Compact"/>
              <w:jc w:val="left"/>
            </w:pPr>
            <w:r>
              <w:t xml:space="preserve">Cost</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$/t·km</w:t>
            </w:r>
          </w:p>
        </w:tc>
        <w:tc>
          <w:tcPr/>
          <w:p>
            <w:pPr>
              <w:pStyle w:val="Compact"/>
              <w:jc w:val="left"/>
            </w:pPr>
            <w:r>
              <w:t xml:space="preserve">CostEvent, CycleEvent</w:t>
            </w:r>
          </w:p>
        </w:tc>
        <w:tc>
          <w:tcPr/>
          <w:p>
            <w:pPr>
              <w:pStyle w:val="Compact"/>
              <w:jc w:val="left"/>
            </w:pPr>
            <w:r>
              <w:t xml:space="preserve">HAUL.TonKm</w:t>
            </w:r>
          </w:p>
        </w:tc>
        <w:tc>
          <w:tcPr/>
          <w:p>
            <w:pPr>
              <w:pStyle w:val="Compact"/>
              <w:jc w:val="left"/>
            </w:pPr>
            <w:r>
              <w:t xml:space="preserve">—</w:t>
            </w:r>
          </w:p>
        </w:tc>
      </w:tr>
      <w:tr>
        <w:tc>
          <w:tcPr/>
          <w:p>
            <w:pPr>
              <w:pStyle w:val="Compact"/>
              <w:jc w:val="left"/>
            </w:pPr>
            <w:r>
              <w:rPr>
                <w:rStyle w:val="VerbatimChar"/>
              </w:rPr>
              <w:t xml:space="preserve">COST.CostPerTonne</w:t>
            </w:r>
          </w:p>
        </w:tc>
        <w:tc>
          <w:tcPr/>
          <w:p>
            <w:pPr>
              <w:pStyle w:val="Compact"/>
              <w:jc w:val="left"/>
            </w:pPr>
            <w:r>
              <w:t xml:space="preserve">Cost</w:t>
            </w:r>
          </w:p>
        </w:tc>
        <w:tc>
          <w:tcPr/>
          <w:p>
            <w:pPr>
              <w:pStyle w:val="Compact"/>
              <w:jc w:val="left"/>
            </w:pPr>
            <w:r>
              <w:t xml:space="preserve">Active</w:t>
            </w:r>
          </w:p>
        </w:tc>
        <w:tc>
          <w:tcPr/>
          <w:p>
            <w:pPr>
              <w:pStyle w:val="Compact"/>
              <w:jc w:val="left"/>
            </w:pPr>
            <w:r>
              <w:t xml:space="preserve">1.0.0</w:t>
            </w:r>
          </w:p>
        </w:tc>
        <w:tc>
          <w:tcPr/>
          <w:p>
            <w:pPr>
              <w:pStyle w:val="Compact"/>
              <w:jc w:val="left"/>
            </w:pPr>
            <w:r>
              <w:t xml:space="preserve">$/t</w:t>
            </w:r>
          </w:p>
        </w:tc>
        <w:tc>
          <w:tcPr/>
          <w:p>
            <w:pPr>
              <w:pStyle w:val="Compact"/>
              <w:jc w:val="left"/>
            </w:pPr>
            <w:r>
              <w:t xml:space="preserve">CostEvent, CycleEvent</w:t>
            </w:r>
          </w:p>
        </w:tc>
        <w:tc>
          <w:tcPr/>
          <w:p>
            <w:pPr>
              <w:pStyle w:val="Compact"/>
              <w:jc w:val="left"/>
            </w:pPr>
            <w:r>
              <w:t xml:space="preserve">PROD.TPH</w:t>
            </w:r>
          </w:p>
        </w:tc>
        <w:tc>
          <w:tcPr/>
          <w:p>
            <w:pPr>
              <w:pStyle w:val="Compact"/>
              <w:jc w:val="left"/>
            </w:pPr>
            <w:r>
              <w:t xml:space="preserve">—</w:t>
            </w:r>
          </w:p>
        </w:tc>
      </w:tr>
      <w:tr>
        <w:tc>
          <w:tcPr/>
          <w:p>
            <w:pPr>
              <w:pStyle w:val="Compact"/>
              <w:jc w:val="left"/>
            </w:pPr>
            <w:r>
              <w:rPr>
                <w:rStyle w:val="VerbatimChar"/>
              </w:rPr>
              <w:t xml:space="preserve">COST.FuelCostShare</w:t>
            </w:r>
          </w:p>
        </w:tc>
        <w:tc>
          <w:tcPr/>
          <w:p>
            <w:pPr>
              <w:pStyle w:val="Compact"/>
              <w:jc w:val="left"/>
            </w:pPr>
            <w:r>
              <w:t xml:space="preserve">Cost</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w:t>
            </w:r>
          </w:p>
        </w:tc>
        <w:tc>
          <w:tcPr/>
          <w:p>
            <w:pPr>
              <w:pStyle w:val="Compact"/>
              <w:jc w:val="left"/>
            </w:pPr>
            <w:r>
              <w:t xml:space="preserve">CostEvent</w:t>
            </w:r>
          </w:p>
        </w:tc>
        <w:tc>
          <w:tcPr/>
          <w:p>
            <w:pPr>
              <w:pStyle w:val="Compact"/>
              <w:jc w:val="left"/>
            </w:pPr>
            <w:r>
              <w:t xml:space="preserve">ENERGY.FuelPerTonne</w:t>
            </w:r>
          </w:p>
        </w:tc>
        <w:tc>
          <w:tcPr/>
          <w:p>
            <w:pPr>
              <w:pStyle w:val="Compact"/>
              <w:jc w:val="left"/>
            </w:pPr>
            <w:r>
              <w:t xml:space="preserve">—</w:t>
            </w:r>
          </w:p>
        </w:tc>
      </w:tr>
      <w:tr>
        <w:tc>
          <w:tcPr/>
          <w:p>
            <w:pPr>
              <w:pStyle w:val="Compact"/>
              <w:jc w:val="left"/>
            </w:pPr>
            <w:r>
              <w:rPr>
                <w:rStyle w:val="VerbatimChar"/>
              </w:rPr>
              <w:t xml:space="preserve">COST.MaintenanceCostRatio</w:t>
            </w:r>
          </w:p>
        </w:tc>
        <w:tc>
          <w:tcPr/>
          <w:p>
            <w:pPr>
              <w:pStyle w:val="Compact"/>
              <w:jc w:val="left"/>
            </w:pPr>
            <w:r>
              <w:t xml:space="preserve">Cost</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w:t>
            </w:r>
          </w:p>
        </w:tc>
        <w:tc>
          <w:tcPr/>
          <w:p>
            <w:pPr>
              <w:pStyle w:val="Compact"/>
              <w:jc w:val="left"/>
            </w:pPr>
            <w:r>
              <w:t xml:space="preserve">CostEvent</w:t>
            </w:r>
          </w:p>
        </w:tc>
        <w:tc>
          <w:tcPr/>
          <w:p>
            <w:pPr>
              <w:pStyle w:val="Compact"/>
              <w:jc w:val="left"/>
            </w:pPr>
            <w:r>
              <w:t xml:space="preserve">COST.CostPerTonne</w:t>
            </w:r>
          </w:p>
        </w:tc>
        <w:tc>
          <w:tcPr/>
          <w:p>
            <w:pPr>
              <w:pStyle w:val="Compact"/>
              <w:jc w:val="left"/>
            </w:pPr>
            <w:r>
              <w:t xml:space="preserve">—</w:t>
            </w:r>
          </w:p>
        </w:tc>
      </w:tr>
      <w:tr>
        <w:tc>
          <w:tcPr/>
          <w:p>
            <w:pPr>
              <w:pStyle w:val="Compact"/>
              <w:jc w:val="left"/>
            </w:pPr>
            <w:r>
              <w:rPr>
                <w:rStyle w:val="VerbatimChar"/>
              </w:rPr>
              <w:t xml:space="preserve">FIN.AISC</w:t>
            </w:r>
          </w:p>
        </w:tc>
        <w:tc>
          <w:tcPr/>
          <w:p>
            <w:pPr>
              <w:pStyle w:val="Compact"/>
              <w:jc w:val="left"/>
            </w:pPr>
            <w:r>
              <w:t xml:space="preserve">Financial</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$/oz or $/t</w:t>
            </w:r>
          </w:p>
        </w:tc>
        <w:tc>
          <w:tcPr/>
          <w:p>
            <w:pPr>
              <w:pStyle w:val="Compact"/>
              <w:jc w:val="left"/>
            </w:pPr>
            <w:r>
              <w:t xml:space="preserve">CostEvent</w:t>
            </w:r>
          </w:p>
        </w:tc>
        <w:tc>
          <w:tcPr/>
          <w:p>
            <w:pPr>
              <w:pStyle w:val="Compact"/>
              <w:jc w:val="left"/>
            </w:pPr>
            <w:r>
              <w:t xml:space="preserve">COST.CostPerTonne</w:t>
            </w:r>
          </w:p>
        </w:tc>
        <w:tc>
          <w:tcPr/>
          <w:p>
            <w:pPr>
              <w:pStyle w:val="Compact"/>
              <w:jc w:val="left"/>
            </w:pPr>
            <w:r>
              <w:t xml:space="preserve">alias AllInSustainingCost</w:t>
            </w:r>
          </w:p>
        </w:tc>
      </w:tr>
      <w:tr>
        <w:tc>
          <w:tcPr/>
          <w:p>
            <w:pPr>
              <w:pStyle w:val="Compact"/>
              <w:jc w:val="left"/>
            </w:pPr>
            <w:r>
              <w:rPr>
                <w:rStyle w:val="VerbatimChar"/>
              </w:rPr>
              <w:t xml:space="preserve">FIN.Margin</w:t>
            </w:r>
          </w:p>
        </w:tc>
        <w:tc>
          <w:tcPr/>
          <w:p>
            <w:pPr>
              <w:pStyle w:val="Compact"/>
              <w:jc w:val="left"/>
            </w:pPr>
            <w:r>
              <w:t xml:space="preserve">Financial</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$/t</w:t>
            </w:r>
          </w:p>
        </w:tc>
        <w:tc>
          <w:tcPr/>
          <w:p>
            <w:pPr>
              <w:pStyle w:val="Compact"/>
              <w:jc w:val="left"/>
            </w:pPr>
            <w:r>
              <w:t xml:space="preserve">CostEvent, ProductionEvent</w:t>
            </w:r>
          </w:p>
        </w:tc>
        <w:tc>
          <w:tcPr/>
          <w:p>
            <w:pPr>
              <w:pStyle w:val="Compact"/>
              <w:jc w:val="left"/>
            </w:pPr>
            <w:r>
              <w:t xml:space="preserve">COST.CostPerTonne, FIN.RevenuePerTonne</w:t>
            </w:r>
          </w:p>
        </w:tc>
        <w:tc>
          <w:tcPr/>
          <w:p>
            <w:pPr>
              <w:pStyle w:val="Compact"/>
              <w:jc w:val="left"/>
            </w:pPr>
            <w:r>
              <w:t xml:space="preserve">—</w:t>
            </w:r>
          </w:p>
        </w:tc>
      </w:tr>
      <w:tr>
        <w:tc>
          <w:tcPr/>
          <w:p>
            <w:pPr>
              <w:pStyle w:val="Compact"/>
              <w:jc w:val="left"/>
            </w:pPr>
            <w:r>
              <w:rPr>
                <w:rStyle w:val="VerbatimChar"/>
              </w:rPr>
              <w:t xml:space="preserve">FIN.RevenuePerTonne</w:t>
            </w:r>
          </w:p>
        </w:tc>
        <w:tc>
          <w:tcPr/>
          <w:p>
            <w:pPr>
              <w:pStyle w:val="Compact"/>
              <w:jc w:val="left"/>
            </w:pPr>
            <w:r>
              <w:t xml:space="preserve">Financial</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$/t</w:t>
            </w:r>
          </w:p>
        </w:tc>
        <w:tc>
          <w:tcPr/>
          <w:p>
            <w:pPr>
              <w:pStyle w:val="Compact"/>
              <w:jc w:val="left"/>
            </w:pPr>
            <w:r>
              <w:t xml:space="preserve">ProductionEvent</w:t>
            </w:r>
          </w:p>
        </w:tc>
        <w:tc>
          <w:tcPr/>
          <w:p>
            <w:pPr>
              <w:pStyle w:val="Compact"/>
              <w:jc w:val="left"/>
            </w:pPr>
            <w:r>
              <w:t xml:space="preserve">QUAL.Recovery</w:t>
            </w:r>
          </w:p>
        </w:tc>
        <w:tc>
          <w:tcPr/>
          <w:p>
            <w:pPr>
              <w:pStyle w:val="Compact"/>
              <w:jc w:val="left"/>
            </w:pPr>
            <w:r>
              <w:t xml:space="preserve">—</w:t>
            </w:r>
          </w:p>
        </w:tc>
      </w:tr>
      <w:tr>
        <w:tc>
          <w:tcPr/>
          <w:p>
            <w:pPr>
              <w:pStyle w:val="Compact"/>
              <w:jc w:val="left"/>
            </w:pPr>
            <w:r>
              <w:rPr>
                <w:rStyle w:val="VerbatimChar"/>
              </w:rPr>
              <w:t xml:space="preserve">ESG.EmissionsIntensity</w:t>
            </w:r>
          </w:p>
        </w:tc>
        <w:tc>
          <w:tcPr/>
          <w:p>
            <w:pPr>
              <w:pStyle w:val="Compact"/>
              <w:jc w:val="left"/>
            </w:pPr>
            <w:r>
              <w:t xml:space="preserve">ESG</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kg CO₂e/t</w:t>
            </w:r>
          </w:p>
        </w:tc>
        <w:tc>
          <w:tcPr/>
          <w:p>
            <w:pPr>
              <w:pStyle w:val="Compact"/>
              <w:jc w:val="left"/>
            </w:pPr>
            <w:r>
              <w:t xml:space="preserve">ConsumptionEvent</w:t>
            </w:r>
          </w:p>
        </w:tc>
        <w:tc>
          <w:tcPr/>
          <w:p>
            <w:pPr>
              <w:pStyle w:val="Compact"/>
              <w:jc w:val="left"/>
            </w:pPr>
            <w:r>
              <w:t xml:space="preserve">CARBON.CO2PerTonne</w:t>
            </w:r>
          </w:p>
        </w:tc>
        <w:tc>
          <w:tcPr/>
          <w:p>
            <w:pPr>
              <w:pStyle w:val="Compact"/>
              <w:jc w:val="left"/>
            </w:pPr>
            <w:r>
              <w:t xml:space="preserve">—</w:t>
            </w:r>
          </w:p>
        </w:tc>
      </w:tr>
      <w:tr>
        <w:tc>
          <w:tcPr/>
          <w:p>
            <w:pPr>
              <w:pStyle w:val="Compact"/>
              <w:jc w:val="left"/>
            </w:pPr>
            <w:r>
              <w:rPr>
                <w:rStyle w:val="VerbatimChar"/>
              </w:rPr>
              <w:t xml:space="preserve">ESG.EnergyIntensity</w:t>
            </w:r>
          </w:p>
        </w:tc>
        <w:tc>
          <w:tcPr/>
          <w:p>
            <w:pPr>
              <w:pStyle w:val="Compact"/>
              <w:jc w:val="left"/>
            </w:pPr>
            <w:r>
              <w:t xml:space="preserve">ESG</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MJ/t</w:t>
            </w:r>
          </w:p>
        </w:tc>
        <w:tc>
          <w:tcPr/>
          <w:p>
            <w:pPr>
              <w:pStyle w:val="Compact"/>
              <w:jc w:val="left"/>
            </w:pPr>
            <w:r>
              <w:t xml:space="preserve">ConsumptionEvent</w:t>
            </w:r>
          </w:p>
        </w:tc>
        <w:tc>
          <w:tcPr/>
          <w:p>
            <w:pPr>
              <w:pStyle w:val="Compact"/>
              <w:jc w:val="left"/>
            </w:pPr>
            <w:r>
              <w:t xml:space="preserve">ENERGY.EnergyIntensity</w:t>
            </w:r>
          </w:p>
        </w:tc>
        <w:tc>
          <w:tcPr/>
          <w:p>
            <w:pPr>
              <w:pStyle w:val="Compact"/>
              <w:jc w:val="left"/>
            </w:pPr>
            <w:r>
              <w:t xml:space="preserve">—</w:t>
            </w:r>
          </w:p>
        </w:tc>
      </w:tr>
      <w:tr>
        <w:tc>
          <w:tcPr/>
          <w:p>
            <w:pPr>
              <w:pStyle w:val="Compact"/>
              <w:jc w:val="left"/>
            </w:pPr>
            <w:r>
              <w:rPr>
                <w:rStyle w:val="VerbatimChar"/>
              </w:rPr>
              <w:t xml:space="preserve">ESG.RehabilitationRatio</w:t>
            </w:r>
          </w:p>
        </w:tc>
        <w:tc>
          <w:tcPr/>
          <w:p>
            <w:pPr>
              <w:pStyle w:val="Compact"/>
              <w:jc w:val="left"/>
            </w:pPr>
            <w:r>
              <w:t xml:space="preserve">ESG</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w:t>
            </w:r>
          </w:p>
        </w:tc>
        <w:tc>
          <w:tcPr/>
          <w:p>
            <w:pPr>
              <w:pStyle w:val="Compact"/>
              <w:jc w:val="left"/>
            </w:pPr>
            <w:r>
              <w:t xml:space="preserve">ProductionEvent</w:t>
            </w:r>
          </w:p>
        </w:tc>
        <w:tc>
          <w:tcPr/>
          <w:p>
            <w:pPr>
              <w:pStyle w:val="Compact"/>
              <w:jc w:val="left"/>
            </w:pPr>
            <w:r>
              <w:t xml:space="preserve">—</w:t>
            </w:r>
          </w:p>
        </w:tc>
        <w:tc>
          <w:tcPr/>
          <w:p>
            <w:pPr>
              <w:pStyle w:val="Compact"/>
              <w:jc w:val="left"/>
            </w:pPr>
            <w:r>
              <w:t xml:space="preserve">—</w:t>
            </w:r>
          </w:p>
        </w:tc>
      </w:tr>
      <w:tr>
        <w:tc>
          <w:tcPr/>
          <w:p>
            <w:pPr>
              <w:pStyle w:val="Compact"/>
              <w:jc w:val="left"/>
            </w:pPr>
            <w:r>
              <w:rPr>
                <w:rStyle w:val="VerbatimChar"/>
              </w:rPr>
              <w:t xml:space="preserve">ESG.WaterIntensity</w:t>
            </w:r>
          </w:p>
        </w:tc>
        <w:tc>
          <w:tcPr/>
          <w:p>
            <w:pPr>
              <w:pStyle w:val="Compact"/>
              <w:jc w:val="left"/>
            </w:pPr>
            <w:r>
              <w:t xml:space="preserve">ESG</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kL/t</w:t>
            </w:r>
          </w:p>
        </w:tc>
        <w:tc>
          <w:tcPr/>
          <w:p>
            <w:pPr>
              <w:pStyle w:val="Compact"/>
              <w:jc w:val="left"/>
            </w:pPr>
            <w:r>
              <w:t xml:space="preserve">ConsumptionEvent</w:t>
            </w:r>
          </w:p>
        </w:tc>
        <w:tc>
          <w:tcPr/>
          <w:p>
            <w:pPr>
              <w:pStyle w:val="Compact"/>
              <w:jc w:val="left"/>
            </w:pPr>
            <w:r>
              <w:t xml:space="preserve">WATER.WaterPerTonne</w:t>
            </w:r>
          </w:p>
        </w:tc>
        <w:tc>
          <w:tcPr/>
          <w:p>
            <w:pPr>
              <w:pStyle w:val="Compact"/>
              <w:jc w:val="left"/>
            </w:pPr>
            <w:r>
              <w:t xml:space="preserve">—</w:t>
            </w:r>
          </w:p>
        </w:tc>
      </w:tr>
      <w:tr>
        <w:tc>
          <w:tcPr/>
          <w:p>
            <w:pPr>
              <w:pStyle w:val="Compact"/>
              <w:jc w:val="left"/>
            </w:pPr>
            <w:r>
              <w:rPr>
                <w:rStyle w:val="VerbatimChar"/>
              </w:rPr>
              <w:t xml:space="preserve">SAFE.FatigueEventRate</w:t>
            </w:r>
          </w:p>
        </w:tc>
        <w:tc>
          <w:tcPr/>
          <w:p>
            <w:pPr>
              <w:pStyle w:val="Compact"/>
              <w:jc w:val="left"/>
            </w:pPr>
            <w:r>
              <w:t xml:space="preserve">Safety</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per 100 h</w:t>
            </w:r>
          </w:p>
        </w:tc>
        <w:tc>
          <w:tcPr/>
          <w:p>
            <w:pPr>
              <w:pStyle w:val="Compact"/>
              <w:jc w:val="left"/>
            </w:pPr>
            <w:r>
              <w:t xml:space="preserve">SafetyEvent</w:t>
            </w:r>
          </w:p>
        </w:tc>
        <w:tc>
          <w:tcPr/>
          <w:p>
            <w:pPr>
              <w:pStyle w:val="Compact"/>
              <w:jc w:val="left"/>
            </w:pPr>
            <w:r>
              <w:t xml:space="preserve">—</w:t>
            </w:r>
          </w:p>
        </w:tc>
        <w:tc>
          <w:tcPr/>
          <w:p>
            <w:pPr>
              <w:pStyle w:val="Compact"/>
              <w:jc w:val="left"/>
            </w:pPr>
            <w:r>
              <w:t xml:space="preserve">—</w:t>
            </w:r>
          </w:p>
        </w:tc>
      </w:tr>
      <w:tr>
        <w:tc>
          <w:tcPr/>
          <w:p>
            <w:pPr>
              <w:pStyle w:val="Compact"/>
              <w:jc w:val="left"/>
            </w:pPr>
            <w:r>
              <w:rPr>
                <w:rStyle w:val="VerbatimChar"/>
              </w:rPr>
              <w:t xml:space="preserve">SAFE.ProximityAlertRate</w:t>
            </w:r>
          </w:p>
        </w:tc>
        <w:tc>
          <w:tcPr/>
          <w:p>
            <w:pPr>
              <w:pStyle w:val="Compact"/>
              <w:jc w:val="left"/>
            </w:pPr>
            <w:r>
              <w:t xml:space="preserve">Safety</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per 100 h</w:t>
            </w:r>
          </w:p>
        </w:tc>
        <w:tc>
          <w:tcPr/>
          <w:p>
            <w:pPr>
              <w:pStyle w:val="Compact"/>
              <w:jc w:val="left"/>
            </w:pPr>
            <w:r>
              <w:t xml:space="preserve">SafetyEvent</w:t>
            </w:r>
          </w:p>
        </w:tc>
        <w:tc>
          <w:tcPr/>
          <w:p>
            <w:pPr>
              <w:pStyle w:val="Compact"/>
              <w:jc w:val="left"/>
            </w:pPr>
            <w:r>
              <w:t xml:space="preserve">—</w:t>
            </w:r>
          </w:p>
        </w:tc>
        <w:tc>
          <w:tcPr/>
          <w:p>
            <w:pPr>
              <w:pStyle w:val="Compact"/>
              <w:jc w:val="left"/>
            </w:pPr>
            <w:r>
              <w:t xml:space="preserve">—</w:t>
            </w:r>
          </w:p>
        </w:tc>
      </w:tr>
      <w:tr>
        <w:tc>
          <w:tcPr/>
          <w:p>
            <w:pPr>
              <w:pStyle w:val="Compact"/>
              <w:jc w:val="left"/>
            </w:pPr>
            <w:r>
              <w:rPr>
                <w:rStyle w:val="VerbatimChar"/>
              </w:rPr>
              <w:t xml:space="preserve">SAFE.SeatbeltCompliance</w:t>
            </w:r>
          </w:p>
        </w:tc>
        <w:tc>
          <w:tcPr/>
          <w:p>
            <w:pPr>
              <w:pStyle w:val="Compact"/>
              <w:jc w:val="left"/>
            </w:pPr>
            <w:r>
              <w:t xml:space="preserve">Safety</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w:t>
            </w:r>
          </w:p>
        </w:tc>
        <w:tc>
          <w:tcPr/>
          <w:p>
            <w:pPr>
              <w:pStyle w:val="Compact"/>
              <w:jc w:val="left"/>
            </w:pPr>
            <w:r>
              <w:t xml:space="preserve">SafetyEvent</w:t>
            </w:r>
          </w:p>
        </w:tc>
        <w:tc>
          <w:tcPr/>
          <w:p>
            <w:pPr>
              <w:pStyle w:val="Compact"/>
              <w:jc w:val="left"/>
            </w:pPr>
            <w:r>
              <w:t xml:space="preserve">—</w:t>
            </w:r>
          </w:p>
        </w:tc>
        <w:tc>
          <w:tcPr/>
          <w:p>
            <w:pPr>
              <w:pStyle w:val="Compact"/>
              <w:jc w:val="left"/>
            </w:pPr>
            <w:r>
              <w:t xml:space="preserve">—</w:t>
            </w:r>
          </w:p>
        </w:tc>
      </w:tr>
      <w:tr>
        <w:tc>
          <w:tcPr/>
          <w:p>
            <w:pPr>
              <w:pStyle w:val="Compact"/>
              <w:jc w:val="left"/>
            </w:pPr>
            <w:r>
              <w:rPr>
                <w:rStyle w:val="VerbatimChar"/>
              </w:rPr>
              <w:t xml:space="preserve">SAFE.SpeedViolationRate</w:t>
            </w:r>
          </w:p>
        </w:tc>
        <w:tc>
          <w:tcPr/>
          <w:p>
            <w:pPr>
              <w:pStyle w:val="Compact"/>
              <w:jc w:val="left"/>
            </w:pPr>
            <w:r>
              <w:t xml:space="preserve">Safety</w:t>
            </w:r>
          </w:p>
        </w:tc>
        <w:tc>
          <w:tcPr/>
          <w:p>
            <w:pPr>
              <w:pStyle w:val="Compact"/>
              <w:jc w:val="left"/>
            </w:pPr>
            <w:r>
              <w:t xml:space="preserve">Active</w:t>
            </w:r>
          </w:p>
        </w:tc>
        <w:tc>
          <w:tcPr/>
          <w:p>
            <w:pPr>
              <w:pStyle w:val="Compact"/>
              <w:jc w:val="left"/>
            </w:pPr>
            <w:r>
              <w:t xml:space="preserve">1.0.0</w:t>
            </w:r>
          </w:p>
        </w:tc>
        <w:tc>
          <w:tcPr/>
          <w:p>
            <w:pPr>
              <w:pStyle w:val="Compact"/>
              <w:jc w:val="left"/>
            </w:pPr>
            <w:r>
              <w:t xml:space="preserve">per 100 h</w:t>
            </w:r>
          </w:p>
        </w:tc>
        <w:tc>
          <w:tcPr/>
          <w:p>
            <w:pPr>
              <w:pStyle w:val="Compact"/>
              <w:jc w:val="left"/>
            </w:pPr>
            <w:r>
              <w:t xml:space="preserve">SafetyEvent</w:t>
            </w:r>
          </w:p>
        </w:tc>
        <w:tc>
          <w:tcPr/>
          <w:p>
            <w:pPr>
              <w:pStyle w:val="Compact"/>
              <w:jc w:val="left"/>
            </w:pPr>
            <w:r>
              <w:t xml:space="preserve">—</w:t>
            </w:r>
          </w:p>
        </w:tc>
        <w:tc>
          <w:tcPr/>
          <w:p>
            <w:pPr>
              <w:pStyle w:val="Compact"/>
              <w:jc w:val="left"/>
            </w:pPr>
            <w:r>
              <w:t xml:space="preserve">—</w:t>
            </w:r>
          </w:p>
        </w:tc>
      </w:tr>
      <w:tr>
        <w:tc>
          <w:tcPr/>
          <w:p>
            <w:pPr>
              <w:pStyle w:val="Compact"/>
              <w:jc w:val="left"/>
            </w:pPr>
            <w:r>
              <w:rPr>
                <w:rStyle w:val="VerbatimChar"/>
              </w:rPr>
              <w:t xml:space="preserve">SAFE.TRIFR</w:t>
            </w:r>
          </w:p>
        </w:tc>
        <w:tc>
          <w:tcPr/>
          <w:p>
            <w:pPr>
              <w:pStyle w:val="Compact"/>
              <w:jc w:val="left"/>
            </w:pPr>
            <w:r>
              <w:t xml:space="preserve">Safety</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per M h</w:t>
            </w:r>
          </w:p>
        </w:tc>
        <w:tc>
          <w:tcPr/>
          <w:p>
            <w:pPr>
              <w:pStyle w:val="Compact"/>
              <w:jc w:val="left"/>
            </w:pPr>
            <w:r>
              <w:t xml:space="preserve">SafetyEvent</w:t>
            </w:r>
          </w:p>
        </w:tc>
        <w:tc>
          <w:tcPr/>
          <w:p>
            <w:pPr>
              <w:pStyle w:val="Compact"/>
              <w:jc w:val="left"/>
            </w:pPr>
            <w:r>
              <w:t xml:space="preserve">—</w:t>
            </w:r>
          </w:p>
        </w:tc>
        <w:tc>
          <w:tcPr/>
          <w:p>
            <w:pPr>
              <w:pStyle w:val="Compact"/>
              <w:jc w:val="left"/>
            </w:pPr>
            <w:r>
              <w:t xml:space="preserve">alias TotalRecordableInjuryFR</w:t>
            </w:r>
          </w:p>
        </w:tc>
      </w:tr>
      <w:tr>
        <w:tc>
          <w:tcPr/>
          <w:p>
            <w:pPr>
              <w:pStyle w:val="Compact"/>
              <w:jc w:val="left"/>
            </w:pPr>
            <w:r>
              <w:rPr>
                <w:rStyle w:val="VerbatimChar"/>
              </w:rPr>
              <w:t xml:space="preserve">AUTO.AutonomousUtilisation</w:t>
            </w:r>
          </w:p>
        </w:tc>
        <w:tc>
          <w:tcPr/>
          <w:p>
            <w:pPr>
              <w:pStyle w:val="Compact"/>
              <w:jc w:val="left"/>
            </w:pPr>
            <w:r>
              <w:t xml:space="preserve">Autonomous</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w:t>
            </w:r>
          </w:p>
        </w:tc>
        <w:tc>
          <w:tcPr/>
          <w:p>
            <w:pPr>
              <w:pStyle w:val="Compact"/>
              <w:jc w:val="left"/>
            </w:pPr>
            <w:r>
              <w:t xml:space="preserve">AutonomyEvent, DelayEvent</w:t>
            </w:r>
          </w:p>
        </w:tc>
        <w:tc>
          <w:tcPr/>
          <w:p>
            <w:pPr>
              <w:pStyle w:val="Compact"/>
              <w:jc w:val="left"/>
            </w:pPr>
            <w:r>
              <w:t xml:space="preserve">UTIL.EU</w:t>
            </w:r>
          </w:p>
        </w:tc>
        <w:tc>
          <w:tcPr/>
          <w:p>
            <w:pPr>
              <w:pStyle w:val="Compact"/>
              <w:jc w:val="left"/>
            </w:pPr>
            <w:r>
              <w:t xml:space="preserve">—</w:t>
            </w:r>
          </w:p>
        </w:tc>
      </w:tr>
      <w:tr>
        <w:tc>
          <w:tcPr/>
          <w:p>
            <w:pPr>
              <w:pStyle w:val="Compact"/>
              <w:jc w:val="left"/>
            </w:pPr>
            <w:r>
              <w:rPr>
                <w:rStyle w:val="VerbatimChar"/>
              </w:rPr>
              <w:t xml:space="preserve">AUTO.InterventionRate</w:t>
            </w:r>
          </w:p>
        </w:tc>
        <w:tc>
          <w:tcPr/>
          <w:p>
            <w:pPr>
              <w:pStyle w:val="Compact"/>
              <w:jc w:val="left"/>
            </w:pPr>
            <w:r>
              <w:t xml:space="preserve">Autonomous</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per 100 h</w:t>
            </w:r>
          </w:p>
        </w:tc>
        <w:tc>
          <w:tcPr/>
          <w:p>
            <w:pPr>
              <w:pStyle w:val="Compact"/>
              <w:jc w:val="left"/>
            </w:pPr>
            <w:r>
              <w:t xml:space="preserve">AutonomyEvent</w:t>
            </w:r>
          </w:p>
        </w:tc>
        <w:tc>
          <w:tcPr/>
          <w:p>
            <w:pPr>
              <w:pStyle w:val="Compact"/>
              <w:jc w:val="left"/>
            </w:pPr>
            <w:r>
              <w:t xml:space="preserve">—</w:t>
            </w:r>
          </w:p>
        </w:tc>
        <w:tc>
          <w:tcPr/>
          <w:p>
            <w:pPr>
              <w:pStyle w:val="Compact"/>
              <w:jc w:val="left"/>
            </w:pPr>
            <w:r>
              <w:t xml:space="preserve">—</w:t>
            </w:r>
          </w:p>
        </w:tc>
      </w:tr>
      <w:tr>
        <w:tc>
          <w:tcPr/>
          <w:p>
            <w:pPr>
              <w:pStyle w:val="Compact"/>
              <w:jc w:val="left"/>
            </w:pPr>
            <w:r>
              <w:rPr>
                <w:rStyle w:val="VerbatimChar"/>
              </w:rPr>
              <w:t xml:space="preserve">AUTO.MeanDistanceBetweenInterventions</w:t>
            </w:r>
          </w:p>
        </w:tc>
        <w:tc>
          <w:tcPr/>
          <w:p>
            <w:pPr>
              <w:pStyle w:val="Compact"/>
              <w:jc w:val="left"/>
            </w:pPr>
            <w:r>
              <w:t xml:space="preserve">Autonomous</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km</w:t>
            </w:r>
          </w:p>
        </w:tc>
        <w:tc>
          <w:tcPr/>
          <w:p>
            <w:pPr>
              <w:pStyle w:val="Compact"/>
              <w:jc w:val="left"/>
            </w:pPr>
            <w:r>
              <w:t xml:space="preserve">AutonomyEvent</w:t>
            </w:r>
          </w:p>
        </w:tc>
        <w:tc>
          <w:tcPr/>
          <w:p>
            <w:pPr>
              <w:pStyle w:val="Compact"/>
              <w:jc w:val="left"/>
            </w:pPr>
            <w:r>
              <w:t xml:space="preserve">—</w:t>
            </w:r>
          </w:p>
        </w:tc>
        <w:tc>
          <w:tcPr/>
          <w:p>
            <w:pPr>
              <w:pStyle w:val="Compact"/>
              <w:jc w:val="left"/>
            </w:pPr>
            <w:r>
              <w:t xml:space="preserve">—</w:t>
            </w:r>
          </w:p>
        </w:tc>
      </w:tr>
      <w:tr>
        <w:tc>
          <w:tcPr/>
          <w:p>
            <w:pPr>
              <w:pStyle w:val="Compact"/>
              <w:jc w:val="left"/>
            </w:pPr>
            <w:r>
              <w:rPr>
                <w:rStyle w:val="VerbatimChar"/>
              </w:rPr>
              <w:t xml:space="preserve">TWIN.PredictedAvailability</w:t>
            </w:r>
          </w:p>
        </w:tc>
        <w:tc>
          <w:tcPr/>
          <w:p>
            <w:pPr>
              <w:pStyle w:val="Compact"/>
              <w:jc w:val="left"/>
            </w:pPr>
            <w:r>
              <w:t xml:space="preserve">Digital Twin</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w:t>
            </w:r>
          </w:p>
        </w:tc>
        <w:tc>
          <w:tcPr/>
          <w:p>
            <w:pPr>
              <w:pStyle w:val="Compact"/>
              <w:jc w:val="left"/>
            </w:pPr>
            <w:r>
              <w:t xml:space="preserve">TelemetryEvent</w:t>
            </w:r>
          </w:p>
        </w:tc>
        <w:tc>
          <w:tcPr/>
          <w:p>
            <w:pPr>
              <w:pStyle w:val="Compact"/>
              <w:jc w:val="left"/>
            </w:pPr>
            <w:r>
              <w:t xml:space="preserve">UTIL.PA, MAINT.MTBF</w:t>
            </w:r>
          </w:p>
        </w:tc>
        <w:tc>
          <w:tcPr/>
          <w:p>
            <w:pPr>
              <w:pStyle w:val="Compact"/>
              <w:jc w:val="left"/>
            </w:pPr>
            <w:r>
              <w:t xml:space="preserve">—</w:t>
            </w:r>
          </w:p>
        </w:tc>
      </w:tr>
      <w:tr>
        <w:tc>
          <w:tcPr/>
          <w:p>
            <w:pPr>
              <w:pStyle w:val="Compact"/>
              <w:jc w:val="left"/>
            </w:pPr>
            <w:r>
              <w:rPr>
                <w:rStyle w:val="VerbatimChar"/>
              </w:rPr>
              <w:t xml:space="preserve">TWIN.SimulatedThroughput</w:t>
            </w:r>
          </w:p>
        </w:tc>
        <w:tc>
          <w:tcPr/>
          <w:p>
            <w:pPr>
              <w:pStyle w:val="Compact"/>
              <w:jc w:val="left"/>
            </w:pPr>
            <w:r>
              <w:t xml:space="preserve">Digital Twin</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t/h</w:t>
            </w:r>
          </w:p>
        </w:tc>
        <w:tc>
          <w:tcPr/>
          <w:p>
            <w:pPr>
              <w:pStyle w:val="Compact"/>
              <w:jc w:val="left"/>
            </w:pPr>
            <w:r>
              <w:t xml:space="preserve">TelemetryEvent</w:t>
            </w:r>
          </w:p>
        </w:tc>
        <w:tc>
          <w:tcPr/>
          <w:p>
            <w:pPr>
              <w:pStyle w:val="Compact"/>
              <w:jc w:val="left"/>
            </w:pPr>
            <w:r>
              <w:t xml:space="preserve">PROD.TPH, HAUL.MatchFactor</w:t>
            </w:r>
          </w:p>
        </w:tc>
        <w:tc>
          <w:tcPr/>
          <w:p>
            <w:pPr>
              <w:pStyle w:val="Compact"/>
              <w:jc w:val="left"/>
            </w:pPr>
            <w:r>
              <w:t xml:space="preserve">—</w:t>
            </w:r>
          </w:p>
        </w:tc>
      </w:tr>
      <w:tr>
        <w:tc>
          <w:tcPr/>
          <w:p>
            <w:pPr>
              <w:pStyle w:val="Compact"/>
              <w:jc w:val="left"/>
            </w:pPr>
            <w:r>
              <w:rPr>
                <w:rStyle w:val="VerbatimChar"/>
              </w:rPr>
              <w:t xml:space="preserve">TWIN.StateSyncLatency</w:t>
            </w:r>
          </w:p>
        </w:tc>
        <w:tc>
          <w:tcPr/>
          <w:p>
            <w:pPr>
              <w:pStyle w:val="Compact"/>
              <w:jc w:val="left"/>
            </w:pPr>
            <w:r>
              <w:t xml:space="preserve">Digital Twin</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s</w:t>
            </w:r>
          </w:p>
        </w:tc>
        <w:tc>
          <w:tcPr/>
          <w:p>
            <w:pPr>
              <w:pStyle w:val="Compact"/>
              <w:jc w:val="left"/>
            </w:pPr>
            <w:r>
              <w:t xml:space="preserve">TelemetryEvent</w:t>
            </w:r>
          </w:p>
        </w:tc>
        <w:tc>
          <w:tcPr/>
          <w:p>
            <w:pPr>
              <w:pStyle w:val="Compact"/>
              <w:jc w:val="left"/>
            </w:pPr>
            <w:r>
              <w:t xml:space="preserve">—</w:t>
            </w:r>
          </w:p>
        </w:tc>
        <w:tc>
          <w:tcPr/>
          <w:p>
            <w:pPr>
              <w:pStyle w:val="Compact"/>
              <w:jc w:val="left"/>
            </w:pPr>
            <w:r>
              <w:t xml:space="preserve">—</w:t>
            </w:r>
          </w:p>
        </w:tc>
      </w:tr>
      <w:tr>
        <w:tc>
          <w:tcPr/>
          <w:p>
            <w:pPr>
              <w:pStyle w:val="Compact"/>
              <w:jc w:val="left"/>
            </w:pPr>
            <w:r>
              <w:rPr>
                <w:rStyle w:val="VerbatimChar"/>
              </w:rPr>
              <w:t xml:space="preserve">DI.DecisionLatency</w:t>
            </w:r>
          </w:p>
        </w:tc>
        <w:tc>
          <w:tcPr/>
          <w:p>
            <w:pPr>
              <w:pStyle w:val="Compact"/>
              <w:jc w:val="left"/>
            </w:pPr>
            <w:r>
              <w:t xml:space="preserve">Decision Intelligence</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s</w:t>
            </w:r>
          </w:p>
        </w:tc>
        <w:tc>
          <w:tcPr/>
          <w:p>
            <w:pPr>
              <w:pStyle w:val="Compact"/>
              <w:jc w:val="left"/>
            </w:pPr>
            <w:r>
              <w:t xml:space="preserve">DecisionEvent</w:t>
            </w:r>
          </w:p>
        </w:tc>
        <w:tc>
          <w:tcPr/>
          <w:p>
            <w:pPr>
              <w:pStyle w:val="Compact"/>
              <w:jc w:val="left"/>
            </w:pPr>
            <w:r>
              <w:t xml:space="preserve">—</w:t>
            </w:r>
          </w:p>
        </w:tc>
        <w:tc>
          <w:tcPr/>
          <w:p>
            <w:pPr>
              <w:pStyle w:val="Compact"/>
              <w:jc w:val="left"/>
            </w:pPr>
            <w:r>
              <w:t xml:space="preserve">—</w:t>
            </w:r>
          </w:p>
        </w:tc>
      </w:tr>
      <w:tr>
        <w:tc>
          <w:tcPr/>
          <w:p>
            <w:pPr>
              <w:pStyle w:val="Compact"/>
              <w:jc w:val="left"/>
            </w:pPr>
            <w:r>
              <w:rPr>
                <w:rStyle w:val="VerbatimChar"/>
              </w:rPr>
              <w:t xml:space="preserve">DI.RealisedUplift</w:t>
            </w:r>
          </w:p>
        </w:tc>
        <w:tc>
          <w:tcPr/>
          <w:p>
            <w:pPr>
              <w:pStyle w:val="Compact"/>
              <w:jc w:val="left"/>
            </w:pPr>
            <w:r>
              <w:t xml:space="preserve">Decision Intelligence</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t or $</w:t>
            </w:r>
          </w:p>
        </w:tc>
        <w:tc>
          <w:tcPr/>
          <w:p>
            <w:pPr>
              <w:pStyle w:val="Compact"/>
              <w:jc w:val="left"/>
            </w:pPr>
            <w:r>
              <w:t xml:space="preserve">DecisionEvent</w:t>
            </w:r>
          </w:p>
        </w:tc>
        <w:tc>
          <w:tcPr/>
          <w:p>
            <w:pPr>
              <w:pStyle w:val="Compact"/>
              <w:jc w:val="left"/>
            </w:pPr>
            <w:r>
              <w:t xml:space="preserve">PROD.TPH, COST.CostPerTonne</w:t>
            </w:r>
          </w:p>
        </w:tc>
        <w:tc>
          <w:tcPr/>
          <w:p>
            <w:pPr>
              <w:pStyle w:val="Compact"/>
              <w:jc w:val="left"/>
            </w:pPr>
            <w:r>
              <w:t xml:space="preserve">—</w:t>
            </w:r>
          </w:p>
        </w:tc>
      </w:tr>
      <w:tr>
        <w:tc>
          <w:tcPr/>
          <w:p>
            <w:pPr>
              <w:pStyle w:val="Compact"/>
              <w:jc w:val="left"/>
            </w:pPr>
            <w:r>
              <w:rPr>
                <w:rStyle w:val="VerbatimChar"/>
              </w:rPr>
              <w:t xml:space="preserve">DI.RecommendationYield</w:t>
            </w:r>
          </w:p>
        </w:tc>
        <w:tc>
          <w:tcPr/>
          <w:p>
            <w:pPr>
              <w:pStyle w:val="Compact"/>
              <w:jc w:val="left"/>
            </w:pPr>
            <w:r>
              <w:t xml:space="preserve">Decision Intelligence</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w:t>
            </w:r>
          </w:p>
        </w:tc>
        <w:tc>
          <w:tcPr/>
          <w:p>
            <w:pPr>
              <w:pStyle w:val="Compact"/>
              <w:jc w:val="left"/>
            </w:pPr>
            <w:r>
              <w:t xml:space="preserve">DecisionEvent</w:t>
            </w:r>
          </w:p>
        </w:tc>
        <w:tc>
          <w:tcPr/>
          <w:p>
            <w:pPr>
              <w:pStyle w:val="Compact"/>
              <w:jc w:val="left"/>
            </w:pPr>
            <w:r>
              <w:t xml:space="preserve">—</w:t>
            </w:r>
          </w:p>
        </w:tc>
        <w:tc>
          <w:tcPr/>
          <w:p>
            <w:pPr>
              <w:pStyle w:val="Compact"/>
              <w:jc w:val="left"/>
            </w:pPr>
            <w:r>
              <w:t xml:space="preserve">—</w:t>
            </w:r>
          </w:p>
        </w:tc>
      </w:tr>
      <w:tr>
        <w:tc>
          <w:tcPr/>
          <w:p>
            <w:pPr>
              <w:pStyle w:val="Compact"/>
              <w:jc w:val="left"/>
            </w:pPr>
            <w:r>
              <w:rPr>
                <w:rStyle w:val="VerbatimChar"/>
              </w:rPr>
              <w:t xml:space="preserve">AI.AnomalyScore</w:t>
            </w:r>
          </w:p>
        </w:tc>
        <w:tc>
          <w:tcPr/>
          <w:p>
            <w:pPr>
              <w:pStyle w:val="Compact"/>
              <w:jc w:val="left"/>
            </w:pPr>
            <w:r>
              <w:t xml:space="preserve">AI-derived</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z-score</w:t>
            </w:r>
          </w:p>
        </w:tc>
        <w:tc>
          <w:tcPr/>
          <w:p>
            <w:pPr>
              <w:pStyle w:val="Compact"/>
              <w:jc w:val="left"/>
            </w:pPr>
            <w:r>
              <w:t xml:space="preserve">TelemetryEvent</w:t>
            </w:r>
          </w:p>
        </w:tc>
        <w:tc>
          <w:tcPr/>
          <w:p>
            <w:pPr>
              <w:pStyle w:val="Compact"/>
              <w:jc w:val="left"/>
            </w:pPr>
            <w:r>
              <w:t xml:space="preserve">—</w:t>
            </w:r>
          </w:p>
        </w:tc>
        <w:tc>
          <w:tcPr/>
          <w:p>
            <w:pPr>
              <w:pStyle w:val="Compact"/>
              <w:jc w:val="left"/>
            </w:pPr>
            <w:r>
              <w:t xml:space="preserve">—</w:t>
            </w:r>
          </w:p>
        </w:tc>
      </w:tr>
      <w:tr>
        <w:tc>
          <w:tcPr/>
          <w:p>
            <w:pPr>
              <w:pStyle w:val="Compact"/>
              <w:jc w:val="left"/>
            </w:pPr>
            <w:r>
              <w:rPr>
                <w:rStyle w:val="VerbatimChar"/>
              </w:rPr>
              <w:t xml:space="preserve">AI.FailureProbability</w:t>
            </w:r>
          </w:p>
        </w:tc>
        <w:tc>
          <w:tcPr/>
          <w:p>
            <w:pPr>
              <w:pStyle w:val="Compact"/>
              <w:jc w:val="left"/>
            </w:pPr>
            <w:r>
              <w:t xml:space="preserve">AI-derived</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w:t>
            </w:r>
          </w:p>
        </w:tc>
        <w:tc>
          <w:tcPr/>
          <w:p>
            <w:pPr>
              <w:pStyle w:val="Compact"/>
              <w:jc w:val="left"/>
            </w:pPr>
            <w:r>
              <w:t xml:space="preserve">TelemetryEvent</w:t>
            </w:r>
          </w:p>
        </w:tc>
        <w:tc>
          <w:tcPr/>
          <w:p>
            <w:pPr>
              <w:pStyle w:val="Compact"/>
              <w:jc w:val="left"/>
            </w:pPr>
            <w:r>
              <w:t xml:space="preserve">MAINT.MTBF</w:t>
            </w:r>
          </w:p>
        </w:tc>
        <w:tc>
          <w:tcPr/>
          <w:p>
            <w:pPr>
              <w:pStyle w:val="Compact"/>
              <w:jc w:val="left"/>
            </w:pPr>
            <w:r>
              <w:t xml:space="preserve">—</w:t>
            </w:r>
          </w:p>
        </w:tc>
      </w:tr>
      <w:tr>
        <w:tc>
          <w:tcPr/>
          <w:p>
            <w:pPr>
              <w:pStyle w:val="Compact"/>
              <w:jc w:val="left"/>
            </w:pPr>
            <w:r>
              <w:rPr>
                <w:rStyle w:val="VerbatimChar"/>
              </w:rPr>
              <w:t xml:space="preserve">AI.ForecastTPH</w:t>
            </w:r>
          </w:p>
        </w:tc>
        <w:tc>
          <w:tcPr/>
          <w:p>
            <w:pPr>
              <w:pStyle w:val="Compact"/>
              <w:jc w:val="left"/>
            </w:pPr>
            <w:r>
              <w:t xml:space="preserve">AI-derived</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t/h</w:t>
            </w:r>
          </w:p>
        </w:tc>
        <w:tc>
          <w:tcPr/>
          <w:p>
            <w:pPr>
              <w:pStyle w:val="Compact"/>
              <w:jc w:val="left"/>
            </w:pPr>
            <w:r>
              <w:t xml:space="preserve">CycleEvent</w:t>
            </w:r>
          </w:p>
        </w:tc>
        <w:tc>
          <w:tcPr/>
          <w:p>
            <w:pPr>
              <w:pStyle w:val="Compact"/>
              <w:jc w:val="left"/>
            </w:pPr>
            <w:r>
              <w:t xml:space="preserve">PROD.TPH</w:t>
            </w:r>
          </w:p>
        </w:tc>
        <w:tc>
          <w:tcPr/>
          <w:p>
            <w:pPr>
              <w:pStyle w:val="Compact"/>
              <w:jc w:val="left"/>
            </w:pPr>
            <w:r>
              <w:t xml:space="preserve">—</w:t>
            </w:r>
          </w:p>
        </w:tc>
      </w:tr>
      <w:tr>
        <w:tc>
          <w:tcPr/>
          <w:p>
            <w:pPr>
              <w:pStyle w:val="Compact"/>
              <w:jc w:val="left"/>
            </w:pPr>
            <w:r>
              <w:rPr>
                <w:rStyle w:val="VerbatimChar"/>
              </w:rPr>
              <w:t xml:space="preserve">AI.OptimalAssignment</w:t>
            </w:r>
          </w:p>
        </w:tc>
        <w:tc>
          <w:tcPr/>
          <w:p>
            <w:pPr>
              <w:pStyle w:val="Compact"/>
              <w:jc w:val="left"/>
            </w:pPr>
            <w:r>
              <w:t xml:space="preserve">AI-derived</w:t>
            </w:r>
          </w:p>
        </w:tc>
        <w:tc>
          <w:tcPr/>
          <w:p>
            <w:pPr>
              <w:pStyle w:val="Compact"/>
              <w:jc w:val="left"/>
            </w:pPr>
            <w:r>
              <w:t xml:space="preserve">Registered</w:t>
            </w:r>
          </w:p>
        </w:tc>
        <w:tc>
          <w:tcPr/>
          <w:p>
            <w:pPr>
              <w:pStyle w:val="Compact"/>
              <w:jc w:val="left"/>
            </w:pPr>
            <w:r>
              <w:t xml:space="preserve">1.0.0</w:t>
            </w:r>
          </w:p>
        </w:tc>
        <w:tc>
          <w:tcPr/>
          <w:p>
            <w:pPr>
              <w:pStyle w:val="Compact"/>
              <w:jc w:val="left"/>
            </w:pPr>
            <w:r>
              <w:t xml:space="preserve">assignment</w:t>
            </w:r>
          </w:p>
        </w:tc>
        <w:tc>
          <w:tcPr/>
          <w:p>
            <w:pPr>
              <w:pStyle w:val="Compact"/>
              <w:jc w:val="left"/>
            </w:pPr>
            <w:r>
              <w:t xml:space="preserve">CycleEvent</w:t>
            </w:r>
          </w:p>
        </w:tc>
        <w:tc>
          <w:tcPr/>
          <w:p>
            <w:pPr>
              <w:pStyle w:val="Compact"/>
              <w:jc w:val="left"/>
            </w:pPr>
            <w:r>
              <w:t xml:space="preserve">HAUL.MatchFactor, DISP.AssignmentEfficiency</w:t>
            </w:r>
          </w:p>
        </w:tc>
        <w:tc>
          <w:tcPr/>
          <w:p>
            <w:pPr>
              <w:pStyle w:val="Compact"/>
              <w:jc w:val="left"/>
            </w:pPr>
            <w:r>
              <w:t xml:space="preserve">—</w:t>
            </w:r>
          </w:p>
        </w:tc>
      </w:tr>
    </w:tbl>
    <w:p>
      <w:r>
        <w:br w:type="page"/>
      </w:r>
    </w:p>
    <w:bookmarkEnd w:id="125"/>
    <w:bookmarkStart w:id="126" w:name="table-a.2-applicability-mapping"/>
    <w:p>
      <w:pPr>
        <w:pStyle w:val="Heading2"/>
      </w:pPr>
      <w:bookmarkStart w:id="900075" w:name="_TocMP900075"/>
      <w:r>
        <w:t xml:space="preserve">Table A.2 — Applicability &amp; Mapping</w:t>
      </w:r>
      <w:bookmarkEnd w:id="900075"/>
    </w:p>
    <w:p>
      <w:pPr>
        <w:pStyle w:val="FirstParagraph"/>
      </w:pPr>
      <w:r>
        <w:t xml:space="preserve">Method applicability = mining methods the KPI is defined for; Commodity applicability = commodity scope; Implementation Class = the canonical module path; Required Ontology = the entities the KPI reads; Cross-References use the codes </w:t>
      </w:r>
      <w:r>
        <w:rPr>
          <w:bCs/>
          <w:b/>
        </w:rPr>
        <w:t xml:space="preserve">AH</w:t>
      </w:r>
      <w:r>
        <w:t xml:space="preserve"> (Master Architecture Handbook), </w:t>
      </w:r>
      <w:r>
        <w:rPr>
          <w:bCs/>
          <w:b/>
        </w:rPr>
        <w:t xml:space="preserve">BP</w:t>
      </w:r>
      <w:r>
        <w:t xml:space="preserve"> (Reference Implementation Blueprint), </w:t>
      </w:r>
      <w:r>
        <w:rPr>
          <w:bCs/>
          <w:b/>
        </w:rPr>
        <w:t xml:space="preserve">P1</w:t>
      </w:r>
      <w:r>
        <w:t xml:space="preserve"> (Developer &amp; Cookbook Guide Part I), </w:t>
      </w:r>
      <w:r>
        <w:rPr>
          <w:bCs/>
          <w:b/>
        </w:rPr>
        <w:t xml:space="preserve">P2</w:t>
      </w:r>
      <w:r>
        <w:t xml:space="preserve"> (Part II).</w:t>
      </w:r>
    </w:p>
    <w:tbl>
      <w:tblPr>
        <w:tblStyle w:val="Table"/>
        <w:tblW w:type="pct" w:w="5000"/>
        <w:tblLook w:firstRow="1" w:lastRow="0" w:firstColumn="0" w:lastColumn="0" w:noHBand="0" w:noVBand="0" w:val="0020"/>
        <w:jc w:val="start"/>
      </w:tblPr>
      <w:tblGrid>
        <w:gridCol w:w="1320"/>
        <w:gridCol w:w="1320"/>
        <w:gridCol w:w="1320"/>
        <w:gridCol w:w="1320"/>
        <w:gridCol w:w="1320"/>
        <w:gridCol w:w="1320"/>
      </w:tblGrid>
      <w:tr>
        <w:trPr>
          <w:tblHeader w:val="true"/>
        </w:trPr>
        <w:tc>
          <w:tcPr/>
          <w:p>
            <w:pPr>
              <w:pStyle w:val="Compact"/>
              <w:jc w:val="left"/>
            </w:pPr>
            <w:r>
              <w:t xml:space="preserve">Identifier</w:t>
            </w:r>
          </w:p>
        </w:tc>
        <w:tc>
          <w:tcPr/>
          <w:p>
            <w:pPr>
              <w:pStyle w:val="Compact"/>
              <w:jc w:val="left"/>
            </w:pPr>
            <w:r>
              <w:t xml:space="preserve">Method</w:t>
            </w:r>
          </w:p>
        </w:tc>
        <w:tc>
          <w:tcPr/>
          <w:p>
            <w:pPr>
              <w:pStyle w:val="Compact"/>
              <w:jc w:val="left"/>
            </w:pPr>
            <w:r>
              <w:t xml:space="preserve">Commodity</w:t>
            </w:r>
          </w:p>
        </w:tc>
        <w:tc>
          <w:tcPr/>
          <w:p>
            <w:pPr>
              <w:pStyle w:val="Compact"/>
              <w:jc w:val="left"/>
            </w:pPr>
            <w:r>
              <w:t xml:space="preserve">Implementation Class</w:t>
            </w:r>
          </w:p>
        </w:tc>
        <w:tc>
          <w:tcPr/>
          <w:p>
            <w:pPr>
              <w:pStyle w:val="Compact"/>
              <w:jc w:val="left"/>
            </w:pPr>
            <w:r>
              <w:t xml:space="preserve">Required Ontology</w:t>
            </w:r>
          </w:p>
        </w:tc>
        <w:tc>
          <w:tcPr/>
          <w:p>
            <w:pPr>
              <w:pStyle w:val="Compact"/>
              <w:jc w:val="left"/>
            </w:pPr>
            <w:r>
              <w:t xml:space="preserve">Cross-References</w:t>
            </w:r>
          </w:p>
        </w:tc>
      </w:tr>
      <w:tr>
        <w:tc>
          <w:tcPr/>
          <w:p>
            <w:pPr>
              <w:pStyle w:val="Compact"/>
              <w:jc w:val="left"/>
            </w:pPr>
            <w:r>
              <w:rPr>
                <w:rStyle w:val="VerbatimChar"/>
              </w:rPr>
              <w:t xml:space="preserve">PROD.BCMPerHour</w:t>
            </w:r>
          </w:p>
        </w:tc>
        <w:tc>
          <w:tcPr/>
          <w:p>
            <w:pPr>
              <w:pStyle w:val="Compact"/>
              <w:jc w:val="left"/>
            </w:pPr>
            <w:r>
              <w:t xml:space="preserve">OpenPit</w:t>
            </w:r>
          </w:p>
        </w:tc>
        <w:tc>
          <w:tcPr/>
          <w:p>
            <w:pPr>
              <w:pStyle w:val="Compact"/>
              <w:jc w:val="left"/>
            </w:pPr>
            <w:r>
              <w:t xml:space="preserve">All bulk</w:t>
            </w:r>
          </w:p>
        </w:tc>
        <w:tc>
          <w:tcPr/>
          <w:p>
            <w:pPr>
              <w:pStyle w:val="Compact"/>
              <w:jc w:val="left"/>
            </w:pPr>
            <w:r>
              <w:rPr>
                <w:rStyle w:val="VerbatimChar"/>
              </w:rPr>
              <w:t xml:space="preserve">mineproductivity.kpis.production.BcmPerHour</w:t>
            </w:r>
          </w:p>
        </w:tc>
        <w:tc>
          <w:tcPr/>
          <w:p>
            <w:pPr>
              <w:pStyle w:val="Compact"/>
              <w:jc w:val="left"/>
            </w:pPr>
            <w:r>
              <w:t xml:space="preserve">Equipment, Material</w:t>
            </w:r>
          </w:p>
        </w:tc>
        <w:tc>
          <w:tcPr/>
          <w:p>
            <w:pPr>
              <w:pStyle w:val="Compact"/>
              <w:jc w:val="left"/>
            </w:pPr>
            <w:r>
              <w:t xml:space="preserve">AH KPI-ontology; P2 Ch18</w:t>
            </w:r>
          </w:p>
        </w:tc>
      </w:tr>
      <w:tr>
        <w:tc>
          <w:tcPr/>
          <w:p>
            <w:pPr>
              <w:pStyle w:val="Compact"/>
              <w:jc w:val="left"/>
            </w:pPr>
            <w:r>
              <w:rPr>
                <w:rStyle w:val="VerbatimChar"/>
              </w:rPr>
              <w:t xml:space="preserve">PROD.BucketFillFactor</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mineproductivity.kpis.production.BucketFillFactor</w:t>
            </w:r>
          </w:p>
        </w:tc>
        <w:tc>
          <w:tcPr/>
          <w:p>
            <w:pPr>
              <w:pStyle w:val="Compact"/>
              <w:jc w:val="left"/>
            </w:pPr>
            <w:r>
              <w:t xml:space="preserve">Loader, Material</w:t>
            </w:r>
          </w:p>
        </w:tc>
        <w:tc>
          <w:tcPr/>
          <w:p>
            <w:pPr>
              <w:pStyle w:val="Compact"/>
              <w:jc w:val="left"/>
            </w:pPr>
            <w:r>
              <w:t xml:space="preserve">P2 Ch15</w:t>
            </w:r>
          </w:p>
        </w:tc>
      </w:tr>
      <w:tr>
        <w:tc>
          <w:tcPr/>
          <w:p>
            <w:pPr>
              <w:pStyle w:val="Compact"/>
              <w:jc w:val="left"/>
            </w:pPr>
            <w:r>
              <w:rPr>
                <w:rStyle w:val="VerbatimChar"/>
              </w:rPr>
              <w:t xml:space="preserve">PROD.DevelopmentRate</w:t>
            </w:r>
          </w:p>
        </w:tc>
        <w:tc>
          <w:tcPr/>
          <w:p>
            <w:pPr>
              <w:pStyle w:val="Compact"/>
              <w:jc w:val="left"/>
            </w:pPr>
            <w:r>
              <w:t xml:space="preserve">Underground</w:t>
            </w:r>
          </w:p>
        </w:tc>
        <w:tc>
          <w:tcPr/>
          <w:p>
            <w:pPr>
              <w:pStyle w:val="Compact"/>
              <w:jc w:val="left"/>
            </w:pPr>
            <w:r>
              <w:t xml:space="preserve">All</w:t>
            </w:r>
          </w:p>
        </w:tc>
        <w:tc>
          <w:tcPr/>
          <w:p>
            <w:pPr>
              <w:pStyle w:val="Compact"/>
              <w:jc w:val="left"/>
            </w:pPr>
            <w:r>
              <w:rPr>
                <w:rStyle w:val="VerbatimChar"/>
              </w:rPr>
              <w:t xml:space="preserve">mineproductivity.kpis.production.DevelopmentRate</w:t>
            </w:r>
          </w:p>
        </w:tc>
        <w:tc>
          <w:tcPr/>
          <w:p>
            <w:pPr>
              <w:pStyle w:val="Compact"/>
              <w:jc w:val="left"/>
            </w:pPr>
            <w:r>
              <w:t xml:space="preserve">Heading, Crew</w:t>
            </w:r>
          </w:p>
        </w:tc>
        <w:tc>
          <w:tcPr/>
          <w:p>
            <w:pPr>
              <w:pStyle w:val="Compact"/>
              <w:jc w:val="left"/>
            </w:pPr>
            <w:r>
              <w:t xml:space="preserve">AH event-model; P2 Ch14</w:t>
            </w:r>
          </w:p>
        </w:tc>
      </w:tr>
      <w:tr>
        <w:tc>
          <w:tcPr/>
          <w:p>
            <w:pPr>
              <w:pStyle w:val="Compact"/>
              <w:jc w:val="left"/>
            </w:pPr>
            <w:r>
              <w:rPr>
                <w:rStyle w:val="VerbatimChar"/>
              </w:rPr>
              <w:t xml:space="preserve">PROD.DigRate</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mineproductivity.kpis.production.DigRate</w:t>
            </w:r>
          </w:p>
        </w:tc>
        <w:tc>
          <w:tcPr/>
          <w:p>
            <w:pPr>
              <w:pStyle w:val="Compact"/>
              <w:jc w:val="left"/>
            </w:pPr>
            <w:r>
              <w:t xml:space="preserve">Loader, Bench</w:t>
            </w:r>
          </w:p>
        </w:tc>
        <w:tc>
          <w:tcPr/>
          <w:p>
            <w:pPr>
              <w:pStyle w:val="Compact"/>
              <w:jc w:val="left"/>
            </w:pPr>
            <w:r>
              <w:t xml:space="preserve">P2 Ch15</w:t>
            </w:r>
          </w:p>
        </w:tc>
      </w:tr>
      <w:tr>
        <w:tc>
          <w:tcPr/>
          <w:p>
            <w:pPr>
              <w:pStyle w:val="Compact"/>
              <w:jc w:val="left"/>
            </w:pPr>
            <w:r>
              <w:rPr>
                <w:rStyle w:val="VerbatimChar"/>
              </w:rPr>
              <w:t xml:space="preserve">PROD.FaceAdvance</w:t>
            </w:r>
          </w:p>
        </w:tc>
        <w:tc>
          <w:tcPr/>
          <w:p>
            <w:pPr>
              <w:pStyle w:val="Compact"/>
              <w:jc w:val="left"/>
            </w:pPr>
            <w:r>
              <w:t xml:space="preserve">Underground</w:t>
            </w:r>
          </w:p>
        </w:tc>
        <w:tc>
          <w:tcPr/>
          <w:p>
            <w:pPr>
              <w:pStyle w:val="Compact"/>
              <w:jc w:val="left"/>
            </w:pPr>
            <w:r>
              <w:t xml:space="preserve">Coal</w:t>
            </w:r>
          </w:p>
        </w:tc>
        <w:tc>
          <w:tcPr/>
          <w:p>
            <w:pPr>
              <w:pStyle w:val="Compact"/>
              <w:jc w:val="left"/>
            </w:pPr>
            <w:r>
              <w:rPr>
                <w:rStyle w:val="VerbatimChar"/>
              </w:rPr>
              <w:t xml:space="preserve">mineproductivity.kpis.production.FaceAdvance</w:t>
            </w:r>
          </w:p>
        </w:tc>
        <w:tc>
          <w:tcPr/>
          <w:p>
            <w:pPr>
              <w:pStyle w:val="Compact"/>
              <w:jc w:val="left"/>
            </w:pPr>
            <w:r>
              <w:t xml:space="preserve">Longwall, Panel</w:t>
            </w:r>
          </w:p>
        </w:tc>
        <w:tc>
          <w:tcPr/>
          <w:p>
            <w:pPr>
              <w:pStyle w:val="Compact"/>
              <w:jc w:val="left"/>
            </w:pPr>
            <w:r>
              <w:t xml:space="preserve">P2 Ch14</w:t>
            </w:r>
          </w:p>
        </w:tc>
      </w:tr>
      <w:tr>
        <w:tc>
          <w:tcPr/>
          <w:p>
            <w:pPr>
              <w:pStyle w:val="Compact"/>
              <w:jc w:val="left"/>
            </w:pPr>
            <w:r>
              <w:rPr>
                <w:rStyle w:val="VerbatimChar"/>
              </w:rPr>
              <w:t xml:space="preserve">PROD.Payload</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mineproductivity.kpis.production.MeanPayload</w:t>
            </w:r>
          </w:p>
        </w:tc>
        <w:tc>
          <w:tcPr/>
          <w:p>
            <w:pPr>
              <w:pStyle w:val="Compact"/>
              <w:jc w:val="left"/>
            </w:pPr>
            <w:r>
              <w:t xml:space="preserve">Truck, Material</w:t>
            </w:r>
          </w:p>
        </w:tc>
        <w:tc>
          <w:tcPr/>
          <w:p>
            <w:pPr>
              <w:pStyle w:val="Compact"/>
              <w:jc w:val="left"/>
            </w:pPr>
            <w:r>
              <w:t xml:space="preserve">AH event-model; BP kpi_engine; P1 Ch5; P2 Ch15</w:t>
            </w:r>
          </w:p>
        </w:tc>
      </w:tr>
      <w:tr>
        <w:tc>
          <w:tcPr/>
          <w:p>
            <w:pPr>
              <w:pStyle w:val="Compact"/>
              <w:jc w:val="left"/>
            </w:pPr>
            <w:r>
              <w:rPr>
                <w:rStyle w:val="VerbatimChar"/>
              </w:rPr>
              <w:t xml:space="preserve">PROD.ProductionAttainment</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mineproductivity.kpis.production.ProductionAttainment</w:t>
            </w:r>
          </w:p>
        </w:tc>
        <w:tc>
          <w:tcPr/>
          <w:p>
            <w:pPr>
              <w:pStyle w:val="Compact"/>
              <w:jc w:val="left"/>
            </w:pPr>
            <w:r>
              <w:t xml:space="preserve">Plan, Mine</w:t>
            </w:r>
          </w:p>
        </w:tc>
        <w:tc>
          <w:tcPr/>
          <w:p>
            <w:pPr>
              <w:pStyle w:val="Compact"/>
              <w:jc w:val="left"/>
            </w:pPr>
            <w:r>
              <w:t xml:space="preserve">AH KPI-ontology; P2 Ch18</w:t>
            </w:r>
          </w:p>
        </w:tc>
      </w:tr>
      <w:tr>
        <w:tc>
          <w:tcPr/>
          <w:p>
            <w:pPr>
              <w:pStyle w:val="Compact"/>
              <w:jc w:val="left"/>
            </w:pPr>
            <w:r>
              <w:rPr>
                <w:rStyle w:val="VerbatimChar"/>
              </w:rPr>
              <w:t xml:space="preserve">PROD.ShovelProductivity</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mineproductivity.kpis.production.ShovelProductivity</w:t>
            </w:r>
          </w:p>
        </w:tc>
        <w:tc>
          <w:tcPr/>
          <w:p>
            <w:pPr>
              <w:pStyle w:val="Compact"/>
              <w:jc w:val="left"/>
            </w:pPr>
            <w:r>
              <w:t xml:space="preserve">Loader, Bench</w:t>
            </w:r>
          </w:p>
        </w:tc>
        <w:tc>
          <w:tcPr/>
          <w:p>
            <w:pPr>
              <w:pStyle w:val="Compact"/>
              <w:jc w:val="left"/>
            </w:pPr>
            <w:r>
              <w:t xml:space="preserve">P2 Ch15</w:t>
            </w:r>
          </w:p>
        </w:tc>
      </w:tr>
      <w:tr>
        <w:tc>
          <w:tcPr/>
          <w:p>
            <w:pPr>
              <w:pStyle w:val="Compact"/>
              <w:jc w:val="left"/>
            </w:pPr>
            <w:r>
              <w:rPr>
                <w:rStyle w:val="VerbatimChar"/>
              </w:rPr>
              <w:t xml:space="preserve">PROD.StrippingRatio</w:t>
            </w:r>
          </w:p>
        </w:tc>
        <w:tc>
          <w:tcPr/>
          <w:p>
            <w:pPr>
              <w:pStyle w:val="Compact"/>
              <w:jc w:val="left"/>
            </w:pPr>
            <w:r>
              <w:t xml:space="preserve">OpenPit</w:t>
            </w:r>
          </w:p>
        </w:tc>
        <w:tc>
          <w:tcPr/>
          <w:p>
            <w:pPr>
              <w:pStyle w:val="Compact"/>
              <w:jc w:val="left"/>
            </w:pPr>
            <w:r>
              <w:t xml:space="preserve">All</w:t>
            </w:r>
          </w:p>
        </w:tc>
        <w:tc>
          <w:tcPr/>
          <w:p>
            <w:pPr>
              <w:pStyle w:val="Compact"/>
              <w:jc w:val="left"/>
            </w:pPr>
            <w:r>
              <w:rPr>
                <w:rStyle w:val="VerbatimChar"/>
              </w:rPr>
              <w:t xml:space="preserve">mineproductivity.kpis.production.StrippingRatio</w:t>
            </w:r>
          </w:p>
        </w:tc>
        <w:tc>
          <w:tcPr/>
          <w:p>
            <w:pPr>
              <w:pStyle w:val="Compact"/>
              <w:jc w:val="left"/>
            </w:pPr>
            <w:r>
              <w:t xml:space="preserve">Material, Pit</w:t>
            </w:r>
          </w:p>
        </w:tc>
        <w:tc>
          <w:tcPr/>
          <w:p>
            <w:pPr>
              <w:pStyle w:val="Compact"/>
              <w:jc w:val="left"/>
            </w:pPr>
            <w:r>
              <w:t xml:space="preserve">P2 Ch13</w:t>
            </w:r>
          </w:p>
        </w:tc>
      </w:tr>
      <w:tr>
        <w:tc>
          <w:tcPr/>
          <w:p>
            <w:pPr>
              <w:pStyle w:val="Compact"/>
              <w:jc w:val="left"/>
            </w:pPr>
            <w:r>
              <w:rPr>
                <w:rStyle w:val="VerbatimChar"/>
              </w:rPr>
              <w:t xml:space="preserve">PROD.TPH</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mineproductivity.kpis.production.TonnesPerHour</w:t>
            </w:r>
          </w:p>
        </w:tc>
        <w:tc>
          <w:tcPr/>
          <w:p>
            <w:pPr>
              <w:pStyle w:val="Compact"/>
              <w:jc w:val="left"/>
            </w:pPr>
            <w:r>
              <w:t xml:space="preserve">Equipment, Material, Mine</w:t>
            </w:r>
          </w:p>
        </w:tc>
        <w:tc>
          <w:tcPr/>
          <w:p>
            <w:pPr>
              <w:pStyle w:val="Compact"/>
              <w:jc w:val="left"/>
            </w:pPr>
            <w:r>
              <w:t xml:space="preserve">AH KPI-ontology; BP kpi_engine; P1 Ch6; P2 Ch18</w:t>
            </w:r>
          </w:p>
        </w:tc>
      </w:tr>
      <w:tr>
        <w:tc>
          <w:tcPr/>
          <w:p>
            <w:pPr>
              <w:pStyle w:val="Compact"/>
              <w:jc w:val="left"/>
            </w:pPr>
            <w:r>
              <w:rPr>
                <w:rStyle w:val="VerbatimChar"/>
              </w:rPr>
              <w:t xml:space="preserve">PROD.TruckCycleTime</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mineproductivity.kpis.production.TruckCycleTime</w:t>
            </w:r>
          </w:p>
        </w:tc>
        <w:tc>
          <w:tcPr/>
          <w:p>
            <w:pPr>
              <w:pStyle w:val="Compact"/>
              <w:jc w:val="left"/>
            </w:pPr>
            <w:r>
              <w:t xml:space="preserve">Truck, Route, Mine</w:t>
            </w:r>
          </w:p>
        </w:tc>
        <w:tc>
          <w:tcPr/>
          <w:p>
            <w:pPr>
              <w:pStyle w:val="Compact"/>
              <w:jc w:val="left"/>
            </w:pPr>
            <w:r>
              <w:t xml:space="preserve">AH event-model; BP kpi_engine; P1 Ch5; P2 Ch16</w:t>
            </w:r>
          </w:p>
        </w:tc>
      </w:tr>
      <w:tr>
        <w:tc>
          <w:tcPr/>
          <w:p>
            <w:pPr>
              <w:pStyle w:val="Compact"/>
              <w:jc w:val="left"/>
            </w:pPr>
            <w:r>
              <w:rPr>
                <w:rStyle w:val="VerbatimChar"/>
              </w:rPr>
              <w:t xml:space="preserve">HAUL.EffectiveGrade</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mineproductivity.kpis.haulage.EffectiveGradeResistance</w:t>
            </w:r>
          </w:p>
        </w:tc>
        <w:tc>
          <w:tcPr/>
          <w:p>
            <w:pPr>
              <w:pStyle w:val="Compact"/>
              <w:jc w:val="left"/>
            </w:pPr>
            <w:r>
              <w:t xml:space="preserve">Route, Segment</w:t>
            </w:r>
          </w:p>
        </w:tc>
        <w:tc>
          <w:tcPr/>
          <w:p>
            <w:pPr>
              <w:pStyle w:val="Compact"/>
              <w:jc w:val="left"/>
            </w:pPr>
            <w:r>
              <w:t xml:space="preserve">P2 Ch16</w:t>
            </w:r>
          </w:p>
        </w:tc>
      </w:tr>
      <w:tr>
        <w:tc>
          <w:tcPr/>
          <w:p>
            <w:pPr>
              <w:pStyle w:val="Compact"/>
              <w:jc w:val="left"/>
            </w:pPr>
            <w:r>
              <w:rPr>
                <w:rStyle w:val="VerbatimChar"/>
              </w:rPr>
              <w:t xml:space="preserve">HAUL.HaulCycleDistance</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mineproductivity.kpis.haulage.HaulCycleDistance</w:t>
            </w:r>
          </w:p>
        </w:tc>
        <w:tc>
          <w:tcPr/>
          <w:p>
            <w:pPr>
              <w:pStyle w:val="Compact"/>
              <w:jc w:val="left"/>
            </w:pPr>
            <w:r>
              <w:t xml:space="preserve">Route</w:t>
            </w:r>
          </w:p>
        </w:tc>
        <w:tc>
          <w:tcPr/>
          <w:p>
            <w:pPr>
              <w:pStyle w:val="Compact"/>
              <w:jc w:val="left"/>
            </w:pPr>
            <w:r>
              <w:t xml:space="preserve">P2 Ch13</w:t>
            </w:r>
          </w:p>
        </w:tc>
      </w:tr>
      <w:tr>
        <w:tc>
          <w:tcPr/>
          <w:p>
            <w:pPr>
              <w:pStyle w:val="Compact"/>
              <w:jc w:val="left"/>
            </w:pPr>
            <w:r>
              <w:rPr>
                <w:rStyle w:val="VerbatimChar"/>
              </w:rPr>
              <w:t xml:space="preserve">HAUL.MatchFactor</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mineproductivity.kpis.haulage.MatchFactor</w:t>
            </w:r>
          </w:p>
        </w:tc>
        <w:tc>
          <w:tcPr/>
          <w:p>
            <w:pPr>
              <w:pStyle w:val="Compact"/>
              <w:jc w:val="left"/>
            </w:pPr>
            <w:r>
              <w:t xml:space="preserve">Truck, Loader, Fleet</w:t>
            </w:r>
          </w:p>
        </w:tc>
        <w:tc>
          <w:tcPr/>
          <w:p>
            <w:pPr>
              <w:pStyle w:val="Compact"/>
              <w:jc w:val="left"/>
            </w:pPr>
            <w:r>
              <w:t xml:space="preserve">AH KPI-ontology; BP dispatch; P2 Ch16</w:t>
            </w:r>
          </w:p>
        </w:tc>
      </w:tr>
      <w:tr>
        <w:tc>
          <w:tcPr/>
          <w:p>
            <w:pPr>
              <w:pStyle w:val="Compact"/>
              <w:jc w:val="left"/>
            </w:pPr>
            <w:r>
              <w:rPr>
                <w:rStyle w:val="VerbatimChar"/>
              </w:rPr>
              <w:t xml:space="preserve">HAUL.ReturnRatio</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mineproductivity.kpis.haulage.LoadedEmptyRatio</w:t>
            </w:r>
          </w:p>
        </w:tc>
        <w:tc>
          <w:tcPr/>
          <w:p>
            <w:pPr>
              <w:pStyle w:val="Compact"/>
              <w:jc w:val="left"/>
            </w:pPr>
            <w:r>
              <w:t xml:space="preserve">Route</w:t>
            </w:r>
          </w:p>
        </w:tc>
        <w:tc>
          <w:tcPr/>
          <w:p>
            <w:pPr>
              <w:pStyle w:val="Compact"/>
              <w:jc w:val="left"/>
            </w:pPr>
            <w:r>
              <w:t xml:space="preserve">P2 Ch16</w:t>
            </w:r>
          </w:p>
        </w:tc>
      </w:tr>
      <w:tr>
        <w:tc>
          <w:tcPr/>
          <w:p>
            <w:pPr>
              <w:pStyle w:val="Compact"/>
              <w:jc w:val="left"/>
            </w:pPr>
            <w:r>
              <w:rPr>
                <w:rStyle w:val="VerbatimChar"/>
              </w:rPr>
              <w:t xml:space="preserve">HAUL.TonKm</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mineproductivity.kpis.haulage.TonKilometres</w:t>
            </w:r>
          </w:p>
        </w:tc>
        <w:tc>
          <w:tcPr/>
          <w:p>
            <w:pPr>
              <w:pStyle w:val="Compact"/>
              <w:jc w:val="left"/>
            </w:pPr>
            <w:r>
              <w:t xml:space="preserve">Truck, Route</w:t>
            </w:r>
          </w:p>
        </w:tc>
        <w:tc>
          <w:tcPr/>
          <w:p>
            <w:pPr>
              <w:pStyle w:val="Compact"/>
              <w:jc w:val="left"/>
            </w:pPr>
            <w:r>
              <w:t xml:space="preserve">AH event-model; P2 Ch13</w:t>
            </w:r>
          </w:p>
        </w:tc>
      </w:tr>
      <w:tr>
        <w:tc>
          <w:tcPr/>
          <w:p>
            <w:pPr>
              <w:pStyle w:val="Compact"/>
              <w:jc w:val="left"/>
            </w:pPr>
            <w:r>
              <w:rPr>
                <w:rStyle w:val="VerbatimChar"/>
              </w:rPr>
              <w:t xml:space="preserve">HAUL.TruckProductivity</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mineproductivity.kpis.haulage.TruckProductivity</w:t>
            </w:r>
          </w:p>
        </w:tc>
        <w:tc>
          <w:tcPr/>
          <w:p>
            <w:pPr>
              <w:pStyle w:val="Compact"/>
              <w:jc w:val="left"/>
            </w:pPr>
            <w:r>
              <w:t xml:space="preserve">Truck, Route</w:t>
            </w:r>
          </w:p>
        </w:tc>
        <w:tc>
          <w:tcPr/>
          <w:p>
            <w:pPr>
              <w:pStyle w:val="Compact"/>
              <w:jc w:val="left"/>
            </w:pPr>
            <w:r>
              <w:t xml:space="preserve">P2 Ch16</w:t>
            </w:r>
          </w:p>
        </w:tc>
      </w:tr>
      <w:tr>
        <w:tc>
          <w:tcPr/>
          <w:p>
            <w:pPr>
              <w:pStyle w:val="Compact"/>
              <w:jc w:val="left"/>
            </w:pPr>
            <w:r>
              <w:rPr>
                <w:rStyle w:val="VerbatimChar"/>
              </w:rPr>
              <w:t xml:space="preserve">UTIL.Availability</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mineproductivity.kpis.utilisation.AvailabilityAlias</w:t>
            </w:r>
          </w:p>
        </w:tc>
        <w:tc>
          <w:tcPr/>
          <w:p>
            <w:pPr>
              <w:pStyle w:val="Compact"/>
              <w:jc w:val="left"/>
            </w:pPr>
            <w:r>
              <w:t xml:space="preserve">Equipment</w:t>
            </w:r>
          </w:p>
        </w:tc>
        <w:tc>
          <w:tcPr/>
          <w:p>
            <w:pPr>
              <w:pStyle w:val="Compact"/>
              <w:jc w:val="left"/>
            </w:pPr>
            <w:r>
              <w:t xml:space="preserve">AH canonical-semantics</w:t>
            </w:r>
          </w:p>
        </w:tc>
      </w:tr>
      <w:tr>
        <w:tc>
          <w:tcPr/>
          <w:p>
            <w:pPr>
              <w:pStyle w:val="Compact"/>
              <w:jc w:val="left"/>
            </w:pPr>
            <w:r>
              <w:rPr>
                <w:rStyle w:val="VerbatimChar"/>
              </w:rPr>
              <w:t xml:space="preserve">UTIL.EU</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mineproductivity.kpis.utilisation.EffectiveUtilisation</w:t>
            </w:r>
          </w:p>
        </w:tc>
        <w:tc>
          <w:tcPr/>
          <w:p>
            <w:pPr>
              <w:pStyle w:val="Compact"/>
              <w:jc w:val="left"/>
            </w:pPr>
            <w:r>
              <w:t xml:space="preserve">Equipment, Shift</w:t>
            </w:r>
          </w:p>
        </w:tc>
        <w:tc>
          <w:tcPr/>
          <w:p>
            <w:pPr>
              <w:pStyle w:val="Compact"/>
              <w:jc w:val="left"/>
            </w:pPr>
            <w:r>
              <w:t xml:space="preserve">AH canonical-semantics; P2 Ch18</w:t>
            </w:r>
          </w:p>
        </w:tc>
      </w:tr>
      <w:tr>
        <w:tc>
          <w:tcPr/>
          <w:p>
            <w:pPr>
              <w:pStyle w:val="Compact"/>
              <w:jc w:val="left"/>
            </w:pPr>
            <w:r>
              <w:rPr>
                <w:rStyle w:val="VerbatimChar"/>
              </w:rPr>
              <w:t xml:space="preserve">UTIL.OEE</w:t>
            </w:r>
          </w:p>
        </w:tc>
        <w:tc>
          <w:tcPr/>
          <w:p>
            <w:pPr>
              <w:pStyle w:val="Compact"/>
              <w:jc w:val="left"/>
            </w:pPr>
            <w:r>
              <w:t xml:space="preserve">Both</w:t>
            </w:r>
          </w:p>
        </w:tc>
        <w:tc>
          <w:tcPr/>
          <w:p>
            <w:pPr>
              <w:pStyle w:val="Compact"/>
              <w:jc w:val="left"/>
            </w:pPr>
            <w:r>
              <w:t xml:space="preserve">Fixed plant</w:t>
            </w:r>
          </w:p>
        </w:tc>
        <w:tc>
          <w:tcPr/>
          <w:p>
            <w:pPr>
              <w:pStyle w:val="Compact"/>
              <w:jc w:val="left"/>
            </w:pPr>
            <w:r>
              <w:rPr>
                <w:rStyle w:val="VerbatimChar"/>
              </w:rPr>
              <w:t xml:space="preserve">mineproductivity.kpis.utilisation.Oee</w:t>
            </w:r>
          </w:p>
        </w:tc>
        <w:tc>
          <w:tcPr/>
          <w:p>
            <w:pPr>
              <w:pStyle w:val="Compact"/>
              <w:jc w:val="left"/>
            </w:pPr>
            <w:r>
              <w:t xml:space="preserve">Asset, Plant</w:t>
            </w:r>
          </w:p>
        </w:tc>
        <w:tc>
          <w:tcPr/>
          <w:p>
            <w:pPr>
              <w:pStyle w:val="Compact"/>
              <w:jc w:val="left"/>
            </w:pPr>
            <w:r>
              <w:t xml:space="preserve">AH canonical-semantics; P2 Ch18</w:t>
            </w:r>
          </w:p>
        </w:tc>
      </w:tr>
      <w:tr>
        <w:tc>
          <w:tcPr/>
          <w:p>
            <w:pPr>
              <w:pStyle w:val="Compact"/>
              <w:jc w:val="left"/>
            </w:pPr>
            <w:r>
              <w:rPr>
                <w:rStyle w:val="VerbatimChar"/>
              </w:rPr>
              <w:t xml:space="preserve">UTIL.PA</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mineproductivity.kpis.utilisation.PhysicalAvailability</w:t>
            </w:r>
          </w:p>
        </w:tc>
        <w:tc>
          <w:tcPr/>
          <w:p>
            <w:pPr>
              <w:pStyle w:val="Compact"/>
              <w:jc w:val="left"/>
            </w:pPr>
            <w:r>
              <w:t xml:space="preserve">Equipment, Shift, Mine</w:t>
            </w:r>
          </w:p>
        </w:tc>
        <w:tc>
          <w:tcPr/>
          <w:p>
            <w:pPr>
              <w:pStyle w:val="Compact"/>
              <w:jc w:val="left"/>
            </w:pPr>
            <w:r>
              <w:t xml:space="preserve">AH canonical-semantics; BP kpi_engine; P2 Ch18</w:t>
            </w:r>
          </w:p>
        </w:tc>
      </w:tr>
      <w:tr>
        <w:tc>
          <w:tcPr/>
          <w:p>
            <w:pPr>
              <w:pStyle w:val="Compact"/>
              <w:jc w:val="left"/>
            </w:pPr>
            <w:r>
              <w:rPr>
                <w:rStyle w:val="VerbatimChar"/>
              </w:rPr>
              <w:t xml:space="preserve">UTIL.ReadyRatio</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mineproductivity.kpis.utilisation.ReadyRatio</w:t>
            </w:r>
          </w:p>
        </w:tc>
        <w:tc>
          <w:tcPr/>
          <w:p>
            <w:pPr>
              <w:pStyle w:val="Compact"/>
              <w:jc w:val="left"/>
            </w:pPr>
            <w:r>
              <w:t xml:space="preserve">Equipment, Shift</w:t>
            </w:r>
          </w:p>
        </w:tc>
        <w:tc>
          <w:tcPr/>
          <w:p>
            <w:pPr>
              <w:pStyle w:val="Compact"/>
              <w:jc w:val="left"/>
            </w:pPr>
            <w:r>
              <w:t xml:space="preserve">P2 Ch18</w:t>
            </w:r>
          </w:p>
        </w:tc>
      </w:tr>
      <w:tr>
        <w:tc>
          <w:tcPr/>
          <w:p>
            <w:pPr>
              <w:pStyle w:val="Compact"/>
              <w:jc w:val="left"/>
            </w:pPr>
            <w:r>
              <w:rPr>
                <w:rStyle w:val="VerbatimChar"/>
              </w:rPr>
              <w:t xml:space="preserve">UTIL.TEEP</w:t>
            </w:r>
          </w:p>
        </w:tc>
        <w:tc>
          <w:tcPr/>
          <w:p>
            <w:pPr>
              <w:pStyle w:val="Compact"/>
              <w:jc w:val="left"/>
            </w:pPr>
            <w:r>
              <w:t xml:space="preserve">Both</w:t>
            </w:r>
          </w:p>
        </w:tc>
        <w:tc>
          <w:tcPr/>
          <w:p>
            <w:pPr>
              <w:pStyle w:val="Compact"/>
              <w:jc w:val="left"/>
            </w:pPr>
            <w:r>
              <w:t xml:space="preserve">Fixed plant</w:t>
            </w:r>
          </w:p>
        </w:tc>
        <w:tc>
          <w:tcPr/>
          <w:p>
            <w:pPr>
              <w:pStyle w:val="Compact"/>
              <w:jc w:val="left"/>
            </w:pPr>
            <w:r>
              <w:rPr>
                <w:rStyle w:val="VerbatimChar"/>
              </w:rPr>
              <w:t xml:space="preserve">mineproductivity.kpis.utilisation.Teep</w:t>
            </w:r>
          </w:p>
        </w:tc>
        <w:tc>
          <w:tcPr/>
          <w:p>
            <w:pPr>
              <w:pStyle w:val="Compact"/>
              <w:jc w:val="left"/>
            </w:pPr>
            <w:r>
              <w:t xml:space="preserve">Asset, Plant</w:t>
            </w:r>
          </w:p>
        </w:tc>
        <w:tc>
          <w:tcPr/>
          <w:p>
            <w:pPr>
              <w:pStyle w:val="Compact"/>
              <w:jc w:val="left"/>
            </w:pPr>
            <w:r>
              <w:t xml:space="preserve">AH canonical-semantics</w:t>
            </w:r>
          </w:p>
        </w:tc>
      </w:tr>
      <w:tr>
        <w:tc>
          <w:tcPr/>
          <w:p>
            <w:pPr>
              <w:pStyle w:val="Compact"/>
              <w:jc w:val="left"/>
            </w:pPr>
            <w:r>
              <w:rPr>
                <w:rStyle w:val="VerbatimChar"/>
              </w:rPr>
              <w:t xml:space="preserve">UTIL.UA</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mineproductivity.kpis.utilisation.UseOfAvailability</w:t>
            </w:r>
          </w:p>
        </w:tc>
        <w:tc>
          <w:tcPr/>
          <w:p>
            <w:pPr>
              <w:pStyle w:val="Compact"/>
              <w:jc w:val="left"/>
            </w:pPr>
            <w:r>
              <w:t xml:space="preserve">Equipment, Shift</w:t>
            </w:r>
          </w:p>
        </w:tc>
        <w:tc>
          <w:tcPr/>
          <w:p>
            <w:pPr>
              <w:pStyle w:val="Compact"/>
              <w:jc w:val="left"/>
            </w:pPr>
            <w:r>
              <w:t xml:space="preserve">AH canonical-semantics; P2 Ch18</w:t>
            </w:r>
          </w:p>
        </w:tc>
      </w:tr>
      <w:tr>
        <w:tc>
          <w:tcPr/>
          <w:p>
            <w:pPr>
              <w:pStyle w:val="Compact"/>
              <w:jc w:val="left"/>
            </w:pPr>
            <w:r>
              <w:rPr>
                <w:rStyle w:val="VerbatimChar"/>
              </w:rPr>
              <w:t xml:space="preserve">MAINT.ActiveRepairTime</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mineproductivity.kpis.maintenance.ActiveRepairTime</w:t>
            </w:r>
          </w:p>
        </w:tc>
        <w:tc>
          <w:tcPr/>
          <w:p>
            <w:pPr>
              <w:pStyle w:val="Compact"/>
              <w:jc w:val="left"/>
            </w:pPr>
            <w:r>
              <w:t xml:space="preserve">Equipment, Crew</w:t>
            </w:r>
          </w:p>
        </w:tc>
        <w:tc>
          <w:tcPr/>
          <w:p>
            <w:pPr>
              <w:pStyle w:val="Compact"/>
              <w:jc w:val="left"/>
            </w:pPr>
            <w:r>
              <w:t xml:space="preserve">AH reliability-ontology</w:t>
            </w:r>
          </w:p>
        </w:tc>
      </w:tr>
      <w:tr>
        <w:tc>
          <w:tcPr/>
          <w:p>
            <w:pPr>
              <w:pStyle w:val="Compact"/>
              <w:jc w:val="left"/>
            </w:pPr>
            <w:r>
              <w:rPr>
                <w:rStyle w:val="VerbatimChar"/>
              </w:rPr>
              <w:t xml:space="preserve">MAINT.Ai</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mineproductivity.kpis.maintenance.InherentAvailability</w:t>
            </w:r>
          </w:p>
        </w:tc>
        <w:tc>
          <w:tcPr/>
          <w:p>
            <w:pPr>
              <w:pStyle w:val="Compact"/>
              <w:jc w:val="left"/>
            </w:pPr>
            <w:r>
              <w:t xml:space="preserve">Equipment</w:t>
            </w:r>
          </w:p>
        </w:tc>
        <w:tc>
          <w:tcPr/>
          <w:p>
            <w:pPr>
              <w:pStyle w:val="Compact"/>
              <w:jc w:val="left"/>
            </w:pPr>
            <w:r>
              <w:t xml:space="preserve">AH canonical-semantics</w:t>
            </w:r>
          </w:p>
        </w:tc>
      </w:tr>
      <w:tr>
        <w:tc>
          <w:tcPr/>
          <w:p>
            <w:pPr>
              <w:pStyle w:val="Compact"/>
              <w:jc w:val="left"/>
            </w:pPr>
            <w:r>
              <w:rPr>
                <w:rStyle w:val="VerbatimChar"/>
              </w:rPr>
              <w:t xml:space="preserve">MAINT.BacklogHours</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mineproductivity.kpis.maintenance.MaintenanceBacklog</w:t>
            </w:r>
          </w:p>
        </w:tc>
        <w:tc>
          <w:tcPr/>
          <w:p>
            <w:pPr>
              <w:pStyle w:val="Compact"/>
              <w:jc w:val="left"/>
            </w:pPr>
            <w:r>
              <w:t xml:space="preserve">WorkOrder</w:t>
            </w:r>
          </w:p>
        </w:tc>
        <w:tc>
          <w:tcPr/>
          <w:p>
            <w:pPr>
              <w:pStyle w:val="Compact"/>
              <w:jc w:val="left"/>
            </w:pPr>
            <w:r>
              <w:t xml:space="preserve">BP maintenance</w:t>
            </w:r>
          </w:p>
        </w:tc>
      </w:tr>
      <w:tr>
        <w:tc>
          <w:tcPr/>
          <w:p>
            <w:pPr>
              <w:pStyle w:val="Compact"/>
              <w:jc w:val="left"/>
            </w:pPr>
            <w:r>
              <w:rPr>
                <w:rStyle w:val="VerbatimChar"/>
              </w:rPr>
              <w:t xml:space="preserve">MAINT.FailureRate</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mineproductivity.kpis.maintenance.FailureRate</w:t>
            </w:r>
          </w:p>
        </w:tc>
        <w:tc>
          <w:tcPr/>
          <w:p>
            <w:pPr>
              <w:pStyle w:val="Compact"/>
              <w:jc w:val="left"/>
            </w:pPr>
            <w:r>
              <w:t xml:space="preserve">Equipment</w:t>
            </w:r>
          </w:p>
        </w:tc>
        <w:tc>
          <w:tcPr/>
          <w:p>
            <w:pPr>
              <w:pStyle w:val="Compact"/>
              <w:jc w:val="left"/>
            </w:pPr>
            <w:r>
              <w:t xml:space="preserve">AH reliability-ontology</w:t>
            </w:r>
          </w:p>
        </w:tc>
      </w:tr>
      <w:tr>
        <w:tc>
          <w:tcPr/>
          <w:p>
            <w:pPr>
              <w:pStyle w:val="Compact"/>
              <w:jc w:val="left"/>
            </w:pPr>
            <w:r>
              <w:rPr>
                <w:rStyle w:val="VerbatimChar"/>
              </w:rPr>
              <w:t xml:space="preserve">MAINT.MTBF</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mineproductivity.kpis.maintenance.Mtbf</w:t>
            </w:r>
          </w:p>
        </w:tc>
        <w:tc>
          <w:tcPr/>
          <w:p>
            <w:pPr>
              <w:pStyle w:val="Compact"/>
              <w:jc w:val="left"/>
            </w:pPr>
            <w:r>
              <w:t xml:space="preserve">Equipment, FailureMode</w:t>
            </w:r>
          </w:p>
        </w:tc>
        <w:tc>
          <w:tcPr/>
          <w:p>
            <w:pPr>
              <w:pStyle w:val="Compact"/>
              <w:jc w:val="left"/>
            </w:pPr>
            <w:r>
              <w:t xml:space="preserve">AH reliability-ontology; P2 Ch18</w:t>
            </w:r>
          </w:p>
        </w:tc>
      </w:tr>
      <w:tr>
        <w:tc>
          <w:tcPr/>
          <w:p>
            <w:pPr>
              <w:pStyle w:val="Compact"/>
              <w:jc w:val="left"/>
            </w:pPr>
            <w:r>
              <w:rPr>
                <w:rStyle w:val="VerbatimChar"/>
              </w:rPr>
              <w:t xml:space="preserve">MAINT.MTBS</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mineproductivity.kpis.maintenance.MeanTimeBetweenStops</w:t>
            </w:r>
          </w:p>
        </w:tc>
        <w:tc>
          <w:tcPr/>
          <w:p>
            <w:pPr>
              <w:pStyle w:val="Compact"/>
              <w:jc w:val="left"/>
            </w:pPr>
            <w:r>
              <w:t xml:space="preserve">Equipment</w:t>
            </w:r>
          </w:p>
        </w:tc>
        <w:tc>
          <w:tcPr/>
          <w:p>
            <w:pPr>
              <w:pStyle w:val="Compact"/>
              <w:jc w:val="left"/>
            </w:pPr>
            <w:r>
              <w:t xml:space="preserve">AH reliability-ontology</w:t>
            </w:r>
          </w:p>
        </w:tc>
      </w:tr>
      <w:tr>
        <w:tc>
          <w:tcPr/>
          <w:p>
            <w:pPr>
              <w:pStyle w:val="Compact"/>
              <w:jc w:val="left"/>
            </w:pPr>
            <w:r>
              <w:rPr>
                <w:rStyle w:val="VerbatimChar"/>
              </w:rPr>
              <w:t xml:space="preserve">MAINT.MTTR</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mineproductivity.kpis.maintenance.Mttr</w:t>
            </w:r>
          </w:p>
        </w:tc>
        <w:tc>
          <w:tcPr/>
          <w:p>
            <w:pPr>
              <w:pStyle w:val="Compact"/>
              <w:jc w:val="left"/>
            </w:pPr>
            <w:r>
              <w:t xml:space="preserve">Equipment, Crew</w:t>
            </w:r>
          </w:p>
        </w:tc>
        <w:tc>
          <w:tcPr/>
          <w:p>
            <w:pPr>
              <w:pStyle w:val="Compact"/>
              <w:jc w:val="left"/>
            </w:pPr>
            <w:r>
              <w:t xml:space="preserve">AH reliability-ontology; BP maintenance</w:t>
            </w:r>
          </w:p>
        </w:tc>
      </w:tr>
      <w:tr>
        <w:tc>
          <w:tcPr/>
          <w:p>
            <w:pPr>
              <w:pStyle w:val="Compact"/>
              <w:jc w:val="left"/>
            </w:pPr>
            <w:r>
              <w:rPr>
                <w:rStyle w:val="VerbatimChar"/>
              </w:rPr>
              <w:t xml:space="preserve">MAINT.PMCompliance</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mineproductivity.kpis.maintenance.PmCompliance</w:t>
            </w:r>
          </w:p>
        </w:tc>
        <w:tc>
          <w:tcPr/>
          <w:p>
            <w:pPr>
              <w:pStyle w:val="Compact"/>
              <w:jc w:val="left"/>
            </w:pPr>
            <w:r>
              <w:t xml:space="preserve">Equipment, WorkOrder</w:t>
            </w:r>
          </w:p>
        </w:tc>
        <w:tc>
          <w:tcPr/>
          <w:p>
            <w:pPr>
              <w:pStyle w:val="Compact"/>
              <w:jc w:val="left"/>
            </w:pPr>
            <w:r>
              <w:t xml:space="preserve">BP maintenance</w:t>
            </w:r>
          </w:p>
        </w:tc>
      </w:tr>
      <w:tr>
        <w:tc>
          <w:tcPr/>
          <w:p>
            <w:pPr>
              <w:pStyle w:val="Compact"/>
              <w:jc w:val="left"/>
            </w:pPr>
            <w:r>
              <w:rPr>
                <w:rStyle w:val="VerbatimChar"/>
              </w:rPr>
              <w:t xml:space="preserve">DELAY.CategoryShare</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mineproductivity.kpis.delay.CategoryShare</w:t>
            </w:r>
          </w:p>
        </w:tc>
        <w:tc>
          <w:tcPr/>
          <w:p>
            <w:pPr>
              <w:pStyle w:val="Compact"/>
              <w:jc w:val="left"/>
            </w:pPr>
            <w:r>
              <w:t xml:space="preserve">DelayCategory</w:t>
            </w:r>
          </w:p>
        </w:tc>
        <w:tc>
          <w:tcPr/>
          <w:p>
            <w:pPr>
              <w:pStyle w:val="Compact"/>
              <w:jc w:val="left"/>
            </w:pPr>
            <w:r>
              <w:t xml:space="preserve">AH canonical-semantics</w:t>
            </w:r>
          </w:p>
        </w:tc>
      </w:tr>
      <w:tr>
        <w:tc>
          <w:tcPr/>
          <w:p>
            <w:pPr>
              <w:pStyle w:val="Compact"/>
              <w:jc w:val="left"/>
            </w:pPr>
            <w:r>
              <w:rPr>
                <w:rStyle w:val="VerbatimChar"/>
              </w:rPr>
              <w:t xml:space="preserve">DELAY.Hours</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mineproductivity.kpis.delay.DelayHours</w:t>
            </w:r>
          </w:p>
        </w:tc>
        <w:tc>
          <w:tcPr/>
          <w:p>
            <w:pPr>
              <w:pStyle w:val="Compact"/>
              <w:jc w:val="left"/>
            </w:pPr>
            <w:r>
              <w:t xml:space="preserve">Equipment, DelayCategory</w:t>
            </w:r>
          </w:p>
        </w:tc>
        <w:tc>
          <w:tcPr/>
          <w:p>
            <w:pPr>
              <w:pStyle w:val="Compact"/>
              <w:jc w:val="left"/>
            </w:pPr>
            <w:r>
              <w:t xml:space="preserve">AH canonical-semantics; P2 Ch17</w:t>
            </w:r>
          </w:p>
        </w:tc>
      </w:tr>
      <w:tr>
        <w:tc>
          <w:tcPr/>
          <w:p>
            <w:pPr>
              <w:pStyle w:val="Compact"/>
              <w:jc w:val="left"/>
            </w:pPr>
            <w:r>
              <w:rPr>
                <w:rStyle w:val="VerbatimChar"/>
              </w:rPr>
              <w:t xml:space="preserve">DELAY.MTTRestart</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mineproductivity.kpis.delay.MeanRestartTime</w:t>
            </w:r>
          </w:p>
        </w:tc>
        <w:tc>
          <w:tcPr/>
          <w:p>
            <w:pPr>
              <w:pStyle w:val="Compact"/>
              <w:jc w:val="left"/>
            </w:pPr>
            <w:r>
              <w:t xml:space="preserve">Equipment</w:t>
            </w:r>
          </w:p>
        </w:tc>
        <w:tc>
          <w:tcPr/>
          <w:p>
            <w:pPr>
              <w:pStyle w:val="Compact"/>
              <w:jc w:val="left"/>
            </w:pPr>
            <w:r>
              <w:t xml:space="preserve">P2 Ch17</w:t>
            </w:r>
          </w:p>
        </w:tc>
      </w:tr>
      <w:tr>
        <w:tc>
          <w:tcPr/>
          <w:p>
            <w:pPr>
              <w:pStyle w:val="Compact"/>
              <w:jc w:val="left"/>
            </w:pPr>
            <w:r>
              <w:rPr>
                <w:rStyle w:val="VerbatimChar"/>
              </w:rPr>
              <w:t xml:space="preserve">DISP.AssignmentEfficiency</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mineproductivity.kpis.dispatch.AssignmentEfficiency</w:t>
            </w:r>
          </w:p>
        </w:tc>
        <w:tc>
          <w:tcPr/>
          <w:p>
            <w:pPr>
              <w:pStyle w:val="Compact"/>
              <w:jc w:val="left"/>
            </w:pPr>
            <w:r>
              <w:t xml:space="preserve">Fleet</w:t>
            </w:r>
          </w:p>
        </w:tc>
        <w:tc>
          <w:tcPr/>
          <w:p>
            <w:pPr>
              <w:pStyle w:val="Compact"/>
              <w:jc w:val="left"/>
            </w:pPr>
            <w:r>
              <w:t xml:space="preserve">BP dispatch; P2 Ch16</w:t>
            </w:r>
          </w:p>
        </w:tc>
      </w:tr>
      <w:tr>
        <w:tc>
          <w:tcPr/>
          <w:p>
            <w:pPr>
              <w:pStyle w:val="Compact"/>
              <w:jc w:val="left"/>
            </w:pPr>
            <w:r>
              <w:rPr>
                <w:rStyle w:val="VerbatimChar"/>
              </w:rPr>
              <w:t xml:space="preserve">DISP.HangTime</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mineproductivity.kpis.dispatch.HangTime</w:t>
            </w:r>
          </w:p>
        </w:tc>
        <w:tc>
          <w:tcPr/>
          <w:p>
            <w:pPr>
              <w:pStyle w:val="Compact"/>
              <w:jc w:val="left"/>
            </w:pPr>
            <w:r>
              <w:t xml:space="preserve">Loader</w:t>
            </w:r>
          </w:p>
        </w:tc>
        <w:tc>
          <w:tcPr/>
          <w:p>
            <w:pPr>
              <w:pStyle w:val="Compact"/>
              <w:jc w:val="left"/>
            </w:pPr>
            <w:r>
              <w:t xml:space="preserve">P2 Ch16</w:t>
            </w:r>
          </w:p>
        </w:tc>
      </w:tr>
      <w:tr>
        <w:tc>
          <w:tcPr/>
          <w:p>
            <w:pPr>
              <w:pStyle w:val="Compact"/>
              <w:jc w:val="left"/>
            </w:pPr>
            <w:r>
              <w:rPr>
                <w:rStyle w:val="VerbatimChar"/>
              </w:rPr>
              <w:t xml:space="preserve">DISP.LostTonnes</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mineproductivity.kpis.dispatch.LostTonnes</w:t>
            </w:r>
          </w:p>
        </w:tc>
        <w:tc>
          <w:tcPr/>
          <w:p>
            <w:pPr>
              <w:pStyle w:val="Compact"/>
              <w:jc w:val="left"/>
            </w:pPr>
            <w:r>
              <w:t xml:space="preserve">Fleet</w:t>
            </w:r>
          </w:p>
        </w:tc>
        <w:tc>
          <w:tcPr/>
          <w:p>
            <w:pPr>
              <w:pStyle w:val="Compact"/>
              <w:jc w:val="left"/>
            </w:pPr>
            <w:r>
              <w:t xml:space="preserve">BP dispatch</w:t>
            </w:r>
          </w:p>
        </w:tc>
      </w:tr>
      <w:tr>
        <w:tc>
          <w:tcPr/>
          <w:p>
            <w:pPr>
              <w:pStyle w:val="Compact"/>
              <w:jc w:val="left"/>
            </w:pPr>
            <w:r>
              <w:rPr>
                <w:rStyle w:val="VerbatimChar"/>
              </w:rPr>
              <w:t xml:space="preserve">DISP.QueueTime</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mineproductivity.kpis.dispatch.QueueTime</w:t>
            </w:r>
          </w:p>
        </w:tc>
        <w:tc>
          <w:tcPr/>
          <w:p>
            <w:pPr>
              <w:pStyle w:val="Compact"/>
              <w:jc w:val="left"/>
            </w:pPr>
            <w:r>
              <w:t xml:space="preserve">Truck, Loader</w:t>
            </w:r>
          </w:p>
        </w:tc>
        <w:tc>
          <w:tcPr/>
          <w:p>
            <w:pPr>
              <w:pStyle w:val="Compact"/>
              <w:jc w:val="left"/>
            </w:pPr>
            <w:r>
              <w:t xml:space="preserve">P2 Ch16</w:t>
            </w:r>
          </w:p>
        </w:tc>
      </w:tr>
      <w:tr>
        <w:tc>
          <w:tcPr/>
          <w:p>
            <w:pPr>
              <w:pStyle w:val="Compact"/>
              <w:jc w:val="left"/>
            </w:pPr>
            <w:r>
              <w:rPr>
                <w:rStyle w:val="VerbatimChar"/>
              </w:rPr>
              <w:t xml:space="preserve">ENERGY.EnergyIntensity</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mineproductivity.kpis.energy.EnergyIntensity</w:t>
            </w:r>
          </w:p>
        </w:tc>
        <w:tc>
          <w:tcPr/>
          <w:p>
            <w:pPr>
              <w:pStyle w:val="Compact"/>
              <w:jc w:val="left"/>
            </w:pPr>
            <w:r>
              <w:t xml:space="preserve">Mine</w:t>
            </w:r>
          </w:p>
        </w:tc>
        <w:tc>
          <w:tcPr/>
          <w:p>
            <w:pPr>
              <w:pStyle w:val="Compact"/>
              <w:jc w:val="left"/>
            </w:pPr>
            <w:r>
              <w:t xml:space="preserve">AH ESG-ontology</w:t>
            </w:r>
          </w:p>
        </w:tc>
      </w:tr>
      <w:tr>
        <w:tc>
          <w:tcPr/>
          <w:p>
            <w:pPr>
              <w:pStyle w:val="Compact"/>
              <w:jc w:val="left"/>
            </w:pPr>
            <w:r>
              <w:rPr>
                <w:rStyle w:val="VerbatimChar"/>
              </w:rPr>
              <w:t xml:space="preserve">ENERGY.FuelPerTonKm</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mineproductivity.kpis.energy.FuelPerTonKm</w:t>
            </w:r>
          </w:p>
        </w:tc>
        <w:tc>
          <w:tcPr/>
          <w:p>
            <w:pPr>
              <w:pStyle w:val="Compact"/>
              <w:jc w:val="left"/>
            </w:pPr>
            <w:r>
              <w:t xml:space="preserve">Route</w:t>
            </w:r>
          </w:p>
        </w:tc>
        <w:tc>
          <w:tcPr/>
          <w:p>
            <w:pPr>
              <w:pStyle w:val="Compact"/>
              <w:jc w:val="left"/>
            </w:pPr>
            <w:r>
              <w:t xml:space="preserve">P2 Ch16</w:t>
            </w:r>
          </w:p>
        </w:tc>
      </w:tr>
      <w:tr>
        <w:tc>
          <w:tcPr/>
          <w:p>
            <w:pPr>
              <w:pStyle w:val="Compact"/>
              <w:jc w:val="left"/>
            </w:pPr>
            <w:r>
              <w:rPr>
                <w:rStyle w:val="VerbatimChar"/>
              </w:rPr>
              <w:t xml:space="preserve">ENERGY.FuelPerTonne</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mineproductivity.kpis.energy.FuelPerTonne</w:t>
            </w:r>
          </w:p>
        </w:tc>
        <w:tc>
          <w:tcPr/>
          <w:p>
            <w:pPr>
              <w:pStyle w:val="Compact"/>
              <w:jc w:val="left"/>
            </w:pPr>
            <w:r>
              <w:t xml:space="preserve">Equipment, Material</w:t>
            </w:r>
          </w:p>
        </w:tc>
        <w:tc>
          <w:tcPr/>
          <w:p>
            <w:pPr>
              <w:pStyle w:val="Compact"/>
              <w:jc w:val="left"/>
            </w:pPr>
            <w:r>
              <w:t xml:space="preserve">AH ESG-ontology; P2 Ch18</w:t>
            </w:r>
          </w:p>
        </w:tc>
      </w:tr>
      <w:tr>
        <w:tc>
          <w:tcPr/>
          <w:p>
            <w:pPr>
              <w:pStyle w:val="Compact"/>
              <w:jc w:val="left"/>
            </w:pPr>
            <w:r>
              <w:rPr>
                <w:rStyle w:val="VerbatimChar"/>
              </w:rPr>
              <w:t xml:space="preserve">ENERGY.IdleFuelRatio</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mineproductivity.kpis.energy.IdleFuelRatio</w:t>
            </w:r>
          </w:p>
        </w:tc>
        <w:tc>
          <w:tcPr/>
          <w:p>
            <w:pPr>
              <w:pStyle w:val="Compact"/>
              <w:jc w:val="left"/>
            </w:pPr>
            <w:r>
              <w:t xml:space="preserve">Equipment</w:t>
            </w:r>
          </w:p>
        </w:tc>
        <w:tc>
          <w:tcPr/>
          <w:p>
            <w:pPr>
              <w:pStyle w:val="Compact"/>
              <w:jc w:val="left"/>
            </w:pPr>
            <w:r>
              <w:t xml:space="preserve">AH ESG-ontology</w:t>
            </w:r>
          </w:p>
        </w:tc>
      </w:tr>
      <w:tr>
        <w:tc>
          <w:tcPr/>
          <w:p>
            <w:pPr>
              <w:pStyle w:val="Compact"/>
              <w:jc w:val="left"/>
            </w:pPr>
            <w:r>
              <w:rPr>
                <w:rStyle w:val="VerbatimChar"/>
              </w:rPr>
              <w:t xml:space="preserve">CARBON.CO2PerTonne</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mineproductivity.kpis.carbon.Co2PerTonne</w:t>
            </w:r>
          </w:p>
        </w:tc>
        <w:tc>
          <w:tcPr/>
          <w:p>
            <w:pPr>
              <w:pStyle w:val="Compact"/>
              <w:jc w:val="left"/>
            </w:pPr>
            <w:r>
              <w:t xml:space="preserve">Equipment, EmissionFactor</w:t>
            </w:r>
          </w:p>
        </w:tc>
        <w:tc>
          <w:tcPr/>
          <w:p>
            <w:pPr>
              <w:pStyle w:val="Compact"/>
              <w:jc w:val="left"/>
            </w:pPr>
            <w:r>
              <w:t xml:space="preserve">AH ESG-ontology; P2 ESG-map</w:t>
            </w:r>
          </w:p>
        </w:tc>
      </w:tr>
      <w:tr>
        <w:tc>
          <w:tcPr/>
          <w:p>
            <w:pPr>
              <w:pStyle w:val="Compact"/>
              <w:jc w:val="left"/>
            </w:pPr>
            <w:r>
              <w:rPr>
                <w:rStyle w:val="VerbatimChar"/>
              </w:rPr>
              <w:t xml:space="preserve">CARBON.IntensityTrend</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mineproductivity.kpis.carbon.IntensityTrend</w:t>
            </w:r>
          </w:p>
        </w:tc>
        <w:tc>
          <w:tcPr/>
          <w:p>
            <w:pPr>
              <w:pStyle w:val="Compact"/>
              <w:jc w:val="left"/>
            </w:pPr>
            <w:r>
              <w:t xml:space="preserve">Mine</w:t>
            </w:r>
          </w:p>
        </w:tc>
        <w:tc>
          <w:tcPr/>
          <w:p>
            <w:pPr>
              <w:pStyle w:val="Compact"/>
              <w:jc w:val="left"/>
            </w:pPr>
            <w:r>
              <w:t xml:space="preserve">AH ESG-ontology</w:t>
            </w:r>
          </w:p>
        </w:tc>
      </w:tr>
      <w:tr>
        <w:tc>
          <w:tcPr/>
          <w:p>
            <w:pPr>
              <w:pStyle w:val="Compact"/>
              <w:jc w:val="left"/>
            </w:pPr>
            <w:r>
              <w:rPr>
                <w:rStyle w:val="VerbatimChar"/>
              </w:rPr>
              <w:t xml:space="preserve">CARBON.Scope1Total</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mineproductivity.kpis.carbon.Scope1Total</w:t>
            </w:r>
          </w:p>
        </w:tc>
        <w:tc>
          <w:tcPr/>
          <w:p>
            <w:pPr>
              <w:pStyle w:val="Compact"/>
              <w:jc w:val="left"/>
            </w:pPr>
            <w:r>
              <w:t xml:space="preserve">Mine</w:t>
            </w:r>
          </w:p>
        </w:tc>
        <w:tc>
          <w:tcPr/>
          <w:p>
            <w:pPr>
              <w:pStyle w:val="Compact"/>
              <w:jc w:val="left"/>
            </w:pPr>
            <w:r>
              <w:t xml:space="preserve">AH ESG-ontology</w:t>
            </w:r>
          </w:p>
        </w:tc>
      </w:tr>
      <w:tr>
        <w:tc>
          <w:tcPr/>
          <w:p>
            <w:pPr>
              <w:pStyle w:val="Compact"/>
              <w:jc w:val="left"/>
            </w:pPr>
            <w:r>
              <w:rPr>
                <w:rStyle w:val="VerbatimChar"/>
              </w:rPr>
              <w:t xml:space="preserve">WATER.RecycleRatio</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mineproductivity.kpis.water.RecycleRatio</w:t>
            </w:r>
          </w:p>
        </w:tc>
        <w:tc>
          <w:tcPr/>
          <w:p>
            <w:pPr>
              <w:pStyle w:val="Compact"/>
              <w:jc w:val="left"/>
            </w:pPr>
            <w:r>
              <w:t xml:space="preserve">Plant</w:t>
            </w:r>
          </w:p>
        </w:tc>
        <w:tc>
          <w:tcPr/>
          <w:p>
            <w:pPr>
              <w:pStyle w:val="Compact"/>
              <w:jc w:val="left"/>
            </w:pPr>
            <w:r>
              <w:t xml:space="preserve">AH ESG-ontology</w:t>
            </w:r>
          </w:p>
        </w:tc>
      </w:tr>
      <w:tr>
        <w:tc>
          <w:tcPr/>
          <w:p>
            <w:pPr>
              <w:pStyle w:val="Compact"/>
              <w:jc w:val="left"/>
            </w:pPr>
            <w:r>
              <w:rPr>
                <w:rStyle w:val="VerbatimChar"/>
              </w:rPr>
              <w:t xml:space="preserve">WATER.WaterPerTonne</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mineproductivity.kpis.water.WaterPerTonne</w:t>
            </w:r>
          </w:p>
        </w:tc>
        <w:tc>
          <w:tcPr/>
          <w:p>
            <w:pPr>
              <w:pStyle w:val="Compact"/>
              <w:jc w:val="left"/>
            </w:pPr>
            <w:r>
              <w:t xml:space="preserve">Plant, Mine</w:t>
            </w:r>
          </w:p>
        </w:tc>
        <w:tc>
          <w:tcPr/>
          <w:p>
            <w:pPr>
              <w:pStyle w:val="Compact"/>
              <w:jc w:val="left"/>
            </w:pPr>
            <w:r>
              <w:t xml:space="preserve">AH ESG-ontology</w:t>
            </w:r>
          </w:p>
        </w:tc>
      </w:tr>
      <w:tr>
        <w:tc>
          <w:tcPr/>
          <w:p>
            <w:pPr>
              <w:pStyle w:val="Compact"/>
              <w:jc w:val="left"/>
            </w:pPr>
            <w:r>
              <w:rPr>
                <w:rStyle w:val="VerbatimChar"/>
              </w:rPr>
              <w:t xml:space="preserve">QUAL.Dilution</w:t>
            </w:r>
          </w:p>
        </w:tc>
        <w:tc>
          <w:tcPr/>
          <w:p>
            <w:pPr>
              <w:pStyle w:val="Compact"/>
              <w:jc w:val="left"/>
            </w:pPr>
            <w:r>
              <w:t xml:space="preserve">Both</w:t>
            </w:r>
          </w:p>
        </w:tc>
        <w:tc>
          <w:tcPr/>
          <w:p>
            <w:pPr>
              <w:pStyle w:val="Compact"/>
              <w:jc w:val="left"/>
            </w:pPr>
            <w:r>
              <w:t xml:space="preserve">Metals</w:t>
            </w:r>
          </w:p>
        </w:tc>
        <w:tc>
          <w:tcPr/>
          <w:p>
            <w:pPr>
              <w:pStyle w:val="Compact"/>
              <w:jc w:val="left"/>
            </w:pPr>
            <w:r>
              <w:rPr>
                <w:rStyle w:val="VerbatimChar"/>
              </w:rPr>
              <w:t xml:space="preserve">mineproductivity.kpis.quality.Dilution</w:t>
            </w:r>
          </w:p>
        </w:tc>
        <w:tc>
          <w:tcPr/>
          <w:p>
            <w:pPr>
              <w:pStyle w:val="Compact"/>
              <w:jc w:val="left"/>
            </w:pPr>
            <w:r>
              <w:t xml:space="preserve">Stope, Material</w:t>
            </w:r>
          </w:p>
        </w:tc>
        <w:tc>
          <w:tcPr/>
          <w:p>
            <w:pPr>
              <w:pStyle w:val="Compact"/>
              <w:jc w:val="left"/>
            </w:pPr>
            <w:r>
              <w:t xml:space="preserve">P2 Ch14</w:t>
            </w:r>
          </w:p>
        </w:tc>
      </w:tr>
      <w:tr>
        <w:tc>
          <w:tcPr/>
          <w:p>
            <w:pPr>
              <w:pStyle w:val="Compact"/>
              <w:jc w:val="left"/>
            </w:pPr>
            <w:r>
              <w:rPr>
                <w:rStyle w:val="VerbatimChar"/>
              </w:rPr>
              <w:t xml:space="preserve">QUAL.GradeVariance</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mineproductivity.kpis.quality.GradeVariance</w:t>
            </w:r>
          </w:p>
        </w:tc>
        <w:tc>
          <w:tcPr/>
          <w:p>
            <w:pPr>
              <w:pStyle w:val="Compact"/>
              <w:jc w:val="left"/>
            </w:pPr>
            <w:r>
              <w:t xml:space="preserve">Block, Material</w:t>
            </w:r>
          </w:p>
        </w:tc>
        <w:tc>
          <w:tcPr/>
          <w:p>
            <w:pPr>
              <w:pStyle w:val="Compact"/>
              <w:jc w:val="left"/>
            </w:pPr>
            <w:r>
              <w:t xml:space="preserve">P2 Ch18</w:t>
            </w:r>
          </w:p>
        </w:tc>
      </w:tr>
      <w:tr>
        <w:tc>
          <w:tcPr/>
          <w:p>
            <w:pPr>
              <w:pStyle w:val="Compact"/>
              <w:jc w:val="left"/>
            </w:pPr>
            <w:r>
              <w:rPr>
                <w:rStyle w:val="VerbatimChar"/>
              </w:rPr>
              <w:t xml:space="preserve">QUAL.Recovery</w:t>
            </w:r>
          </w:p>
        </w:tc>
        <w:tc>
          <w:tcPr/>
          <w:p>
            <w:pPr>
              <w:pStyle w:val="Compact"/>
              <w:jc w:val="left"/>
            </w:pPr>
            <w:r>
              <w:t xml:space="preserve">Both</w:t>
            </w:r>
          </w:p>
        </w:tc>
        <w:tc>
          <w:tcPr/>
          <w:p>
            <w:pPr>
              <w:pStyle w:val="Compact"/>
              <w:jc w:val="left"/>
            </w:pPr>
            <w:r>
              <w:t xml:space="preserve">Metals</w:t>
            </w:r>
          </w:p>
        </w:tc>
        <w:tc>
          <w:tcPr/>
          <w:p>
            <w:pPr>
              <w:pStyle w:val="Compact"/>
              <w:jc w:val="left"/>
            </w:pPr>
            <w:r>
              <w:rPr>
                <w:rStyle w:val="VerbatimChar"/>
              </w:rPr>
              <w:t xml:space="preserve">mineproductivity.kpis.quality.RecoveryTwoProduct</w:t>
            </w:r>
          </w:p>
        </w:tc>
        <w:tc>
          <w:tcPr/>
          <w:p>
            <w:pPr>
              <w:pStyle w:val="Compact"/>
              <w:jc w:val="left"/>
            </w:pPr>
            <w:r>
              <w:t xml:space="preserve">Plant, Metal, Ore-type</w:t>
            </w:r>
          </w:p>
        </w:tc>
        <w:tc>
          <w:tcPr/>
          <w:p>
            <w:pPr>
              <w:pStyle w:val="Compact"/>
              <w:jc w:val="left"/>
            </w:pPr>
            <w:r>
              <w:t xml:space="preserve">AH quality-ontology; P2 Ch18</w:t>
            </w:r>
          </w:p>
        </w:tc>
      </w:tr>
      <w:tr>
        <w:tc>
          <w:tcPr/>
          <w:p>
            <w:pPr>
              <w:pStyle w:val="Compact"/>
              <w:jc w:val="left"/>
            </w:pPr>
            <w:r>
              <w:rPr>
                <w:rStyle w:val="VerbatimChar"/>
              </w:rPr>
              <w:t xml:space="preserve">GRADE.HeadGrade</w:t>
            </w:r>
          </w:p>
        </w:tc>
        <w:tc>
          <w:tcPr/>
          <w:p>
            <w:pPr>
              <w:pStyle w:val="Compact"/>
              <w:jc w:val="left"/>
            </w:pPr>
            <w:r>
              <w:t xml:space="preserve">Both</w:t>
            </w:r>
          </w:p>
        </w:tc>
        <w:tc>
          <w:tcPr/>
          <w:p>
            <w:pPr>
              <w:pStyle w:val="Compact"/>
              <w:jc w:val="left"/>
            </w:pPr>
            <w:r>
              <w:t xml:space="preserve">Metals</w:t>
            </w:r>
          </w:p>
        </w:tc>
        <w:tc>
          <w:tcPr/>
          <w:p>
            <w:pPr>
              <w:pStyle w:val="Compact"/>
              <w:jc w:val="left"/>
            </w:pPr>
            <w:r>
              <w:rPr>
                <w:rStyle w:val="VerbatimChar"/>
              </w:rPr>
              <w:t xml:space="preserve">mineproductivity.kpis.grade.HeadGrade</w:t>
            </w:r>
          </w:p>
        </w:tc>
        <w:tc>
          <w:tcPr/>
          <w:p>
            <w:pPr>
              <w:pStyle w:val="Compact"/>
              <w:jc w:val="left"/>
            </w:pPr>
            <w:r>
              <w:t xml:space="preserve">Block, Metal</w:t>
            </w:r>
          </w:p>
        </w:tc>
        <w:tc>
          <w:tcPr/>
          <w:p>
            <w:pPr>
              <w:pStyle w:val="Compact"/>
              <w:jc w:val="left"/>
            </w:pPr>
            <w:r>
              <w:t xml:space="preserve">P2 Ch18</w:t>
            </w:r>
          </w:p>
        </w:tc>
      </w:tr>
      <w:tr>
        <w:tc>
          <w:tcPr/>
          <w:p>
            <w:pPr>
              <w:pStyle w:val="Compact"/>
              <w:jc w:val="left"/>
            </w:pPr>
            <w:r>
              <w:rPr>
                <w:rStyle w:val="VerbatimChar"/>
              </w:rPr>
              <w:t xml:space="preserve">GRADE.OreLossRatio</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mineproductivity.kpis.grade.OreLoss</w:t>
            </w:r>
          </w:p>
        </w:tc>
        <w:tc>
          <w:tcPr/>
          <w:p>
            <w:pPr>
              <w:pStyle w:val="Compact"/>
              <w:jc w:val="left"/>
            </w:pPr>
            <w:r>
              <w:t xml:space="preserve">Block, Boundary</w:t>
            </w:r>
          </w:p>
        </w:tc>
        <w:tc>
          <w:tcPr/>
          <w:p>
            <w:pPr>
              <w:pStyle w:val="Compact"/>
              <w:jc w:val="left"/>
            </w:pPr>
            <w:r>
              <w:t xml:space="preserve">P2 Ch13</w:t>
            </w:r>
          </w:p>
        </w:tc>
      </w:tr>
      <w:tr>
        <w:tc>
          <w:tcPr/>
          <w:p>
            <w:pPr>
              <w:pStyle w:val="Compact"/>
              <w:jc w:val="left"/>
            </w:pPr>
            <w:r>
              <w:rPr>
                <w:rStyle w:val="VerbatimChar"/>
              </w:rPr>
              <w:t xml:space="preserve">GRADE.ReconciliationF1</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mineproductivity.kpis.grade.ReconciliationFactor</w:t>
            </w:r>
          </w:p>
        </w:tc>
        <w:tc>
          <w:tcPr/>
          <w:p>
            <w:pPr>
              <w:pStyle w:val="Compact"/>
              <w:jc w:val="left"/>
            </w:pPr>
            <w:r>
              <w:t xml:space="preserve">Block, Model</w:t>
            </w:r>
          </w:p>
        </w:tc>
        <w:tc>
          <w:tcPr/>
          <w:p>
            <w:pPr>
              <w:pStyle w:val="Compact"/>
              <w:jc w:val="left"/>
            </w:pPr>
            <w:r>
              <w:t xml:space="preserve">P2 Ch18</w:t>
            </w:r>
          </w:p>
        </w:tc>
      </w:tr>
      <w:tr>
        <w:tc>
          <w:tcPr/>
          <w:p>
            <w:pPr>
              <w:pStyle w:val="Compact"/>
              <w:jc w:val="left"/>
            </w:pPr>
            <w:r>
              <w:rPr>
                <w:rStyle w:val="VerbatimChar"/>
              </w:rPr>
              <w:t xml:space="preserve">BLEND.GradeConformance</w:t>
            </w:r>
          </w:p>
        </w:tc>
        <w:tc>
          <w:tcPr/>
          <w:p>
            <w:pPr>
              <w:pStyle w:val="Compact"/>
              <w:jc w:val="left"/>
            </w:pPr>
            <w:r>
              <w:t xml:space="preserve">Both</w:t>
            </w:r>
          </w:p>
        </w:tc>
        <w:tc>
          <w:tcPr/>
          <w:p>
            <w:pPr>
              <w:pStyle w:val="Compact"/>
              <w:jc w:val="left"/>
            </w:pPr>
            <w:r>
              <w:t xml:space="preserve">Bulk</w:t>
            </w:r>
          </w:p>
        </w:tc>
        <w:tc>
          <w:tcPr/>
          <w:p>
            <w:pPr>
              <w:pStyle w:val="Compact"/>
              <w:jc w:val="left"/>
            </w:pPr>
            <w:r>
              <w:rPr>
                <w:rStyle w:val="VerbatimChar"/>
              </w:rPr>
              <w:t xml:space="preserve">mineproductivity.kpis.blending.GradeConformance</w:t>
            </w:r>
          </w:p>
        </w:tc>
        <w:tc>
          <w:tcPr/>
          <w:p>
            <w:pPr>
              <w:pStyle w:val="Compact"/>
              <w:jc w:val="left"/>
            </w:pPr>
            <w:r>
              <w:t xml:space="preserve">Stockpile, Spec</w:t>
            </w:r>
          </w:p>
        </w:tc>
        <w:tc>
          <w:tcPr/>
          <w:p>
            <w:pPr>
              <w:pStyle w:val="Compact"/>
              <w:jc w:val="left"/>
            </w:pPr>
            <w:r>
              <w:t xml:space="preserve">P2 Ch18</w:t>
            </w:r>
          </w:p>
        </w:tc>
      </w:tr>
      <w:tr>
        <w:tc>
          <w:tcPr/>
          <w:p>
            <w:pPr>
              <w:pStyle w:val="Compact"/>
              <w:jc w:val="left"/>
            </w:pPr>
            <w:r>
              <w:rPr>
                <w:rStyle w:val="VerbatimChar"/>
              </w:rPr>
              <w:t xml:space="preserve">BLEND.VarianceReduction</w:t>
            </w:r>
          </w:p>
        </w:tc>
        <w:tc>
          <w:tcPr/>
          <w:p>
            <w:pPr>
              <w:pStyle w:val="Compact"/>
              <w:jc w:val="left"/>
            </w:pPr>
            <w:r>
              <w:t xml:space="preserve">Both</w:t>
            </w:r>
          </w:p>
        </w:tc>
        <w:tc>
          <w:tcPr/>
          <w:p>
            <w:pPr>
              <w:pStyle w:val="Compact"/>
              <w:jc w:val="left"/>
            </w:pPr>
            <w:r>
              <w:t xml:space="preserve">Bulk</w:t>
            </w:r>
          </w:p>
        </w:tc>
        <w:tc>
          <w:tcPr/>
          <w:p>
            <w:pPr>
              <w:pStyle w:val="Compact"/>
              <w:jc w:val="left"/>
            </w:pPr>
            <w:r>
              <w:rPr>
                <w:rStyle w:val="VerbatimChar"/>
              </w:rPr>
              <w:t xml:space="preserve">mineproductivity.kpis.blending.VarianceReduction</w:t>
            </w:r>
          </w:p>
        </w:tc>
        <w:tc>
          <w:tcPr/>
          <w:p>
            <w:pPr>
              <w:pStyle w:val="Compact"/>
              <w:jc w:val="left"/>
            </w:pPr>
            <w:r>
              <w:t xml:space="preserve">Stockpile</w:t>
            </w:r>
          </w:p>
        </w:tc>
        <w:tc>
          <w:tcPr/>
          <w:p>
            <w:pPr>
              <w:pStyle w:val="Compact"/>
              <w:jc w:val="left"/>
            </w:pPr>
            <w:r>
              <w:t xml:space="preserve">P2 Ch18</w:t>
            </w:r>
          </w:p>
        </w:tc>
      </w:tr>
      <w:tr>
        <w:tc>
          <w:tcPr/>
          <w:p>
            <w:pPr>
              <w:pStyle w:val="Compact"/>
              <w:jc w:val="left"/>
            </w:pPr>
            <w:r>
              <w:rPr>
                <w:rStyle w:val="VerbatimChar"/>
              </w:rPr>
              <w:t xml:space="preserve">CRUSH.SpecificEnergy</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mineproductivity.kpis.crushing.SpecificEnergy</w:t>
            </w:r>
          </w:p>
        </w:tc>
        <w:tc>
          <w:tcPr/>
          <w:p>
            <w:pPr>
              <w:pStyle w:val="Compact"/>
              <w:jc w:val="left"/>
            </w:pPr>
            <w:r>
              <w:t xml:space="preserve">Crusher</w:t>
            </w:r>
          </w:p>
        </w:tc>
        <w:tc>
          <w:tcPr/>
          <w:p>
            <w:pPr>
              <w:pStyle w:val="Compact"/>
              <w:jc w:val="left"/>
            </w:pPr>
            <w:r>
              <w:t xml:space="preserve">AH ESG-ontology</w:t>
            </w:r>
          </w:p>
        </w:tc>
      </w:tr>
      <w:tr>
        <w:tc>
          <w:tcPr/>
          <w:p>
            <w:pPr>
              <w:pStyle w:val="Compact"/>
              <w:jc w:val="left"/>
            </w:pPr>
            <w:r>
              <w:rPr>
                <w:rStyle w:val="VerbatimChar"/>
              </w:rPr>
              <w:t xml:space="preserve">CRUSH.Throughput</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mineproductivity.kpis.crushing.CrusherThroughput</w:t>
            </w:r>
          </w:p>
        </w:tc>
        <w:tc>
          <w:tcPr/>
          <w:p>
            <w:pPr>
              <w:pStyle w:val="Compact"/>
              <w:jc w:val="left"/>
            </w:pPr>
            <w:r>
              <w:t xml:space="preserve">Crusher</w:t>
            </w:r>
          </w:p>
        </w:tc>
        <w:tc>
          <w:tcPr/>
          <w:p>
            <w:pPr>
              <w:pStyle w:val="Compact"/>
              <w:jc w:val="left"/>
            </w:pPr>
            <w:r>
              <w:t xml:space="preserve">P2 Ch18</w:t>
            </w:r>
          </w:p>
        </w:tc>
      </w:tr>
      <w:tr>
        <w:tc>
          <w:tcPr/>
          <w:p>
            <w:pPr>
              <w:pStyle w:val="Compact"/>
              <w:jc w:val="left"/>
            </w:pPr>
            <w:r>
              <w:rPr>
                <w:rStyle w:val="VerbatimChar"/>
              </w:rPr>
              <w:t xml:space="preserve">CRUSH.Utilisation</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mineproductivity.kpis.crushing.CrusherUtilisation</w:t>
            </w:r>
          </w:p>
        </w:tc>
        <w:tc>
          <w:tcPr/>
          <w:p>
            <w:pPr>
              <w:pStyle w:val="Compact"/>
              <w:jc w:val="left"/>
            </w:pPr>
            <w:r>
              <w:t xml:space="preserve">Crusher</w:t>
            </w:r>
          </w:p>
        </w:tc>
        <w:tc>
          <w:tcPr/>
          <w:p>
            <w:pPr>
              <w:pStyle w:val="Compact"/>
              <w:jc w:val="left"/>
            </w:pPr>
            <w:r>
              <w:t xml:space="preserve">AH canonical-semantics</w:t>
            </w:r>
          </w:p>
        </w:tc>
      </w:tr>
      <w:tr>
        <w:tc>
          <w:tcPr/>
          <w:p>
            <w:pPr>
              <w:pStyle w:val="Compact"/>
              <w:jc w:val="left"/>
            </w:pPr>
            <w:r>
              <w:rPr>
                <w:rStyle w:val="VerbatimChar"/>
              </w:rPr>
              <w:t xml:space="preserve">PROC.ConcentrateGrade</w:t>
            </w:r>
          </w:p>
        </w:tc>
        <w:tc>
          <w:tcPr/>
          <w:p>
            <w:pPr>
              <w:pStyle w:val="Compact"/>
              <w:jc w:val="left"/>
            </w:pPr>
            <w:r>
              <w:t xml:space="preserve">Both</w:t>
            </w:r>
          </w:p>
        </w:tc>
        <w:tc>
          <w:tcPr/>
          <w:p>
            <w:pPr>
              <w:pStyle w:val="Compact"/>
              <w:jc w:val="left"/>
            </w:pPr>
            <w:r>
              <w:t xml:space="preserve">Metals</w:t>
            </w:r>
          </w:p>
        </w:tc>
        <w:tc>
          <w:tcPr/>
          <w:p>
            <w:pPr>
              <w:pStyle w:val="Compact"/>
              <w:jc w:val="left"/>
            </w:pPr>
            <w:r>
              <w:rPr>
                <w:rStyle w:val="VerbatimChar"/>
              </w:rPr>
              <w:t xml:space="preserve">mineproductivity.kpis.processing.ConcentrateGrade</w:t>
            </w:r>
          </w:p>
        </w:tc>
        <w:tc>
          <w:tcPr/>
          <w:p>
            <w:pPr>
              <w:pStyle w:val="Compact"/>
              <w:jc w:val="left"/>
            </w:pPr>
            <w:r>
              <w:t xml:space="preserve">Plant, Metal</w:t>
            </w:r>
          </w:p>
        </w:tc>
        <w:tc>
          <w:tcPr/>
          <w:p>
            <w:pPr>
              <w:pStyle w:val="Compact"/>
              <w:jc w:val="left"/>
            </w:pPr>
            <w:r>
              <w:t xml:space="preserve">P2 Ch18</w:t>
            </w:r>
          </w:p>
        </w:tc>
      </w:tr>
      <w:tr>
        <w:tc>
          <w:tcPr/>
          <w:p>
            <w:pPr>
              <w:pStyle w:val="Compact"/>
              <w:jc w:val="left"/>
            </w:pPr>
            <w:r>
              <w:rPr>
                <w:rStyle w:val="VerbatimChar"/>
              </w:rPr>
              <w:t xml:space="preserve">PROC.MillThroughput</w:t>
            </w:r>
          </w:p>
        </w:tc>
        <w:tc>
          <w:tcPr/>
          <w:p>
            <w:pPr>
              <w:pStyle w:val="Compact"/>
              <w:jc w:val="left"/>
            </w:pPr>
            <w:r>
              <w:t xml:space="preserve">Both</w:t>
            </w:r>
          </w:p>
        </w:tc>
        <w:tc>
          <w:tcPr/>
          <w:p>
            <w:pPr>
              <w:pStyle w:val="Compact"/>
              <w:jc w:val="left"/>
            </w:pPr>
            <w:r>
              <w:t xml:space="preserve">Metals</w:t>
            </w:r>
          </w:p>
        </w:tc>
        <w:tc>
          <w:tcPr/>
          <w:p>
            <w:pPr>
              <w:pStyle w:val="Compact"/>
              <w:jc w:val="left"/>
            </w:pPr>
            <w:r>
              <w:rPr>
                <w:rStyle w:val="VerbatimChar"/>
              </w:rPr>
              <w:t xml:space="preserve">mineproductivity.kpis.processing.MillThroughput</w:t>
            </w:r>
          </w:p>
        </w:tc>
        <w:tc>
          <w:tcPr/>
          <w:p>
            <w:pPr>
              <w:pStyle w:val="Compact"/>
              <w:jc w:val="left"/>
            </w:pPr>
            <w:r>
              <w:t xml:space="preserve">Mill</w:t>
            </w:r>
          </w:p>
        </w:tc>
        <w:tc>
          <w:tcPr/>
          <w:p>
            <w:pPr>
              <w:pStyle w:val="Compact"/>
              <w:jc w:val="left"/>
            </w:pPr>
            <w:r>
              <w:t xml:space="preserve">P2 Ch18</w:t>
            </w:r>
          </w:p>
        </w:tc>
      </w:tr>
      <w:tr>
        <w:tc>
          <w:tcPr/>
          <w:p>
            <w:pPr>
              <w:pStyle w:val="Compact"/>
              <w:jc w:val="left"/>
            </w:pPr>
            <w:r>
              <w:rPr>
                <w:rStyle w:val="VerbatimChar"/>
              </w:rPr>
              <w:t xml:space="preserve">PROC.PlantRecovery</w:t>
            </w:r>
          </w:p>
        </w:tc>
        <w:tc>
          <w:tcPr/>
          <w:p>
            <w:pPr>
              <w:pStyle w:val="Compact"/>
              <w:jc w:val="left"/>
            </w:pPr>
            <w:r>
              <w:t xml:space="preserve">Both</w:t>
            </w:r>
          </w:p>
        </w:tc>
        <w:tc>
          <w:tcPr/>
          <w:p>
            <w:pPr>
              <w:pStyle w:val="Compact"/>
              <w:jc w:val="left"/>
            </w:pPr>
            <w:r>
              <w:t xml:space="preserve">Metals</w:t>
            </w:r>
          </w:p>
        </w:tc>
        <w:tc>
          <w:tcPr/>
          <w:p>
            <w:pPr>
              <w:pStyle w:val="Compact"/>
              <w:jc w:val="left"/>
            </w:pPr>
            <w:r>
              <w:rPr>
                <w:rStyle w:val="VerbatimChar"/>
              </w:rPr>
              <w:t xml:space="preserve">mineproductivity.kpis.processing.PlantRecovery</w:t>
            </w:r>
          </w:p>
        </w:tc>
        <w:tc>
          <w:tcPr/>
          <w:p>
            <w:pPr>
              <w:pStyle w:val="Compact"/>
              <w:jc w:val="left"/>
            </w:pPr>
            <w:r>
              <w:t xml:space="preserve">Plant, Circuit</w:t>
            </w:r>
          </w:p>
        </w:tc>
        <w:tc>
          <w:tcPr/>
          <w:p>
            <w:pPr>
              <w:pStyle w:val="Compact"/>
              <w:jc w:val="left"/>
            </w:pPr>
            <w:r>
              <w:t xml:space="preserve">P2 Ch18</w:t>
            </w:r>
          </w:p>
        </w:tc>
      </w:tr>
      <w:tr>
        <w:tc>
          <w:tcPr/>
          <w:p>
            <w:pPr>
              <w:pStyle w:val="Compact"/>
              <w:jc w:val="left"/>
            </w:pPr>
            <w:r>
              <w:rPr>
                <w:rStyle w:val="VerbatimChar"/>
              </w:rPr>
              <w:t xml:space="preserve">STOCK.Balance</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mineproductivity.kpis.stockpiles.StockpileBalance</w:t>
            </w:r>
          </w:p>
        </w:tc>
        <w:tc>
          <w:tcPr/>
          <w:p>
            <w:pPr>
              <w:pStyle w:val="Compact"/>
              <w:jc w:val="left"/>
            </w:pPr>
            <w:r>
              <w:t xml:space="preserve">Stockpile, Material</w:t>
            </w:r>
          </w:p>
        </w:tc>
        <w:tc>
          <w:tcPr/>
          <w:p>
            <w:pPr>
              <w:pStyle w:val="Compact"/>
              <w:jc w:val="left"/>
            </w:pPr>
            <w:r>
              <w:t xml:space="preserve">P2 Ch18</w:t>
            </w:r>
          </w:p>
        </w:tc>
      </w:tr>
      <w:tr>
        <w:tc>
          <w:tcPr/>
          <w:p>
            <w:pPr>
              <w:pStyle w:val="Compact"/>
              <w:jc w:val="left"/>
            </w:pPr>
            <w:r>
              <w:rPr>
                <w:rStyle w:val="VerbatimChar"/>
              </w:rPr>
              <w:t xml:space="preserve">STOCK.ResidenceTime</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mineproductivity.kpis.stockpiles.ResidenceTime</w:t>
            </w:r>
          </w:p>
        </w:tc>
        <w:tc>
          <w:tcPr/>
          <w:p>
            <w:pPr>
              <w:pStyle w:val="Compact"/>
              <w:jc w:val="left"/>
            </w:pPr>
            <w:r>
              <w:t xml:space="preserve">Stockpile</w:t>
            </w:r>
          </w:p>
        </w:tc>
        <w:tc>
          <w:tcPr/>
          <w:p>
            <w:pPr>
              <w:pStyle w:val="Compact"/>
              <w:jc w:val="left"/>
            </w:pPr>
            <w:r>
              <w:t xml:space="preserve">P2 Ch18</w:t>
            </w:r>
          </w:p>
        </w:tc>
      </w:tr>
      <w:tr>
        <w:tc>
          <w:tcPr/>
          <w:p>
            <w:pPr>
              <w:pStyle w:val="Compact"/>
              <w:jc w:val="left"/>
            </w:pPr>
            <w:r>
              <w:rPr>
                <w:rStyle w:val="VerbatimChar"/>
              </w:rPr>
              <w:t xml:space="preserve">STOCK.Turnover</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mineproductivity.kpis.stockpiles.Turnover</w:t>
            </w:r>
          </w:p>
        </w:tc>
        <w:tc>
          <w:tcPr/>
          <w:p>
            <w:pPr>
              <w:pStyle w:val="Compact"/>
              <w:jc w:val="left"/>
            </w:pPr>
            <w:r>
              <w:t xml:space="preserve">Stockpile</w:t>
            </w:r>
          </w:p>
        </w:tc>
        <w:tc>
          <w:tcPr/>
          <w:p>
            <w:pPr>
              <w:pStyle w:val="Compact"/>
              <w:jc w:val="left"/>
            </w:pPr>
            <w:r>
              <w:t xml:space="preserve">P2 Ch18</w:t>
            </w:r>
          </w:p>
        </w:tc>
      </w:tr>
      <w:tr>
        <w:tc>
          <w:tcPr/>
          <w:p>
            <w:pPr>
              <w:pStyle w:val="Compact"/>
              <w:jc w:val="left"/>
            </w:pPr>
            <w:r>
              <w:rPr>
                <w:rStyle w:val="VerbatimChar"/>
              </w:rPr>
              <w:t xml:space="preserve">RAIL.NetTonnesRailed</w:t>
            </w:r>
          </w:p>
        </w:tc>
        <w:tc>
          <w:tcPr/>
          <w:p>
            <w:pPr>
              <w:pStyle w:val="Compact"/>
              <w:jc w:val="left"/>
            </w:pPr>
            <w:r>
              <w:t xml:space="preserve">Both</w:t>
            </w:r>
          </w:p>
        </w:tc>
        <w:tc>
          <w:tcPr/>
          <w:p>
            <w:pPr>
              <w:pStyle w:val="Compact"/>
              <w:jc w:val="left"/>
            </w:pPr>
            <w:r>
              <w:t xml:space="preserve">Bulk</w:t>
            </w:r>
          </w:p>
        </w:tc>
        <w:tc>
          <w:tcPr/>
          <w:p>
            <w:pPr>
              <w:pStyle w:val="Compact"/>
              <w:jc w:val="left"/>
            </w:pPr>
            <w:r>
              <w:rPr>
                <w:rStyle w:val="VerbatimChar"/>
              </w:rPr>
              <w:t xml:space="preserve">mineproductivity.kpis.rail.NetTonnesRailed</w:t>
            </w:r>
          </w:p>
        </w:tc>
        <w:tc>
          <w:tcPr/>
          <w:p>
            <w:pPr>
              <w:pStyle w:val="Compact"/>
              <w:jc w:val="left"/>
            </w:pPr>
            <w:r>
              <w:t xml:space="preserve">Train</w:t>
            </w:r>
          </w:p>
        </w:tc>
        <w:tc>
          <w:tcPr/>
          <w:p>
            <w:pPr>
              <w:pStyle w:val="Compact"/>
              <w:jc w:val="left"/>
            </w:pPr>
            <w:r>
              <w:t xml:space="preserve">P2 Ch17</w:t>
            </w:r>
          </w:p>
        </w:tc>
      </w:tr>
      <w:tr>
        <w:tc>
          <w:tcPr/>
          <w:p>
            <w:pPr>
              <w:pStyle w:val="Compact"/>
              <w:jc w:val="left"/>
            </w:pPr>
            <w:r>
              <w:rPr>
                <w:rStyle w:val="VerbatimChar"/>
              </w:rPr>
              <w:t xml:space="preserve">RAIL.RakeUtilisation</w:t>
            </w:r>
          </w:p>
        </w:tc>
        <w:tc>
          <w:tcPr/>
          <w:p>
            <w:pPr>
              <w:pStyle w:val="Compact"/>
              <w:jc w:val="left"/>
            </w:pPr>
            <w:r>
              <w:t xml:space="preserve">Both</w:t>
            </w:r>
          </w:p>
        </w:tc>
        <w:tc>
          <w:tcPr/>
          <w:p>
            <w:pPr>
              <w:pStyle w:val="Compact"/>
              <w:jc w:val="left"/>
            </w:pPr>
            <w:r>
              <w:t xml:space="preserve">Bulk</w:t>
            </w:r>
          </w:p>
        </w:tc>
        <w:tc>
          <w:tcPr/>
          <w:p>
            <w:pPr>
              <w:pStyle w:val="Compact"/>
              <w:jc w:val="left"/>
            </w:pPr>
            <w:r>
              <w:rPr>
                <w:rStyle w:val="VerbatimChar"/>
              </w:rPr>
              <w:t xml:space="preserve">mineproductivity.kpis.rail.RakeUtilisation</w:t>
            </w:r>
          </w:p>
        </w:tc>
        <w:tc>
          <w:tcPr/>
          <w:p>
            <w:pPr>
              <w:pStyle w:val="Compact"/>
              <w:jc w:val="left"/>
            </w:pPr>
            <w:r>
              <w:t xml:space="preserve">Train</w:t>
            </w:r>
          </w:p>
        </w:tc>
        <w:tc>
          <w:tcPr/>
          <w:p>
            <w:pPr>
              <w:pStyle w:val="Compact"/>
              <w:jc w:val="left"/>
            </w:pPr>
            <w:r>
              <w:t xml:space="preserve">AH canonical-semantics</w:t>
            </w:r>
          </w:p>
        </w:tc>
      </w:tr>
      <w:tr>
        <w:tc>
          <w:tcPr/>
          <w:p>
            <w:pPr>
              <w:pStyle w:val="Compact"/>
              <w:jc w:val="left"/>
            </w:pPr>
            <w:r>
              <w:rPr>
                <w:rStyle w:val="VerbatimChar"/>
              </w:rPr>
              <w:t xml:space="preserve">RAIL.WagonTurnaround</w:t>
            </w:r>
          </w:p>
        </w:tc>
        <w:tc>
          <w:tcPr/>
          <w:p>
            <w:pPr>
              <w:pStyle w:val="Compact"/>
              <w:jc w:val="left"/>
            </w:pPr>
            <w:r>
              <w:t xml:space="preserve">Both</w:t>
            </w:r>
          </w:p>
        </w:tc>
        <w:tc>
          <w:tcPr/>
          <w:p>
            <w:pPr>
              <w:pStyle w:val="Compact"/>
              <w:jc w:val="left"/>
            </w:pPr>
            <w:r>
              <w:t xml:space="preserve">Bulk</w:t>
            </w:r>
          </w:p>
        </w:tc>
        <w:tc>
          <w:tcPr/>
          <w:p>
            <w:pPr>
              <w:pStyle w:val="Compact"/>
              <w:jc w:val="left"/>
            </w:pPr>
            <w:r>
              <w:rPr>
                <w:rStyle w:val="VerbatimChar"/>
              </w:rPr>
              <w:t xml:space="preserve">mineproductivity.kpis.rail.WagonTurnaround</w:t>
            </w:r>
          </w:p>
        </w:tc>
        <w:tc>
          <w:tcPr/>
          <w:p>
            <w:pPr>
              <w:pStyle w:val="Compact"/>
              <w:jc w:val="left"/>
            </w:pPr>
            <w:r>
              <w:t xml:space="preserve">Train, Route</w:t>
            </w:r>
          </w:p>
        </w:tc>
        <w:tc>
          <w:tcPr/>
          <w:p>
            <w:pPr>
              <w:pStyle w:val="Compact"/>
              <w:jc w:val="left"/>
            </w:pPr>
            <w:r>
              <w:t xml:space="preserve">P2 Ch17</w:t>
            </w:r>
          </w:p>
        </w:tc>
      </w:tr>
      <w:tr>
        <w:tc>
          <w:tcPr/>
          <w:p>
            <w:pPr>
              <w:pStyle w:val="Compact"/>
              <w:jc w:val="left"/>
            </w:pPr>
            <w:r>
              <w:rPr>
                <w:rStyle w:val="VerbatimChar"/>
              </w:rPr>
              <w:t xml:space="preserve">PORT.DemurrageHours</w:t>
            </w:r>
          </w:p>
        </w:tc>
        <w:tc>
          <w:tcPr/>
          <w:p>
            <w:pPr>
              <w:pStyle w:val="Compact"/>
              <w:jc w:val="left"/>
            </w:pPr>
            <w:r>
              <w:t xml:space="preserve">Both</w:t>
            </w:r>
          </w:p>
        </w:tc>
        <w:tc>
          <w:tcPr/>
          <w:p>
            <w:pPr>
              <w:pStyle w:val="Compact"/>
              <w:jc w:val="left"/>
            </w:pPr>
            <w:r>
              <w:t xml:space="preserve">Bulk</w:t>
            </w:r>
          </w:p>
        </w:tc>
        <w:tc>
          <w:tcPr/>
          <w:p>
            <w:pPr>
              <w:pStyle w:val="Compact"/>
              <w:jc w:val="left"/>
            </w:pPr>
            <w:r>
              <w:rPr>
                <w:rStyle w:val="VerbatimChar"/>
              </w:rPr>
              <w:t xml:space="preserve">mineproductivity.kpis.port.Demurrage</w:t>
            </w:r>
          </w:p>
        </w:tc>
        <w:tc>
          <w:tcPr/>
          <w:p>
            <w:pPr>
              <w:pStyle w:val="Compact"/>
              <w:jc w:val="left"/>
            </w:pPr>
            <w:r>
              <w:t xml:space="preserve">Vessel</w:t>
            </w:r>
          </w:p>
        </w:tc>
        <w:tc>
          <w:tcPr/>
          <w:p>
            <w:pPr>
              <w:pStyle w:val="Compact"/>
              <w:jc w:val="left"/>
            </w:pPr>
            <w:r>
              <w:t xml:space="preserve">P2 Ch17</w:t>
            </w:r>
          </w:p>
        </w:tc>
      </w:tr>
      <w:tr>
        <w:tc>
          <w:tcPr/>
          <w:p>
            <w:pPr>
              <w:pStyle w:val="Compact"/>
              <w:jc w:val="left"/>
            </w:pPr>
            <w:r>
              <w:rPr>
                <w:rStyle w:val="VerbatimChar"/>
              </w:rPr>
              <w:t xml:space="preserve">PORT.ShiploaderRate</w:t>
            </w:r>
          </w:p>
        </w:tc>
        <w:tc>
          <w:tcPr/>
          <w:p>
            <w:pPr>
              <w:pStyle w:val="Compact"/>
              <w:jc w:val="left"/>
            </w:pPr>
            <w:r>
              <w:t xml:space="preserve">Both</w:t>
            </w:r>
          </w:p>
        </w:tc>
        <w:tc>
          <w:tcPr/>
          <w:p>
            <w:pPr>
              <w:pStyle w:val="Compact"/>
              <w:jc w:val="left"/>
            </w:pPr>
            <w:r>
              <w:t xml:space="preserve">Bulk</w:t>
            </w:r>
          </w:p>
        </w:tc>
        <w:tc>
          <w:tcPr/>
          <w:p>
            <w:pPr>
              <w:pStyle w:val="Compact"/>
              <w:jc w:val="left"/>
            </w:pPr>
            <w:r>
              <w:rPr>
                <w:rStyle w:val="VerbatimChar"/>
              </w:rPr>
              <w:t xml:space="preserve">mineproductivity.kpis.port.ShiploaderRate</w:t>
            </w:r>
          </w:p>
        </w:tc>
        <w:tc>
          <w:tcPr/>
          <w:p>
            <w:pPr>
              <w:pStyle w:val="Compact"/>
              <w:jc w:val="left"/>
            </w:pPr>
            <w:r>
              <w:t xml:space="preserve">Shiploader</w:t>
            </w:r>
          </w:p>
        </w:tc>
        <w:tc>
          <w:tcPr/>
          <w:p>
            <w:pPr>
              <w:pStyle w:val="Compact"/>
              <w:jc w:val="left"/>
            </w:pPr>
            <w:r>
              <w:t xml:space="preserve">P2 Ch17</w:t>
            </w:r>
          </w:p>
        </w:tc>
      </w:tr>
      <w:tr>
        <w:tc>
          <w:tcPr/>
          <w:p>
            <w:pPr>
              <w:pStyle w:val="Compact"/>
              <w:jc w:val="left"/>
            </w:pPr>
            <w:r>
              <w:rPr>
                <w:rStyle w:val="VerbatimChar"/>
              </w:rPr>
              <w:t xml:space="preserve">PORT.VesselTurnaround</w:t>
            </w:r>
          </w:p>
        </w:tc>
        <w:tc>
          <w:tcPr/>
          <w:p>
            <w:pPr>
              <w:pStyle w:val="Compact"/>
              <w:jc w:val="left"/>
            </w:pPr>
            <w:r>
              <w:t xml:space="preserve">Both</w:t>
            </w:r>
          </w:p>
        </w:tc>
        <w:tc>
          <w:tcPr/>
          <w:p>
            <w:pPr>
              <w:pStyle w:val="Compact"/>
              <w:jc w:val="left"/>
            </w:pPr>
            <w:r>
              <w:t xml:space="preserve">Bulk</w:t>
            </w:r>
          </w:p>
        </w:tc>
        <w:tc>
          <w:tcPr/>
          <w:p>
            <w:pPr>
              <w:pStyle w:val="Compact"/>
              <w:jc w:val="left"/>
            </w:pPr>
            <w:r>
              <w:rPr>
                <w:rStyle w:val="VerbatimChar"/>
              </w:rPr>
              <w:t xml:space="preserve">mineproductivity.kpis.port.VesselTurnaround</w:t>
            </w:r>
          </w:p>
        </w:tc>
        <w:tc>
          <w:tcPr/>
          <w:p>
            <w:pPr>
              <w:pStyle w:val="Compact"/>
              <w:jc w:val="left"/>
            </w:pPr>
            <w:r>
              <w:t xml:space="preserve">Vessel, Berth</w:t>
            </w:r>
          </w:p>
        </w:tc>
        <w:tc>
          <w:tcPr/>
          <w:p>
            <w:pPr>
              <w:pStyle w:val="Compact"/>
              <w:jc w:val="left"/>
            </w:pPr>
            <w:r>
              <w:t xml:space="preserve">P2 Ch17</w:t>
            </w:r>
          </w:p>
        </w:tc>
      </w:tr>
      <w:tr>
        <w:tc>
          <w:tcPr/>
          <w:p>
            <w:pPr>
              <w:pStyle w:val="Compact"/>
              <w:jc w:val="left"/>
            </w:pPr>
            <w:r>
              <w:rPr>
                <w:rStyle w:val="VerbatimChar"/>
              </w:rPr>
              <w:t xml:space="preserve">COST.CostPerTonKm</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mineproductivity.kpis.cost.CostPerTonKm</w:t>
            </w:r>
          </w:p>
        </w:tc>
        <w:tc>
          <w:tcPr/>
          <w:p>
            <w:pPr>
              <w:pStyle w:val="Compact"/>
              <w:jc w:val="left"/>
            </w:pPr>
            <w:r>
              <w:t xml:space="preserve">CostType, Route</w:t>
            </w:r>
          </w:p>
        </w:tc>
        <w:tc>
          <w:tcPr/>
          <w:p>
            <w:pPr>
              <w:pStyle w:val="Compact"/>
              <w:jc w:val="left"/>
            </w:pPr>
            <w:r>
              <w:t xml:space="preserve">BP cost</w:t>
            </w:r>
          </w:p>
        </w:tc>
      </w:tr>
      <w:tr>
        <w:tc>
          <w:tcPr/>
          <w:p>
            <w:pPr>
              <w:pStyle w:val="Compact"/>
              <w:jc w:val="left"/>
            </w:pPr>
            <w:r>
              <w:rPr>
                <w:rStyle w:val="VerbatimChar"/>
              </w:rPr>
              <w:t xml:space="preserve">COST.CostPerTonne</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mineproductivity.kpis.cost.CostPerTonne</w:t>
            </w:r>
          </w:p>
        </w:tc>
        <w:tc>
          <w:tcPr/>
          <w:p>
            <w:pPr>
              <w:pStyle w:val="Compact"/>
              <w:jc w:val="left"/>
            </w:pPr>
            <w:r>
              <w:t xml:space="preserve">CostType, Material</w:t>
            </w:r>
          </w:p>
        </w:tc>
        <w:tc>
          <w:tcPr/>
          <w:p>
            <w:pPr>
              <w:pStyle w:val="Compact"/>
              <w:jc w:val="left"/>
            </w:pPr>
            <w:r>
              <w:t xml:space="preserve">AH cost-ontology; BP cost; P2 Ch18</w:t>
            </w:r>
          </w:p>
        </w:tc>
      </w:tr>
      <w:tr>
        <w:tc>
          <w:tcPr/>
          <w:p>
            <w:pPr>
              <w:pStyle w:val="Compact"/>
              <w:jc w:val="left"/>
            </w:pPr>
            <w:r>
              <w:rPr>
                <w:rStyle w:val="VerbatimChar"/>
              </w:rPr>
              <w:t xml:space="preserve">COST.FuelCostShare</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mineproductivity.kpis.cost.FuelCostShare</w:t>
            </w:r>
          </w:p>
        </w:tc>
        <w:tc>
          <w:tcPr/>
          <w:p>
            <w:pPr>
              <w:pStyle w:val="Compact"/>
              <w:jc w:val="left"/>
            </w:pPr>
            <w:r>
              <w:t xml:space="preserve">CostType</w:t>
            </w:r>
          </w:p>
        </w:tc>
        <w:tc>
          <w:tcPr/>
          <w:p>
            <w:pPr>
              <w:pStyle w:val="Compact"/>
              <w:jc w:val="left"/>
            </w:pPr>
            <w:r>
              <w:t xml:space="preserve">BP cost</w:t>
            </w:r>
          </w:p>
        </w:tc>
      </w:tr>
      <w:tr>
        <w:tc>
          <w:tcPr/>
          <w:p>
            <w:pPr>
              <w:pStyle w:val="Compact"/>
              <w:jc w:val="left"/>
            </w:pPr>
            <w:r>
              <w:rPr>
                <w:rStyle w:val="VerbatimChar"/>
              </w:rPr>
              <w:t xml:space="preserve">COST.MaintenanceCostRatio</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mineproductivity.kpis.cost.MaintenanceCostRatio</w:t>
            </w:r>
          </w:p>
        </w:tc>
        <w:tc>
          <w:tcPr/>
          <w:p>
            <w:pPr>
              <w:pStyle w:val="Compact"/>
              <w:jc w:val="left"/>
            </w:pPr>
            <w:r>
              <w:t xml:space="preserve">CostType</w:t>
            </w:r>
          </w:p>
        </w:tc>
        <w:tc>
          <w:tcPr/>
          <w:p>
            <w:pPr>
              <w:pStyle w:val="Compact"/>
              <w:jc w:val="left"/>
            </w:pPr>
            <w:r>
              <w:t xml:space="preserve">BP cost</w:t>
            </w:r>
          </w:p>
        </w:tc>
      </w:tr>
      <w:tr>
        <w:tc>
          <w:tcPr/>
          <w:p>
            <w:pPr>
              <w:pStyle w:val="Compact"/>
              <w:jc w:val="left"/>
            </w:pPr>
            <w:r>
              <w:rPr>
                <w:rStyle w:val="VerbatimChar"/>
              </w:rPr>
              <w:t xml:space="preserve">FIN.AISC</w:t>
            </w:r>
          </w:p>
        </w:tc>
        <w:tc>
          <w:tcPr/>
          <w:p>
            <w:pPr>
              <w:pStyle w:val="Compact"/>
              <w:jc w:val="left"/>
            </w:pPr>
            <w:r>
              <w:t xml:space="preserve">Both</w:t>
            </w:r>
          </w:p>
        </w:tc>
        <w:tc>
          <w:tcPr/>
          <w:p>
            <w:pPr>
              <w:pStyle w:val="Compact"/>
              <w:jc w:val="left"/>
            </w:pPr>
            <w:r>
              <w:t xml:space="preserve">Gold, Metals</w:t>
            </w:r>
          </w:p>
        </w:tc>
        <w:tc>
          <w:tcPr/>
          <w:p>
            <w:pPr>
              <w:pStyle w:val="Compact"/>
              <w:jc w:val="left"/>
            </w:pPr>
            <w:r>
              <w:rPr>
                <w:rStyle w:val="VerbatimChar"/>
              </w:rPr>
              <w:t xml:space="preserve">mineproductivity.kpis.financial.AllInSustainingCost</w:t>
            </w:r>
          </w:p>
        </w:tc>
        <w:tc>
          <w:tcPr/>
          <w:p>
            <w:pPr>
              <w:pStyle w:val="Compact"/>
              <w:jc w:val="left"/>
            </w:pPr>
            <w:r>
              <w:t xml:space="preserve">Mine, Metal</w:t>
            </w:r>
          </w:p>
        </w:tc>
        <w:tc>
          <w:tcPr/>
          <w:p>
            <w:pPr>
              <w:pStyle w:val="Compact"/>
              <w:jc w:val="left"/>
            </w:pPr>
            <w:r>
              <w:t xml:space="preserve">AH cost-ontology</w:t>
            </w:r>
          </w:p>
        </w:tc>
      </w:tr>
      <w:tr>
        <w:tc>
          <w:tcPr/>
          <w:p>
            <w:pPr>
              <w:pStyle w:val="Compact"/>
              <w:jc w:val="left"/>
            </w:pPr>
            <w:r>
              <w:rPr>
                <w:rStyle w:val="VerbatimChar"/>
              </w:rPr>
              <w:t xml:space="preserve">FIN.Margin</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mineproductivity.kpis.financial.MarginPerTonne</w:t>
            </w:r>
          </w:p>
        </w:tc>
        <w:tc>
          <w:tcPr/>
          <w:p>
            <w:pPr>
              <w:pStyle w:val="Compact"/>
              <w:jc w:val="left"/>
            </w:pPr>
            <w:r>
              <w:t xml:space="preserve">Mine</w:t>
            </w:r>
          </w:p>
        </w:tc>
        <w:tc>
          <w:tcPr/>
          <w:p>
            <w:pPr>
              <w:pStyle w:val="Compact"/>
              <w:jc w:val="left"/>
            </w:pPr>
            <w:r>
              <w:t xml:space="preserve">AH cost-ontology</w:t>
            </w:r>
          </w:p>
        </w:tc>
      </w:tr>
      <w:tr>
        <w:tc>
          <w:tcPr/>
          <w:p>
            <w:pPr>
              <w:pStyle w:val="Compact"/>
              <w:jc w:val="left"/>
            </w:pPr>
            <w:r>
              <w:rPr>
                <w:rStyle w:val="VerbatimChar"/>
              </w:rPr>
              <w:t xml:space="preserve">FIN.RevenuePerTonne</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mineproductivity.kpis.financial.RevenuePerTonne</w:t>
            </w:r>
          </w:p>
        </w:tc>
        <w:tc>
          <w:tcPr/>
          <w:p>
            <w:pPr>
              <w:pStyle w:val="Compact"/>
              <w:jc w:val="left"/>
            </w:pPr>
            <w:r>
              <w:t xml:space="preserve">Metal, Price</w:t>
            </w:r>
          </w:p>
        </w:tc>
        <w:tc>
          <w:tcPr/>
          <w:p>
            <w:pPr>
              <w:pStyle w:val="Compact"/>
              <w:jc w:val="left"/>
            </w:pPr>
            <w:r>
              <w:t xml:space="preserve">AH cost-ontology</w:t>
            </w:r>
          </w:p>
        </w:tc>
      </w:tr>
      <w:tr>
        <w:tc>
          <w:tcPr/>
          <w:p>
            <w:pPr>
              <w:pStyle w:val="Compact"/>
              <w:jc w:val="left"/>
            </w:pPr>
            <w:r>
              <w:rPr>
                <w:rStyle w:val="VerbatimChar"/>
              </w:rPr>
              <w:t xml:space="preserve">ESG.EmissionsIntensity</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mineproductivity.kpis.esg.EmissionsIntensity</w:t>
            </w:r>
          </w:p>
        </w:tc>
        <w:tc>
          <w:tcPr/>
          <w:p>
            <w:pPr>
              <w:pStyle w:val="Compact"/>
              <w:jc w:val="left"/>
            </w:pPr>
            <w:r>
              <w:t xml:space="preserve">Mine</w:t>
            </w:r>
          </w:p>
        </w:tc>
        <w:tc>
          <w:tcPr/>
          <w:p>
            <w:pPr>
              <w:pStyle w:val="Compact"/>
              <w:jc w:val="left"/>
            </w:pPr>
            <w:r>
              <w:t xml:space="preserve">AH ESG-ontology; P2 ESG-map</w:t>
            </w:r>
          </w:p>
        </w:tc>
      </w:tr>
      <w:tr>
        <w:tc>
          <w:tcPr/>
          <w:p>
            <w:pPr>
              <w:pStyle w:val="Compact"/>
              <w:jc w:val="left"/>
            </w:pPr>
            <w:r>
              <w:rPr>
                <w:rStyle w:val="VerbatimChar"/>
              </w:rPr>
              <w:t xml:space="preserve">ESG.EnergyIntensity</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mineproductivity.kpis.esg.EnergyIntensity</w:t>
            </w:r>
          </w:p>
        </w:tc>
        <w:tc>
          <w:tcPr/>
          <w:p>
            <w:pPr>
              <w:pStyle w:val="Compact"/>
              <w:jc w:val="left"/>
            </w:pPr>
            <w:r>
              <w:t xml:space="preserve">Mine</w:t>
            </w:r>
          </w:p>
        </w:tc>
        <w:tc>
          <w:tcPr/>
          <w:p>
            <w:pPr>
              <w:pStyle w:val="Compact"/>
              <w:jc w:val="left"/>
            </w:pPr>
            <w:r>
              <w:t xml:space="preserve">AH ESG-ontology; P2 ESG-map</w:t>
            </w:r>
          </w:p>
        </w:tc>
      </w:tr>
      <w:tr>
        <w:tc>
          <w:tcPr/>
          <w:p>
            <w:pPr>
              <w:pStyle w:val="Compact"/>
              <w:jc w:val="left"/>
            </w:pPr>
            <w:r>
              <w:rPr>
                <w:rStyle w:val="VerbatimChar"/>
              </w:rPr>
              <w:t xml:space="preserve">ESG.RehabilitationRatio</w:t>
            </w:r>
          </w:p>
        </w:tc>
        <w:tc>
          <w:tcPr/>
          <w:p>
            <w:pPr>
              <w:pStyle w:val="Compact"/>
              <w:jc w:val="left"/>
            </w:pPr>
            <w:r>
              <w:t xml:space="preserve">OpenPit</w:t>
            </w:r>
          </w:p>
        </w:tc>
        <w:tc>
          <w:tcPr/>
          <w:p>
            <w:pPr>
              <w:pStyle w:val="Compact"/>
              <w:jc w:val="left"/>
            </w:pPr>
            <w:r>
              <w:t xml:space="preserve">All</w:t>
            </w:r>
          </w:p>
        </w:tc>
        <w:tc>
          <w:tcPr/>
          <w:p>
            <w:pPr>
              <w:pStyle w:val="Compact"/>
              <w:jc w:val="left"/>
            </w:pPr>
            <w:r>
              <w:rPr>
                <w:rStyle w:val="VerbatimChar"/>
              </w:rPr>
              <w:t xml:space="preserve">mineproductivity.kpis.esg.RehabilitationRatio</w:t>
            </w:r>
          </w:p>
        </w:tc>
        <w:tc>
          <w:tcPr/>
          <w:p>
            <w:pPr>
              <w:pStyle w:val="Compact"/>
              <w:jc w:val="left"/>
            </w:pPr>
            <w:r>
              <w:t xml:space="preserve">Pit, Landform</w:t>
            </w:r>
          </w:p>
        </w:tc>
        <w:tc>
          <w:tcPr/>
          <w:p>
            <w:pPr>
              <w:pStyle w:val="Compact"/>
              <w:jc w:val="left"/>
            </w:pPr>
            <w:r>
              <w:t xml:space="preserve">AH ESG-ontology</w:t>
            </w:r>
          </w:p>
        </w:tc>
      </w:tr>
      <w:tr>
        <w:tc>
          <w:tcPr/>
          <w:p>
            <w:pPr>
              <w:pStyle w:val="Compact"/>
              <w:jc w:val="left"/>
            </w:pPr>
            <w:r>
              <w:rPr>
                <w:rStyle w:val="VerbatimChar"/>
              </w:rPr>
              <w:t xml:space="preserve">ESG.WaterIntensity</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mineproductivity.kpis.esg.WaterIntensity</w:t>
            </w:r>
          </w:p>
        </w:tc>
        <w:tc>
          <w:tcPr/>
          <w:p>
            <w:pPr>
              <w:pStyle w:val="Compact"/>
              <w:jc w:val="left"/>
            </w:pPr>
            <w:r>
              <w:t xml:space="preserve">Mine</w:t>
            </w:r>
          </w:p>
        </w:tc>
        <w:tc>
          <w:tcPr/>
          <w:p>
            <w:pPr>
              <w:pStyle w:val="Compact"/>
              <w:jc w:val="left"/>
            </w:pPr>
            <w:r>
              <w:t xml:space="preserve">AH ESG-ontology</w:t>
            </w:r>
          </w:p>
        </w:tc>
      </w:tr>
      <w:tr>
        <w:tc>
          <w:tcPr/>
          <w:p>
            <w:pPr>
              <w:pStyle w:val="Compact"/>
              <w:jc w:val="left"/>
            </w:pPr>
            <w:r>
              <w:rPr>
                <w:rStyle w:val="VerbatimChar"/>
              </w:rPr>
              <w:t xml:space="preserve">SAFE.FatigueEventRate</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mineproductivity.kpis.safety.FatigueEventRate</w:t>
            </w:r>
          </w:p>
        </w:tc>
        <w:tc>
          <w:tcPr/>
          <w:p>
            <w:pPr>
              <w:pStyle w:val="Compact"/>
              <w:jc w:val="left"/>
            </w:pPr>
            <w:r>
              <w:t xml:space="preserve">Operator, Shift</w:t>
            </w:r>
          </w:p>
        </w:tc>
        <w:tc>
          <w:tcPr/>
          <w:p>
            <w:pPr>
              <w:pStyle w:val="Compact"/>
              <w:jc w:val="left"/>
            </w:pPr>
            <w:r>
              <w:t xml:space="preserve">AH safety-ontology</w:t>
            </w:r>
          </w:p>
        </w:tc>
      </w:tr>
      <w:tr>
        <w:tc>
          <w:tcPr/>
          <w:p>
            <w:pPr>
              <w:pStyle w:val="Compact"/>
              <w:jc w:val="left"/>
            </w:pPr>
            <w:r>
              <w:rPr>
                <w:rStyle w:val="VerbatimChar"/>
              </w:rPr>
              <w:t xml:space="preserve">SAFE.ProximityAlertRate</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mineproductivity.kpis.safety.ProximityAlertRate</w:t>
            </w:r>
          </w:p>
        </w:tc>
        <w:tc>
          <w:tcPr/>
          <w:p>
            <w:pPr>
              <w:pStyle w:val="Compact"/>
              <w:jc w:val="left"/>
            </w:pPr>
            <w:r>
              <w:t xml:space="preserve">Equipment, Zone</w:t>
            </w:r>
          </w:p>
        </w:tc>
        <w:tc>
          <w:tcPr/>
          <w:p>
            <w:pPr>
              <w:pStyle w:val="Compact"/>
              <w:jc w:val="left"/>
            </w:pPr>
            <w:r>
              <w:t xml:space="preserve">AH safety-ontology</w:t>
            </w:r>
          </w:p>
        </w:tc>
      </w:tr>
      <w:tr>
        <w:tc>
          <w:tcPr/>
          <w:p>
            <w:pPr>
              <w:pStyle w:val="Compact"/>
              <w:jc w:val="left"/>
            </w:pPr>
            <w:r>
              <w:rPr>
                <w:rStyle w:val="VerbatimChar"/>
              </w:rPr>
              <w:t xml:space="preserve">SAFE.SeatbeltCompliance</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mineproductivity.kpis.safety.SeatbeltCompliance</w:t>
            </w:r>
          </w:p>
        </w:tc>
        <w:tc>
          <w:tcPr/>
          <w:p>
            <w:pPr>
              <w:pStyle w:val="Compact"/>
              <w:jc w:val="left"/>
            </w:pPr>
            <w:r>
              <w:t xml:space="preserve">Operator</w:t>
            </w:r>
          </w:p>
        </w:tc>
        <w:tc>
          <w:tcPr/>
          <w:p>
            <w:pPr>
              <w:pStyle w:val="Compact"/>
              <w:jc w:val="left"/>
            </w:pPr>
            <w:r>
              <w:t xml:space="preserve">AH safety-ontology</w:t>
            </w:r>
          </w:p>
        </w:tc>
      </w:tr>
      <w:tr>
        <w:tc>
          <w:tcPr/>
          <w:p>
            <w:pPr>
              <w:pStyle w:val="Compact"/>
              <w:jc w:val="left"/>
            </w:pPr>
            <w:r>
              <w:rPr>
                <w:rStyle w:val="VerbatimChar"/>
              </w:rPr>
              <w:t xml:space="preserve">SAFE.SpeedViolationRate</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mineproductivity.kpis.safety.SpeedViolationRate</w:t>
            </w:r>
          </w:p>
        </w:tc>
        <w:tc>
          <w:tcPr/>
          <w:p>
            <w:pPr>
              <w:pStyle w:val="Compact"/>
              <w:jc w:val="left"/>
            </w:pPr>
            <w:r>
              <w:t xml:space="preserve">Equipment, Operator, Zone</w:t>
            </w:r>
          </w:p>
        </w:tc>
        <w:tc>
          <w:tcPr/>
          <w:p>
            <w:pPr>
              <w:pStyle w:val="Compact"/>
              <w:jc w:val="left"/>
            </w:pPr>
            <w:r>
              <w:t xml:space="preserve">AH safety-ontology; P2 Ch16</w:t>
            </w:r>
          </w:p>
        </w:tc>
      </w:tr>
      <w:tr>
        <w:tc>
          <w:tcPr/>
          <w:p>
            <w:pPr>
              <w:pStyle w:val="Compact"/>
              <w:jc w:val="left"/>
            </w:pPr>
            <w:r>
              <w:rPr>
                <w:rStyle w:val="VerbatimChar"/>
              </w:rPr>
              <w:t xml:space="preserve">SAFE.TRIFR</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mineproductivity.kpis.safety.Trifr</w:t>
            </w:r>
          </w:p>
        </w:tc>
        <w:tc>
          <w:tcPr/>
          <w:p>
            <w:pPr>
              <w:pStyle w:val="Compact"/>
              <w:jc w:val="left"/>
            </w:pPr>
            <w:r>
              <w:t xml:space="preserve">Mine</w:t>
            </w:r>
          </w:p>
        </w:tc>
        <w:tc>
          <w:tcPr/>
          <w:p>
            <w:pPr>
              <w:pStyle w:val="Compact"/>
              <w:jc w:val="left"/>
            </w:pPr>
            <w:r>
              <w:t xml:space="preserve">AH safety-ontology</w:t>
            </w:r>
          </w:p>
        </w:tc>
      </w:tr>
      <w:tr>
        <w:tc>
          <w:tcPr/>
          <w:p>
            <w:pPr>
              <w:pStyle w:val="Compact"/>
              <w:jc w:val="left"/>
            </w:pPr>
            <w:r>
              <w:rPr>
                <w:rStyle w:val="VerbatimChar"/>
              </w:rPr>
              <w:t xml:space="preserve">AUTO.AutonomousUtilisation</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mineproductivity.kpis.autonomous.AutonomousUtilisation</w:t>
            </w:r>
          </w:p>
        </w:tc>
        <w:tc>
          <w:tcPr/>
          <w:p>
            <w:pPr>
              <w:pStyle w:val="Compact"/>
              <w:jc w:val="left"/>
            </w:pPr>
            <w:r>
              <w:t xml:space="preserve">AHS truck</w:t>
            </w:r>
          </w:p>
        </w:tc>
        <w:tc>
          <w:tcPr/>
          <w:p>
            <w:pPr>
              <w:pStyle w:val="Compact"/>
              <w:jc w:val="left"/>
            </w:pPr>
            <w:r>
              <w:t xml:space="preserve">AH canonical-semantics</w:t>
            </w:r>
          </w:p>
        </w:tc>
      </w:tr>
      <w:tr>
        <w:tc>
          <w:tcPr/>
          <w:p>
            <w:pPr>
              <w:pStyle w:val="Compact"/>
              <w:jc w:val="left"/>
            </w:pPr>
            <w:r>
              <w:rPr>
                <w:rStyle w:val="VerbatimChar"/>
              </w:rPr>
              <w:t xml:space="preserve">AUTO.InterventionRate</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mineproductivity.kpis.autonomous.InterventionRate</w:t>
            </w:r>
          </w:p>
        </w:tc>
        <w:tc>
          <w:tcPr/>
          <w:p>
            <w:pPr>
              <w:pStyle w:val="Compact"/>
              <w:jc w:val="left"/>
            </w:pPr>
            <w:r>
              <w:t xml:space="preserve">AHS truck, Zone</w:t>
            </w:r>
          </w:p>
        </w:tc>
        <w:tc>
          <w:tcPr/>
          <w:p>
            <w:pPr>
              <w:pStyle w:val="Compact"/>
              <w:jc w:val="left"/>
            </w:pPr>
            <w:r>
              <w:t xml:space="preserve">AH autonomy-ontology</w:t>
            </w:r>
          </w:p>
        </w:tc>
      </w:tr>
      <w:tr>
        <w:tc>
          <w:tcPr/>
          <w:p>
            <w:pPr>
              <w:pStyle w:val="Compact"/>
              <w:jc w:val="left"/>
            </w:pPr>
            <w:r>
              <w:rPr>
                <w:rStyle w:val="VerbatimChar"/>
              </w:rPr>
              <w:t xml:space="preserve">AUTO.MeanDistanceBetweenInterventions</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mineproductivity.kpis.autonomous.Mdbi</w:t>
            </w:r>
          </w:p>
        </w:tc>
        <w:tc>
          <w:tcPr/>
          <w:p>
            <w:pPr>
              <w:pStyle w:val="Compact"/>
              <w:jc w:val="left"/>
            </w:pPr>
            <w:r>
              <w:t xml:space="preserve">AHS truck</w:t>
            </w:r>
          </w:p>
        </w:tc>
        <w:tc>
          <w:tcPr/>
          <w:p>
            <w:pPr>
              <w:pStyle w:val="Compact"/>
              <w:jc w:val="left"/>
            </w:pPr>
            <w:r>
              <w:t xml:space="preserve">AH autonomy-ontology</w:t>
            </w:r>
          </w:p>
        </w:tc>
      </w:tr>
      <w:tr>
        <w:tc>
          <w:tcPr/>
          <w:p>
            <w:pPr>
              <w:pStyle w:val="Compact"/>
              <w:jc w:val="left"/>
            </w:pPr>
            <w:r>
              <w:rPr>
                <w:rStyle w:val="VerbatimChar"/>
              </w:rPr>
              <w:t xml:space="preserve">TWIN.PredictedAvailability</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mineproductivity.kpis.twin.PredictedAvailability</w:t>
            </w:r>
          </w:p>
        </w:tc>
        <w:tc>
          <w:tcPr/>
          <w:p>
            <w:pPr>
              <w:pStyle w:val="Compact"/>
              <w:jc w:val="left"/>
            </w:pPr>
            <w:r>
              <w:t xml:space="preserve">Asset, Twin</w:t>
            </w:r>
          </w:p>
        </w:tc>
        <w:tc>
          <w:tcPr/>
          <w:p>
            <w:pPr>
              <w:pStyle w:val="Compact"/>
              <w:jc w:val="left"/>
            </w:pPr>
            <w:r>
              <w:t xml:space="preserve">AH twin-ontology; P2 Ch20</w:t>
            </w:r>
          </w:p>
        </w:tc>
      </w:tr>
      <w:tr>
        <w:tc>
          <w:tcPr/>
          <w:p>
            <w:pPr>
              <w:pStyle w:val="Compact"/>
              <w:jc w:val="left"/>
            </w:pPr>
            <w:r>
              <w:rPr>
                <w:rStyle w:val="VerbatimChar"/>
              </w:rPr>
              <w:t xml:space="preserve">TWIN.SimulatedThroughput</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mineproductivity.kpis.twin.SimulatedThroughput</w:t>
            </w:r>
          </w:p>
        </w:tc>
        <w:tc>
          <w:tcPr/>
          <w:p>
            <w:pPr>
              <w:pStyle w:val="Compact"/>
              <w:jc w:val="left"/>
            </w:pPr>
            <w:r>
              <w:t xml:space="preserve">Fleet, Twin</w:t>
            </w:r>
          </w:p>
        </w:tc>
        <w:tc>
          <w:tcPr/>
          <w:p>
            <w:pPr>
              <w:pStyle w:val="Compact"/>
              <w:jc w:val="left"/>
            </w:pPr>
            <w:r>
              <w:t xml:space="preserve">AH twin-ontology; P2 Ch20</w:t>
            </w:r>
          </w:p>
        </w:tc>
      </w:tr>
      <w:tr>
        <w:tc>
          <w:tcPr/>
          <w:p>
            <w:pPr>
              <w:pStyle w:val="Compact"/>
              <w:jc w:val="left"/>
            </w:pPr>
            <w:r>
              <w:rPr>
                <w:rStyle w:val="VerbatimChar"/>
              </w:rPr>
              <w:t xml:space="preserve">TWIN.StateSyncLatency</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mineproductivity.kpis.twin.StateSyncLatency</w:t>
            </w:r>
          </w:p>
        </w:tc>
        <w:tc>
          <w:tcPr/>
          <w:p>
            <w:pPr>
              <w:pStyle w:val="Compact"/>
              <w:jc w:val="left"/>
            </w:pPr>
            <w:r>
              <w:t xml:space="preserve">Asset, Twin</w:t>
            </w:r>
          </w:p>
        </w:tc>
        <w:tc>
          <w:tcPr/>
          <w:p>
            <w:pPr>
              <w:pStyle w:val="Compact"/>
              <w:jc w:val="left"/>
            </w:pPr>
            <w:r>
              <w:t xml:space="preserve">AH twin-ontology; P2 Ch20</w:t>
            </w:r>
          </w:p>
        </w:tc>
      </w:tr>
      <w:tr>
        <w:tc>
          <w:tcPr/>
          <w:p>
            <w:pPr>
              <w:pStyle w:val="Compact"/>
              <w:jc w:val="left"/>
            </w:pPr>
            <w:r>
              <w:rPr>
                <w:rStyle w:val="VerbatimChar"/>
              </w:rPr>
              <w:t xml:space="preserve">DI.DecisionLatency</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mineproductivity.kpis.di.DecisionLatency</w:t>
            </w:r>
          </w:p>
        </w:tc>
        <w:tc>
          <w:tcPr/>
          <w:p>
            <w:pPr>
              <w:pStyle w:val="Compact"/>
              <w:jc w:val="left"/>
            </w:pPr>
            <w:r>
              <w:t xml:space="preserve">Decision</w:t>
            </w:r>
          </w:p>
        </w:tc>
        <w:tc>
          <w:tcPr/>
          <w:p>
            <w:pPr>
              <w:pStyle w:val="Compact"/>
              <w:jc w:val="left"/>
            </w:pPr>
            <w:r>
              <w:t xml:space="preserve">AH decision-ontology</w:t>
            </w:r>
          </w:p>
        </w:tc>
      </w:tr>
      <w:tr>
        <w:tc>
          <w:tcPr/>
          <w:p>
            <w:pPr>
              <w:pStyle w:val="Compact"/>
              <w:jc w:val="left"/>
            </w:pPr>
            <w:r>
              <w:rPr>
                <w:rStyle w:val="VerbatimChar"/>
              </w:rPr>
              <w:t xml:space="preserve">DI.RealisedUplift</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mineproductivity.kpis.di.RealisedUplift</w:t>
            </w:r>
          </w:p>
        </w:tc>
        <w:tc>
          <w:tcPr/>
          <w:p>
            <w:pPr>
              <w:pStyle w:val="Compact"/>
              <w:jc w:val="left"/>
            </w:pPr>
            <w:r>
              <w:t xml:space="preserve">Decision, Fleet</w:t>
            </w:r>
          </w:p>
        </w:tc>
        <w:tc>
          <w:tcPr/>
          <w:p>
            <w:pPr>
              <w:pStyle w:val="Compact"/>
              <w:jc w:val="left"/>
            </w:pPr>
            <w:r>
              <w:t xml:space="preserve">AH decision-ontology</w:t>
            </w:r>
          </w:p>
        </w:tc>
      </w:tr>
      <w:tr>
        <w:tc>
          <w:tcPr/>
          <w:p>
            <w:pPr>
              <w:pStyle w:val="Compact"/>
              <w:jc w:val="left"/>
            </w:pPr>
            <w:r>
              <w:rPr>
                <w:rStyle w:val="VerbatimChar"/>
              </w:rPr>
              <w:t xml:space="preserve">DI.RecommendationYield</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mineproductivity.kpis.di.RecommendationYield</w:t>
            </w:r>
          </w:p>
        </w:tc>
        <w:tc>
          <w:tcPr/>
          <w:p>
            <w:pPr>
              <w:pStyle w:val="Compact"/>
              <w:jc w:val="left"/>
            </w:pPr>
            <w:r>
              <w:t xml:space="preserve">Decision, Agent</w:t>
            </w:r>
          </w:p>
        </w:tc>
        <w:tc>
          <w:tcPr/>
          <w:p>
            <w:pPr>
              <w:pStyle w:val="Compact"/>
              <w:jc w:val="left"/>
            </w:pPr>
            <w:r>
              <w:t xml:space="preserve">AH decision-ontology</w:t>
            </w:r>
          </w:p>
        </w:tc>
      </w:tr>
      <w:tr>
        <w:tc>
          <w:tcPr/>
          <w:p>
            <w:pPr>
              <w:pStyle w:val="Compact"/>
              <w:jc w:val="left"/>
            </w:pPr>
            <w:r>
              <w:rPr>
                <w:rStyle w:val="VerbatimChar"/>
              </w:rPr>
              <w:t xml:space="preserve">AI.AnomalyScore</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mineproductivity.kpis.ai.AnomalyScore</w:t>
            </w:r>
          </w:p>
        </w:tc>
        <w:tc>
          <w:tcPr/>
          <w:p>
            <w:pPr>
              <w:pStyle w:val="Compact"/>
              <w:jc w:val="left"/>
            </w:pPr>
            <w:r>
              <w:t xml:space="preserve">Asset, Model</w:t>
            </w:r>
          </w:p>
        </w:tc>
        <w:tc>
          <w:tcPr/>
          <w:p>
            <w:pPr>
              <w:pStyle w:val="Compact"/>
              <w:jc w:val="left"/>
            </w:pPr>
            <w:r>
              <w:t xml:space="preserve">AH ai-ontology</w:t>
            </w:r>
          </w:p>
        </w:tc>
      </w:tr>
      <w:tr>
        <w:tc>
          <w:tcPr/>
          <w:p>
            <w:pPr>
              <w:pStyle w:val="Compact"/>
              <w:jc w:val="left"/>
            </w:pPr>
            <w:r>
              <w:rPr>
                <w:rStyle w:val="VerbatimChar"/>
              </w:rPr>
              <w:t xml:space="preserve">AI.FailureProbability</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mineproductivity.kpis.ai.FailureProbability</w:t>
            </w:r>
          </w:p>
        </w:tc>
        <w:tc>
          <w:tcPr/>
          <w:p>
            <w:pPr>
              <w:pStyle w:val="Compact"/>
              <w:jc w:val="left"/>
            </w:pPr>
            <w:r>
              <w:t xml:space="preserve">Asset, Model</w:t>
            </w:r>
          </w:p>
        </w:tc>
        <w:tc>
          <w:tcPr/>
          <w:p>
            <w:pPr>
              <w:pStyle w:val="Compact"/>
              <w:jc w:val="left"/>
            </w:pPr>
            <w:r>
              <w:t xml:space="preserve">AH ai-ontology</w:t>
            </w:r>
          </w:p>
        </w:tc>
      </w:tr>
      <w:tr>
        <w:tc>
          <w:tcPr/>
          <w:p>
            <w:pPr>
              <w:pStyle w:val="Compact"/>
              <w:jc w:val="left"/>
            </w:pPr>
            <w:r>
              <w:rPr>
                <w:rStyle w:val="VerbatimChar"/>
              </w:rPr>
              <w:t xml:space="preserve">AI.ForecastTPH</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mineproductivity.kpis.ai.ForecastTph</w:t>
            </w:r>
          </w:p>
        </w:tc>
        <w:tc>
          <w:tcPr/>
          <w:p>
            <w:pPr>
              <w:pStyle w:val="Compact"/>
              <w:jc w:val="left"/>
            </w:pPr>
            <w:r>
              <w:t xml:space="preserve">Fleet, Model</w:t>
            </w:r>
          </w:p>
        </w:tc>
        <w:tc>
          <w:tcPr/>
          <w:p>
            <w:pPr>
              <w:pStyle w:val="Compact"/>
              <w:jc w:val="left"/>
            </w:pPr>
            <w:r>
              <w:t xml:space="preserve">AH ai-ontology</w:t>
            </w:r>
          </w:p>
        </w:tc>
      </w:tr>
      <w:tr>
        <w:tc>
          <w:tcPr/>
          <w:p>
            <w:pPr>
              <w:pStyle w:val="Compact"/>
              <w:jc w:val="left"/>
            </w:pPr>
            <w:r>
              <w:rPr>
                <w:rStyle w:val="VerbatimChar"/>
              </w:rPr>
              <w:t xml:space="preserve">AI.OptimalAssignment</w:t>
            </w:r>
          </w:p>
        </w:tc>
        <w:tc>
          <w:tcPr/>
          <w:p>
            <w:pPr>
              <w:pStyle w:val="Compact"/>
              <w:jc w:val="left"/>
            </w:pPr>
            <w:r>
              <w:t xml:space="preserve">Both</w:t>
            </w:r>
          </w:p>
        </w:tc>
        <w:tc>
          <w:tcPr/>
          <w:p>
            <w:pPr>
              <w:pStyle w:val="Compact"/>
              <w:jc w:val="left"/>
            </w:pPr>
            <w:r>
              <w:t xml:space="preserve">All</w:t>
            </w:r>
          </w:p>
        </w:tc>
        <w:tc>
          <w:tcPr/>
          <w:p>
            <w:pPr>
              <w:pStyle w:val="Compact"/>
              <w:jc w:val="left"/>
            </w:pPr>
            <w:r>
              <w:rPr>
                <w:rStyle w:val="VerbatimChar"/>
              </w:rPr>
              <w:t xml:space="preserve">mineproductivity.kpis.ai.OptimalAssignment</w:t>
            </w:r>
          </w:p>
        </w:tc>
        <w:tc>
          <w:tcPr/>
          <w:p>
            <w:pPr>
              <w:pStyle w:val="Compact"/>
              <w:jc w:val="left"/>
            </w:pPr>
            <w:r>
              <w:t xml:space="preserve">Fleet, Model</w:t>
            </w:r>
          </w:p>
        </w:tc>
        <w:tc>
          <w:tcPr/>
          <w:p>
            <w:pPr>
              <w:pStyle w:val="Compact"/>
              <w:jc w:val="left"/>
            </w:pPr>
            <w:r>
              <w:t xml:space="preserve">AH ai-ontology; BP dispatch</w:t>
            </w:r>
          </w:p>
        </w:tc>
      </w:tr>
    </w:tbl>
    <w:p>
      <w:pPr>
        <w:pStyle w:val="BestPractice"/>
      </w:pPr>
      <w:r>
        <w:rPr>
          <w:bCs/>
          <w:b/>
        </w:rPr>
        <w:t xml:space="preserve">Best Practice — the registry is the contract.</w:t>
      </w:r>
      <w:r>
        <w:t xml:space="preserve"> When you add a KPI, you add a registry row </w:t>
      </w:r>
      <w:r>
        <w:rPr>
          <w:iCs/>
          <w:i/>
        </w:rPr>
        <w:t xml:space="preserve">first</w:t>
      </w:r>
      <w:r>
        <w:t xml:space="preserve">: the identifier, semantics, and metadata here are what make it discoverable and what every consumer binds to. A KPI that is not in the registry does not exist to the engine, the API, or an agent — no matter how good its code. Register, then implement.</w:t>
      </w:r>
    </w:p>
    <w:p>
      <w:r>
        <w:br w:type="page"/>
      </w:r>
    </w:p>
    <w:bookmarkEnd w:id="126"/>
    <w:bookmarkEnd w:id="127"/>
    <w:bookmarkStart w:id="130" w:name="appendix-b-reusable-kpi-template"/>
    <w:p>
      <w:pPr>
        <w:pStyle w:val="Heading1"/>
      </w:pPr>
      <w:bookmarkStart w:id="900076" w:name="_TocMP900076"/>
      <w:r>
        <w:t xml:space="preserve">Appendix B — Reusable KPI Template</w:t>
      </w:r>
      <w:bookmarkEnd w:id="900076"/>
    </w:p>
    <w:p>
      <w:pPr>
        <w:pStyle w:val="FirstParagraph"/>
      </w:pPr>
      <w:r>
        <w:t xml:space="preserve">This is the blank, normative template for adding a KPI to the Standard Library. Every new KPI — human- or AI-authored — MUST complete all twenty-nine fields below, in this order, before it is accepted. The template mirrors the fully-worked entries in the chapters above (see </w:t>
      </w:r>
      <w:r>
        <w:rPr>
          <w:rStyle w:val="VerbatimChar"/>
        </w:rPr>
        <w:t xml:space="preserve">PROD.TPH</w:t>
      </w:r>
      <w:r>
        <w:t xml:space="preserve"> for the reference exemplar) and the registry schema in Appendix A. Copy it, fill every field, add the registry rows, then submit.</w:t>
      </w:r>
    </w:p>
    <w:p>
      <w:pPr>
        <w:pStyle w:val="BestPractice"/>
      </w:pPr>
      <w:r>
        <w:rPr>
          <w:bCs/>
          <w:b/>
        </w:rPr>
        <w:t xml:space="preserve">Best Practice — no field is optional.</w:t>
      </w:r>
      <w:r>
        <w:t xml:space="preserve"> A blank field is a specification gap that a future implementer or agent will fill with a guess. If a field genuinely does not apply, state </w:t>
      </w:r>
      <w:r>
        <w:rPr>
          <w:iCs/>
          <w:i/>
        </w:rPr>
        <w:t xml:space="preserve">why</w:t>
      </w:r>
      <w:r>
        <w:t xml:space="preserve"> (e.g. “Dependencies — none; reads events directly”), never leave it empty. Completeness is what makes this document implementable without external sources.</w:t>
      </w:r>
    </w:p>
    <w:bookmarkStart w:id="128" w:name="the-29-mandatory-fields"/>
    <w:p>
      <w:pPr>
        <w:pStyle w:val="Heading2"/>
      </w:pPr>
      <w:bookmarkStart w:id="900077" w:name="_TocMP900077"/>
      <w:r>
        <w:t xml:space="preserve">The 29 mandatory fields</w:t>
      </w:r>
      <w:bookmarkEnd w:id="900077"/>
    </w:p>
    <w:p>
      <w:pPr>
        <w:pStyle w:val="FirstParagraph"/>
      </w:pPr>
      <w:r>
        <w:rPr>
          <w:bCs/>
          <w:b/>
        </w:rPr>
        <w:t xml:space="preserve">1. KPI Identifier.</w:t>
      </w:r>
      <w:r>
        <w:t xml:space="preserve"> </w:t>
      </w:r>
      <w:r>
        <w:rPr>
          <w:rStyle w:val="VerbatimChar"/>
        </w:rPr>
        <w:t xml:space="preserve">NAMESPACE.Name</w:t>
      </w:r>
      <w:r>
        <w:t xml:space="preserve"> in the governed format (Naming Standard chapter). Must be unique and registered.</w:t>
      </w:r>
    </w:p>
    <w:p>
      <w:pPr>
        <w:pStyle w:val="BodyText"/>
      </w:pPr>
      <w:r>
        <w:rPr>
          <w:bCs/>
          <w:b/>
        </w:rPr>
        <w:t xml:space="preserve">2. Official Name.</w:t>
      </w:r>
      <w:r>
        <w:t xml:space="preserve"> The human-readable name.</w:t>
      </w:r>
    </w:p>
    <w:p>
      <w:pPr>
        <w:pStyle w:val="BodyText"/>
      </w:pPr>
      <w:r>
        <w:rPr>
          <w:bCs/>
          <w:b/>
        </w:rPr>
        <w:t xml:space="preserve">3. Business Purpose.</w:t>
      </w:r>
      <w:r>
        <w:t xml:space="preserve"> Why this KPI exists — the decision it serves.</w:t>
      </w:r>
    </w:p>
    <w:p>
      <w:pPr>
        <w:pStyle w:val="BodyText"/>
      </w:pPr>
      <w:r>
        <w:rPr>
          <w:bCs/>
          <w:b/>
        </w:rPr>
        <w:t xml:space="preserve">4. Operational Question.</w:t>
      </w:r>
      <w:r>
        <w:t xml:space="preserve"> The single question, in plain language, that the KPI answers.</w:t>
      </w:r>
    </w:p>
    <w:p>
      <w:pPr>
        <w:pStyle w:val="BodyText"/>
      </w:pPr>
      <w:r>
        <w:rPr>
          <w:bCs/>
          <w:b/>
        </w:rPr>
        <w:t xml:space="preserve">5. Business Meaning.</w:t>
      </w:r>
      <w:r>
        <w:t xml:space="preserve"> How to interpret a high/low/rising/falling value in operational terms.</w:t>
      </w:r>
    </w:p>
    <w:p>
      <w:pPr>
        <w:pStyle w:val="BodyText"/>
      </w:pPr>
      <w:r>
        <w:rPr>
          <w:bCs/>
          <w:b/>
        </w:rPr>
        <w:t xml:space="preserve">6. Formula.</w:t>
      </w:r>
      <w:r>
        <w:t xml:space="preserve"> The mathematical definition, in plain-text/Unicode (not an image), with every symbol defined.</w:t>
      </w:r>
    </w:p>
    <w:p>
      <w:pPr>
        <w:pStyle w:val="BodyText"/>
      </w:pPr>
      <w:r>
        <w:rPr>
          <w:bCs/>
          <w:b/>
        </w:rPr>
        <w:t xml:space="preserve">7. Units.</w:t>
      </w:r>
      <w:r>
        <w:t xml:space="preserve"> The canonical unit (prefer metric; e.g. t/h, %, h, L/t, kg CO₂e/t, $/t).</w:t>
      </w:r>
    </w:p>
    <w:p>
      <w:pPr>
        <w:pStyle w:val="BodyText"/>
      </w:pPr>
      <w:r>
        <w:rPr>
          <w:bCs/>
          <w:b/>
        </w:rPr>
        <w:t xml:space="preserve">8. Dimensions.</w:t>
      </w:r>
      <w:r>
        <w:t xml:space="preserve"> The dimensions the KPI can be sliced by (Equipment, Fleet, Pit, Bench, Operator, Shift, Day, Month, Commodity, Contractor, …).</w:t>
      </w:r>
    </w:p>
    <w:p>
      <w:pPr>
        <w:pStyle w:val="BodyText"/>
      </w:pPr>
      <w:r>
        <w:rPr>
          <w:bCs/>
          <w:b/>
        </w:rPr>
        <w:t xml:space="preserve">9. Required Events.</w:t>
      </w:r>
      <w:r>
        <w:t xml:space="preserve"> The exact event types consumed (</w:t>
      </w:r>
      <w:r>
        <w:rPr>
          <w:rStyle w:val="VerbatimChar"/>
        </w:rPr>
        <w:t xml:space="preserve">CycleEvent</w:t>
      </w:r>
      <w:r>
        <w:t xml:space="preserve">, </w:t>
      </w:r>
      <w:r>
        <w:rPr>
          <w:rStyle w:val="VerbatimChar"/>
        </w:rPr>
        <w:t xml:space="preserve">DelayEvent</w:t>
      </w:r>
      <w:r>
        <w:t xml:space="preserve">, </w:t>
      </w:r>
      <w:r>
        <w:rPr>
          <w:rStyle w:val="VerbatimChar"/>
        </w:rPr>
        <w:t xml:space="preserve">MaintenanceEvent</w:t>
      </w:r>
      <w:r>
        <w:t xml:space="preserve">, </w:t>
      </w:r>
      <w:r>
        <w:rPr>
          <w:rStyle w:val="VerbatimChar"/>
        </w:rPr>
        <w:t xml:space="preserve">ProductionEvent</w:t>
      </w:r>
      <w:r>
        <w:t xml:space="preserve">, </w:t>
      </w:r>
      <w:r>
        <w:rPr>
          <w:rStyle w:val="VerbatimChar"/>
        </w:rPr>
        <w:t xml:space="preserve">ConsumptionEvent</w:t>
      </w:r>
      <w:r>
        <w:t xml:space="preserve">, </w:t>
      </w:r>
      <w:r>
        <w:rPr>
          <w:rStyle w:val="VerbatimChar"/>
        </w:rPr>
        <w:t xml:space="preserve">SafetyEvent</w:t>
      </w:r>
      <w:r>
        <w:t xml:space="preserve">, …).</w:t>
      </w:r>
    </w:p>
    <w:p>
      <w:pPr>
        <w:pStyle w:val="BodyText"/>
      </w:pPr>
      <w:r>
        <w:rPr>
          <w:bCs/>
          <w:b/>
        </w:rPr>
        <w:t xml:space="preserve">10. Required Ontology.</w:t>
      </w:r>
      <w:r>
        <w:t xml:space="preserve"> The ontology entities read (Equipment, Truck, Loader, Material, Destination, Mine, Bench, …).</w:t>
      </w:r>
    </w:p>
    <w:p>
      <w:pPr>
        <w:pStyle w:val="BodyText"/>
      </w:pPr>
      <w:r>
        <w:rPr>
          <w:bCs/>
          <w:b/>
        </w:rPr>
        <w:t xml:space="preserve">11. Dependencies.</w:t>
      </w:r>
      <w:r>
        <w:t xml:space="preserve"> Which KPIs must be computed first (the dependency edges — see Introduction).</w:t>
      </w:r>
    </w:p>
    <w:p>
      <w:pPr>
        <w:pStyle w:val="BodyText"/>
      </w:pPr>
      <w:r>
        <w:rPr>
          <w:bCs/>
          <w:b/>
        </w:rPr>
        <w:t xml:space="preserve">12. Mathematical Properties.</w:t>
      </w:r>
      <w:r>
        <w:t xml:space="preserve"> Additive / semi-additive / ratio / average / weighted-average / rolling / cumulative / derived — this governs how the KPI may be aggregated.</w:t>
      </w:r>
    </w:p>
    <w:p>
      <w:pPr>
        <w:pStyle w:val="BodyText"/>
      </w:pPr>
      <w:r>
        <w:rPr>
          <w:bCs/>
          <w:b/>
        </w:rPr>
        <w:t xml:space="preserve">13. Calculation Logic.</w:t>
      </w:r>
      <w:r>
        <w:t xml:space="preserve"> Every step from events to result, unambiguous enough to implement.</w:t>
      </w:r>
    </w:p>
    <w:p>
      <w:pPr>
        <w:pStyle w:val="BodyText"/>
      </w:pPr>
      <w:r>
        <w:rPr>
          <w:bCs/>
          <w:b/>
        </w:rPr>
        <w:t xml:space="preserve">14. Python Implementation.</w:t>
      </w:r>
      <w:r>
        <w:t xml:space="preserve"> Production-quality, PEP8, fully type-hinted, docstring’d. Pure and testable; mirrors the reference module style.</w:t>
      </w:r>
    </w:p>
    <w:p>
      <w:pPr>
        <w:pStyle w:val="BodyText"/>
      </w:pPr>
      <w:r>
        <w:rPr>
          <w:bCs/>
          <w:b/>
        </w:rPr>
        <w:t xml:space="preserve">15. Expected Output.</w:t>
      </w:r>
      <w:r>
        <w:t xml:space="preserve"> The output type and a canonical example value.</w:t>
      </w:r>
    </w:p>
    <w:p>
      <w:pPr>
        <w:pStyle w:val="BodyText"/>
      </w:pPr>
      <w:r>
        <w:rPr>
          <w:bCs/>
          <w:b/>
        </w:rPr>
        <w:t xml:space="preserve">16. Worked Example.</w:t>
      </w:r>
      <w:r>
        <w:t xml:space="preserve"> A realistic scenario using one of the five reference mines, with the numeric result.</w:t>
      </w:r>
    </w:p>
    <w:p>
      <w:pPr>
        <w:pStyle w:val="BodyText"/>
      </w:pPr>
      <w:r>
        <w:rPr>
          <w:bCs/>
          <w:b/>
        </w:rPr>
        <w:t xml:space="preserve">17. Sample Dataset.</w:t>
      </w:r>
      <w:r>
        <w:t xml:space="preserve"> A small, realistic dataset (CSV/table) that reproduces the worked example.</w:t>
      </w:r>
    </w:p>
    <w:p>
      <w:pPr>
        <w:pStyle w:val="BodyText"/>
      </w:pPr>
      <w:r>
        <w:rPr>
          <w:bCs/>
          <w:b/>
        </w:rPr>
        <w:t xml:space="preserve">18. Visualization.</w:t>
      </w:r>
      <w:r>
        <w:t xml:space="preserve"> The recommended chart(s) for this KPI and what each reveals.</w:t>
      </w:r>
    </w:p>
    <w:p>
      <w:pPr>
        <w:pStyle w:val="BodyText"/>
      </w:pPr>
      <w:r>
        <w:rPr>
          <w:bCs/>
          <w:b/>
        </w:rPr>
        <w:t xml:space="preserve">19. Operational Interpretation.</w:t>
      </w:r>
      <w:r>
        <w:t xml:space="preserve"> Benchmark bands — Excellent / Good / Poor / Critical — with commodity-specific ranges where relevant.</w:t>
      </w:r>
    </w:p>
    <w:p>
      <w:pPr>
        <w:pStyle w:val="BodyText"/>
      </w:pPr>
      <w:r>
        <w:rPr>
          <w:bCs/>
          <w:b/>
        </w:rPr>
        <w:t xml:space="preserve">20. Common Mistakes.</w:t>
      </w:r>
      <w:r>
        <w:t xml:space="preserve"> The recurring errors that corrupt this KPI.</w:t>
      </w:r>
    </w:p>
    <w:p>
      <w:pPr>
        <w:pStyle w:val="BodyText"/>
      </w:pPr>
      <w:r>
        <w:rPr>
          <w:bCs/>
          <w:b/>
        </w:rPr>
        <w:t xml:space="preserve">21. Validation Rules.</w:t>
      </w:r>
      <w:r>
        <w:t xml:space="preserve"> The invariants a valid input/result must satisfy (the guard conditions).</w:t>
      </w:r>
    </w:p>
    <w:p>
      <w:pPr>
        <w:pStyle w:val="BodyText"/>
      </w:pPr>
      <w:r>
        <w:rPr>
          <w:bCs/>
          <w:b/>
        </w:rPr>
        <w:t xml:space="preserve">22. Unit Tests.</w:t>
      </w:r>
      <w:r>
        <w:t xml:space="preserve"> </w:t>
      </w:r>
      <w:r>
        <w:rPr>
          <w:rStyle w:val="VerbatimChar"/>
        </w:rPr>
        <w:t xml:space="preserve">pytest</w:t>
      </w:r>
      <w:r>
        <w:t xml:space="preserve"> tests, including at least one canonical-value test and one guard/edge test.</w:t>
      </w:r>
    </w:p>
    <w:p>
      <w:pPr>
        <w:pStyle w:val="BodyText"/>
      </w:pPr>
      <w:r>
        <w:rPr>
          <w:bCs/>
          <w:b/>
        </w:rPr>
        <w:t xml:space="preserve">23. Performance Considerations.</w:t>
      </w:r>
      <w:r>
        <w:t xml:space="preserve"> Computational complexity and the aggregation/pre-computation strategy at scale.</w:t>
      </w:r>
    </w:p>
    <w:p>
      <w:pPr>
        <w:pStyle w:val="BodyText"/>
      </w:pPr>
      <w:r>
        <w:rPr>
          <w:bCs/>
          <w:b/>
        </w:rPr>
        <w:t xml:space="preserve">24. Edge Cases.</w:t>
      </w:r>
      <w:r>
        <w:t xml:space="preserve"> Degenerate and boundary inputs and how they are handled (zero denominators, censored windows, empty inputs).</w:t>
      </w:r>
    </w:p>
    <w:p>
      <w:pPr>
        <w:pStyle w:val="BodyText"/>
      </w:pPr>
      <w:r>
        <w:rPr>
          <w:bCs/>
          <w:b/>
        </w:rPr>
        <w:t xml:space="preserve">25. AI Contributor Notes.</w:t>
      </w:r>
      <w:r>
        <w:t xml:space="preserve"> Leading/lagging and operational/strategic classification, and the guidance an agent needs to use the KPI correctly (what to present alongside it, what action it routes to).</w:t>
      </w:r>
    </w:p>
    <w:p>
      <w:pPr>
        <w:pStyle w:val="BodyText"/>
      </w:pPr>
      <w:r>
        <w:rPr>
          <w:bCs/>
          <w:b/>
        </w:rPr>
        <w:t xml:space="preserve">26. Digital Twin Mapping.</w:t>
      </w:r>
      <w:r>
        <w:t xml:space="preserve"> How the twin maintains and exposes this KPI in real time.</w:t>
      </w:r>
    </w:p>
    <w:p>
      <w:pPr>
        <w:pStyle w:val="BodyText"/>
      </w:pPr>
      <w:r>
        <w:rPr>
          <w:bCs/>
          <w:b/>
        </w:rPr>
        <w:t xml:space="preserve">27. Decision Intelligence Mapping.</w:t>
      </w:r>
      <w:r>
        <w:t xml:space="preserve"> How a value or trend routes to a recommendation or action, and to which owner.</w:t>
      </w:r>
    </w:p>
    <w:p>
      <w:pPr>
        <w:pStyle w:val="BodyText"/>
      </w:pPr>
      <w:r>
        <w:rPr>
          <w:bCs/>
          <w:b/>
        </w:rPr>
        <w:t xml:space="preserve">28. Related KPIs.</w:t>
      </w:r>
      <w:r>
        <w:t xml:space="preserve"> The neighbouring KPIs that should be read with this one.</w:t>
      </w:r>
    </w:p>
    <w:p>
      <w:pPr>
        <w:pStyle w:val="BodyText"/>
      </w:pPr>
      <w:r>
        <w:rPr>
          <w:bCs/>
          <w:b/>
        </w:rPr>
        <w:t xml:space="preserve">29. References.</w:t>
      </w:r>
      <w:r>
        <w:t xml:space="preserve"> Industry sources and the SSOT documents (Handbook / Blueprint / Part I / Part II) the KPI draws on.</w:t>
      </w:r>
    </w:p>
    <w:bookmarkEnd w:id="128"/>
    <w:bookmarkStart w:id="129" w:name="registry-rows-to-add"/>
    <w:p>
      <w:pPr>
        <w:pStyle w:val="Heading2"/>
      </w:pPr>
      <w:bookmarkStart w:id="900078" w:name="_TocMP900078"/>
      <w:r>
        <w:t xml:space="preserve">Registry rows to add</w:t>
      </w:r>
      <w:bookmarkEnd w:id="900078"/>
    </w:p>
    <w:p>
      <w:pPr>
        <w:pStyle w:val="FirstParagraph"/>
      </w:pPr>
      <w:r>
        <w:t xml:space="preserve">Alongside the template entry, add the KPI’s two registry rows (Appendix A): one in </w:t>
      </w:r>
      <w:r>
        <w:rPr>
          <w:bCs/>
          <w:b/>
        </w:rPr>
        <w:t xml:space="preserve">Table A.1</w:t>
      </w:r>
      <w:r>
        <w:t xml:space="preserve"> (Identifier, Category, Status, Version, Units, Required Events, Dependencies, Aliases/Deprecation) and one in </w:t>
      </w:r>
      <w:r>
        <w:rPr>
          <w:bCs/>
          <w:b/>
        </w:rPr>
        <w:t xml:space="preserve">Table A.2</w:t>
      </w:r>
      <w:r>
        <w:t xml:space="preserve"> (Identifier, Method, Commodity, Implementation Class, Required Ontology, Cross-References). A KPI is not part of the library until both the template entry and the registry rows exist.</w:t>
      </w:r>
    </w:p>
    <w:p>
      <w:pPr>
        <w:pStyle w:val="AIContributorNote"/>
      </w:pPr>
      <w:r>
        <w:rPr>
          <w:bCs/>
          <w:b/>
        </w:rPr>
        <w:t xml:space="preserve">AI Contributor Note — this template is your specification.</w:t>
      </w:r>
      <w:r>
        <w:t xml:space="preserve"> An AI contributor implementing a KPI should treat these twenty-nine fields as the acceptance criteria: read the target KPI’s registry row for its contract, complete every field, mirror the reference module’s code style, and validate against the canonical worked example. Nothing here requires an external source — that is the design goal of this document.</w:t>
      </w:r>
    </w:p>
    <w:p>
      <w:r>
        <w:br w:type="page"/>
      </w:r>
    </w:p>
    <w:bookmarkEnd w:id="129"/>
    <w:bookmarkEnd w:id="130"/>
    <w:bookmarkStart w:id="131" w:name="closing-using-and-extending-this-library"/>
    <w:p>
      <w:pPr>
        <w:pStyle w:val="Heading1"/>
      </w:pPr>
      <w:bookmarkStart w:id="900079" w:name="_TocMP900079"/>
      <w:r>
        <w:t xml:space="preserve">Closing — Using and Extending This Library</w:t>
      </w:r>
      <w:bookmarkEnd w:id="900079"/>
    </w:p>
    <w:p>
      <w:pPr>
        <w:pStyle w:val="FirstParagraph"/>
      </w:pPr>
      <w:r>
        <w:t xml:space="preserve">Part III has defined the MineProductivity KPI Standard Library: the framework that makes a KPI a governed, discoverable, versioned object (Introduction); the naming standard that gives every KPI an unambiguous identifier; the canonical semantics that resolve the industry’s genuine disagreements on availability, utilisation, OEE, and delay into one adopted standard; a fully-worked flagship KPI from every major category, each with validated code, a canonical worked example, and unit tests; a 100-KPI registry spanning twenty-five namespaces; and the reusable template by which the library grows.</w:t>
      </w:r>
    </w:p>
    <w:p>
      <w:pPr>
        <w:pStyle w:val="BodyText"/>
      </w:pPr>
      <w:r>
        <w:t xml:space="preserve">This is a </w:t>
      </w:r>
      <w:r>
        <w:rPr>
          <w:bCs/>
          <w:b/>
        </w:rPr>
        <w:t xml:space="preserve">first edition</w:t>
      </w:r>
      <w:r>
        <w:t xml:space="preserve"> by design. The framework, semantics, naming, registry, and template are complete and normative now; the fully-documented per-KPI catalogue will expand — category by category, following the exact template established here — in future editions, until the library realises its goal of becoming the mining industry’s definitive open KPI reference. Every future addition binds to the same identifiers, the same canonical semantics, and the same five reference mines, so the library grows without ever contradicting itself or the locked Single Source of Truth.</w:t>
      </w:r>
    </w:p>
    <w:p>
      <w:pPr>
        <w:pStyle w:val="BodyText"/>
      </w:pPr>
      <w:r>
        <w:t xml:space="preserve">To implement any KPI in this document, a developer or agent needs nothing but this document: the registry gives the contract, the semantics remove the ambiguity, the template dictates the structure, and the reference implementations show the style. That self-sufficiency is the point — and the standard every future edition must uphold.</w:t>
      </w:r>
    </w:p>
    <w:p>
      <w:pPr>
        <w:pStyle w:val="FurtherReading"/>
      </w:pPr>
      <w:r>
        <w:rPr>
          <w:bCs/>
          <w:b/>
        </w:rPr>
        <w:t xml:space="preserve">Further Reading.</w:t>
      </w:r>
      <w:r>
        <w:t xml:space="preserve"> Master Architecture Handbook (KPI ontology and governance); Reference Implementation Blueprint (the engine that executes these KPIs); Developer &amp; Cookbook Guide Part I (building and calling KPIs); Part II (the mining concepts the KPIs measure); and the Canonical Semantics chapter above, which every KPI in the library depends upon.</w:t>
      </w:r>
    </w:p>
    <w:bookmarkEnd w:id="131"/>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updateFields w:val="true"/>
  <w:stylePaneFormatFilter w:val="0004"/>
  <w:footnotePr>
    <w:footnote w:id="-1"/>
    <w:footnote w:id="0"/>
  </w:footnotePr>
  <w:rsids/>
  <w:clrSchemeMapping w:accent1="accent1" w:accent2="accent2" w:accent3="accent3" w:accent4="accent4" w:accent5="accent5" w:accent6="accent6" w:bg1="light1" w:bg2="light2" w:followedHyperlink="followedHyperlink" w:hyperlink="hyperlink" w:t1="dark1" w:t2="dark2"/>
  <w:zoom w:percent="100"/>
  <w:embedSystemFonts/>
  <w:proofState w:grammar="clean" w:spelling="clean"/>
  <w:doNotTrackMoves/>
  <w:defaultTabStop w:val="720"/>
  <w:drawingGridHorizontalSpacing w:val="360"/>
  <w:drawingGridVerticalSpacing w:val="360"/>
  <w:displayHorizontalDrawingGridEvery w:val="0"/>
  <w:displayVerticalDrawingGridEvery w:val="0"/>
  <w:characterSpacingControl w:val="doNotCompress"/>
  <w:savePreviewPicture/>
  <m:mathPr>
    <m:mathFont m:val="Cambria Math"/>
    <m:brkBin m:val="before"/>
    <m:brkBinSub m:val="--"/>
    <m:smallFrac m:val="0"/>
    <m:dispDef/>
    <m:lMargin m:val="0"/>
    <m:rMargin m:val="0"/>
    <m:wrapRight/>
    <m:intLim m:val="subSup"/>
    <m:naryLim m:val="undOvr"/>
  </m:mathPr>
  <w:themeFontLang w:val="en-U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
      </w:rPr>
    </w:rPrDefault>
    <w:pPrDefault>
      <w:pPr>
        <w:spacing w:after="200"/>
      </w:pPr>
    </w:pPrDefault>
  </w:docDefaults>
  <w:latentStyles w:count="276" w:defLockedState="0" w:defQFormat="0" w:defSemiHidden="0" w:defUIPriority="0" w:defUnhideWhenUsed="0"/>
  <w:style w:default="1" w:styleId="Normal" w:type="paragraph">
    <w:name w:val="Normal"/>
    <w:qFormat/>
    <w:rPr>
      <w:rFonts w:ascii="Liberation Serif" w:hAnsi="Liberation Serif"/>
      <w:sz w:val="22"/>
    </w:rPr>
  </w:style>
  <w:style w:styleId="BodyText" w:type="paragraph">
    <w:name w:val="Body Text"/>
    <w:basedOn w:val="Normal"/>
    <w:link w:val="BodyTextChar"/>
    <w:pPr>
      <w:spacing w:after="180" w:before="180"/>
    </w:pPr>
    <w:qFormat/>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Liberation Sans" w:asciiTheme="majorHAnsi" w:cstheme="majorBidi" w:eastAsiaTheme="majorEastAsia" w:hAnsi="Liberation Sans" w:hAnsiTheme="majorHAnsi"/>
      <w:b/>
      <w:bCs/>
      <w:color w:val="1F2A37"/>
      <w:sz w:val="52"/>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Title" w:type="paragraph">
    <w:name w:val="Abstract Title"/>
    <w:basedOn w:val="Normal"/>
    <w:next w:val="Abstract"/>
    <w:qFormat/>
    <w:pPr>
      <w:keepNext/>
      <w:keepLines/>
      <w:jc w:val="center"/>
      <w:spacing w:after="0" w:before="300"/>
    </w:pPr>
    <w:rPr>
      <w:sz w:val="20"/>
      <w:szCs w:val="20"/>
      <w:b/>
      <w:color w:val="345A8A"/>
      &gt;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Liberation Sans" w:asciiTheme="majorHAnsi" w:cstheme="majorBidi" w:eastAsiaTheme="majorEastAsia" w:hAnsi="Liberation Sans" w:hAnsiTheme="majorHAnsi"/>
      <w:b/>
      <w:bCs/>
      <w:color w:val="1F2A37"/>
      <w:sz w:val="40"/>
      <w:szCs w:val="32"/>
    </w:rPr>
  </w:style>
  <w:style w:styleId="Heading2" w:type="paragraph">
    <w:name w:val="Heading 2"/>
    <w:basedOn w:val="Normal"/>
    <w:next w:val="BodyText"/>
    <w:uiPriority w:val="9"/>
    <w:unhideWhenUsed/>
    <w:qFormat/>
    <w:pPr>
      <w:keepNext/>
      <w:keepLines/>
      <w:spacing w:after="0" w:before="200"/>
      <w:outlineLvl w:val="1"/>
    </w:pPr>
    <w:rPr>
      <w:rFonts w:ascii="Liberation Sans" w:asciiTheme="majorHAnsi" w:cstheme="majorBidi" w:eastAsiaTheme="majorEastAsia" w:hAnsi="Liberation Sans" w:hAnsiTheme="majorHAnsi"/>
      <w:b/>
      <w:bCs/>
      <w:color w:val="2E5E8C"/>
      <w:sz w:val="32"/>
      <w:szCs w:val="28"/>
    </w:rPr>
  </w:style>
  <w:style w:styleId="Heading3" w:type="paragraph">
    <w:name w:val="Heading 3"/>
    <w:basedOn w:val="Normal"/>
    <w:next w:val="BodyText"/>
    <w:uiPriority w:val="9"/>
    <w:unhideWhenUsed/>
    <w:qFormat/>
    <w:pPr>
      <w:keepNext/>
      <w:keepLines/>
      <w:spacing w:after="0" w:before="200"/>
      <w:outlineLvl w:val="2"/>
    </w:pPr>
    <w:rPr>
      <w:rFonts w:ascii="Liberation Sans" w:asciiTheme="majorHAnsi" w:cstheme="majorBidi" w:eastAsiaTheme="majorEastAsia" w:hAnsi="Liberation Sans" w:hAnsiTheme="majorHAnsi"/>
      <w:b/>
      <w:bCs/>
      <w:color w:val="2F7E7E"/>
      <w:sz w:val="26"/>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i/>
      <w:bCs/>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vAlign w:val="bottom"/>
        <w:tcBorders>
          <w:bottom w:val="single"/>
        </w:tcBorders>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customStyle="1" w:styleId="Tip" w:type="paragraph">
    <w:name w:val="Tip"/>
    <w:basedOn w:val="Normal"/>
    <w:pPr>
      <w:pBdr>
        <w:top w:color="3B7A57" w:space="6" w:sz="4" w:val="single"/>
        <w:left w:color="3B7A57" w:space="6" w:sz="24" w:val="single"/>
        <w:bottom w:color="3B7A57" w:space="6" w:sz="4" w:val="single"/>
        <w:right w:color="3B7A57" w:space="6" w:sz="4" w:val="single"/>
      </w:pBdr>
      <w:shd w:color="auto" w:fill="EAF4EE" w:val="clear"/>
      <w:spacing w:after="120" w:before="120"/>
      <w:ind w:left="150" w:right="120"/>
    </w:pPr>
    <w:rPr>
      <w:rFonts w:ascii="Liberation Sans" w:hAnsi="Liberation Sans"/>
      <w:sz w:val="20"/>
    </w:rPr>
  </w:style>
  <w:style w:customStyle="1" w:styleId="Warning" w:type="paragraph">
    <w:name w:val="Warning"/>
    <w:basedOn w:val="Normal"/>
    <w:pPr>
      <w:pBdr>
        <w:top w:color="9C6B1E" w:space="6" w:sz="4" w:val="single"/>
        <w:left w:color="9C6B1E" w:space="6" w:sz="24" w:val="single"/>
        <w:bottom w:color="9C6B1E" w:space="6" w:sz="4" w:val="single"/>
        <w:right w:color="9C6B1E" w:space="6" w:sz="4" w:val="single"/>
      </w:pBdr>
      <w:shd w:color="auto" w:fill="FBF3E5" w:val="clear"/>
      <w:spacing w:after="120" w:before="120"/>
      <w:ind w:left="150" w:right="120"/>
    </w:pPr>
    <w:rPr>
      <w:rFonts w:ascii="Liberation Sans" w:hAnsi="Liberation Sans"/>
      <w:sz w:val="20"/>
    </w:rPr>
  </w:style>
  <w:style w:customStyle="1" w:styleId="BestPractice" w:type="paragraph">
    <w:name w:val="Best Practice"/>
    <w:basedOn w:val="Normal"/>
    <w:pPr>
      <w:pBdr>
        <w:top w:color="2F7E7E" w:space="6" w:sz="4" w:val="single"/>
        <w:left w:color="2F7E7E" w:space="6" w:sz="24" w:val="single"/>
        <w:bottom w:color="2F7E7E" w:space="6" w:sz="4" w:val="single"/>
        <w:right w:color="2F7E7E" w:space="6" w:sz="4" w:val="single"/>
      </w:pBdr>
      <w:shd w:color="auto" w:fill="E6F2F2" w:val="clear"/>
      <w:spacing w:after="120" w:before="120"/>
      <w:ind w:left="150" w:right="120"/>
    </w:pPr>
    <w:rPr>
      <w:rFonts w:ascii="Liberation Sans" w:hAnsi="Liberation Sans"/>
      <w:sz w:val="20"/>
    </w:rPr>
  </w:style>
  <w:style w:customStyle="1" w:styleId="CommonMistake" w:type="paragraph">
    <w:name w:val="Common Mistake"/>
    <w:basedOn w:val="Normal"/>
    <w:pPr>
      <w:pBdr>
        <w:top w:color="9B3B3B" w:space="6" w:sz="4" w:val="single"/>
        <w:left w:color="9B3B3B" w:space="6" w:sz="24" w:val="single"/>
        <w:bottom w:color="9B3B3B" w:space="6" w:sz="4" w:val="single"/>
        <w:right w:color="9B3B3B" w:space="6" w:sz="4" w:val="single"/>
      </w:pBdr>
      <w:shd w:color="auto" w:fill="FBEAEA" w:val="clear"/>
      <w:spacing w:after="120" w:before="120"/>
      <w:ind w:left="150" w:right="120"/>
    </w:pPr>
    <w:rPr>
      <w:rFonts w:ascii="Liberation Sans" w:hAnsi="Liberation Sans"/>
      <w:sz w:val="20"/>
    </w:rPr>
  </w:style>
  <w:style w:customStyle="1" w:styleId="PerformanceNote" w:type="paragraph">
    <w:name w:val="Performance Note"/>
    <w:basedOn w:val="Normal"/>
    <w:pPr>
      <w:pBdr>
        <w:top w:color="3F4E9C" w:space="6" w:sz="4" w:val="single"/>
        <w:left w:color="3F4E9C" w:space="6" w:sz="24" w:val="single"/>
        <w:bottom w:color="3F4E9C" w:space="6" w:sz="4" w:val="single"/>
        <w:right w:color="3F4E9C" w:space="6" w:sz="4" w:val="single"/>
      </w:pBdr>
      <w:shd w:color="auto" w:fill="ECEEF8" w:val="clear"/>
      <w:spacing w:after="120" w:before="120"/>
      <w:ind w:left="150" w:right="120"/>
    </w:pPr>
    <w:rPr>
      <w:rFonts w:ascii="Liberation Sans" w:hAnsi="Liberation Sans"/>
      <w:sz w:val="20"/>
    </w:rPr>
  </w:style>
  <w:style w:customStyle="1" w:styleId="DidYouKnow" w:type="paragraph">
    <w:name w:val="Did You Know"/>
    <w:basedOn w:val="Normal"/>
    <w:pPr>
      <w:pBdr>
        <w:top w:color="6B4E9C" w:space="6" w:sz="4" w:val="single"/>
        <w:left w:color="6B4E9C" w:space="6" w:sz="24" w:val="single"/>
        <w:bottom w:color="6B4E9C" w:space="6" w:sz="4" w:val="single"/>
        <w:right w:color="6B4E9C" w:space="6" w:sz="4" w:val="single"/>
      </w:pBdr>
      <w:shd w:color="auto" w:fill="F0EBF7" w:val="clear"/>
      <w:spacing w:after="120" w:before="120"/>
      <w:ind w:left="150" w:right="120"/>
    </w:pPr>
    <w:rPr>
      <w:rFonts w:ascii="Liberation Sans" w:hAnsi="Liberation Sans"/>
      <w:sz w:val="20"/>
    </w:rPr>
  </w:style>
  <w:style w:customStyle="1" w:styleId="MiningInsight" w:type="paragraph">
    <w:name w:val="Mining Insight"/>
    <w:basedOn w:val="Normal"/>
    <w:pPr>
      <w:pBdr>
        <w:top w:color="8A5A2B" w:space="6" w:sz="4" w:val="single"/>
        <w:left w:color="8A5A2B" w:space="6" w:sz="24" w:val="single"/>
        <w:bottom w:color="8A5A2B" w:space="6" w:sz="4" w:val="single"/>
        <w:right w:color="8A5A2B" w:space="6" w:sz="4" w:val="single"/>
      </w:pBdr>
      <w:shd w:color="auto" w:fill="F5EDE2" w:val="clear"/>
      <w:spacing w:after="120" w:before="120"/>
      <w:ind w:left="150" w:right="120"/>
    </w:pPr>
    <w:rPr>
      <w:rFonts w:ascii="Liberation Sans" w:hAnsi="Liberation Sans"/>
      <w:sz w:val="20"/>
    </w:rPr>
  </w:style>
  <w:style w:customStyle="1" w:styleId="PythonInsight" w:type="paragraph">
    <w:name w:val="Python Insight"/>
    <w:basedOn w:val="Normal"/>
    <w:pPr>
      <w:pBdr>
        <w:top w:color="2E5E8C" w:space="6" w:sz="4" w:val="single"/>
        <w:left w:color="2E5E8C" w:space="6" w:sz="24" w:val="single"/>
        <w:bottom w:color="2E5E8C" w:space="6" w:sz="4" w:val="single"/>
        <w:right w:color="2E5E8C" w:space="6" w:sz="4" w:val="single"/>
      </w:pBdr>
      <w:shd w:color="auto" w:fill="EAF1F8" w:val="clear"/>
      <w:spacing w:after="120" w:before="120"/>
      <w:ind w:left="150" w:right="120"/>
    </w:pPr>
    <w:rPr>
      <w:rFonts w:ascii="Liberation Sans" w:hAnsi="Liberation Sans"/>
      <w:sz w:val="20"/>
    </w:rPr>
  </w:style>
  <w:style w:customStyle="1" w:styleId="ArchitectureInsight" w:type="paragraph">
    <w:name w:val="Architecture Insight"/>
    <w:basedOn w:val="Normal"/>
    <w:pPr>
      <w:pBdr>
        <w:top w:color="41607A" w:space="6" w:sz="4" w:val="single"/>
        <w:left w:color="41607A" w:space="6" w:sz="24" w:val="single"/>
        <w:bottom w:color="41607A" w:space="6" w:sz="4" w:val="single"/>
        <w:right w:color="41607A" w:space="6" w:sz="4" w:val="single"/>
      </w:pBdr>
      <w:shd w:color="auto" w:fill="ECF0F4" w:val="clear"/>
      <w:spacing w:after="120" w:before="120"/>
      <w:ind w:left="150" w:right="120"/>
    </w:pPr>
    <w:rPr>
      <w:rFonts w:ascii="Liberation Sans" w:hAnsi="Liberation Sans"/>
      <w:sz w:val="20"/>
    </w:rPr>
  </w:style>
  <w:style w:customStyle="1" w:styleId="AIContributorNote" w:type="paragraph">
    <w:name w:val="AI Contributor Note"/>
    <w:basedOn w:val="Normal"/>
    <w:pPr>
      <w:pBdr>
        <w:top w:color="7A3B6B" w:space="6" w:sz="4" w:val="single"/>
        <w:left w:color="7A3B6B" w:space="6" w:sz="24" w:val="single"/>
        <w:bottom w:color="7A3B6B" w:space="6" w:sz="4" w:val="single"/>
        <w:right w:color="7A3B6B" w:space="6" w:sz="4" w:val="single"/>
      </w:pBdr>
      <w:shd w:color="auto" w:fill="F6EAF1" w:val="clear"/>
      <w:spacing w:after="120" w:before="120"/>
      <w:ind w:left="150" w:right="120"/>
    </w:pPr>
    <w:rPr>
      <w:rFonts w:ascii="Liberation Sans" w:hAnsi="Liberation Sans"/>
      <w:sz w:val="20"/>
    </w:rPr>
  </w:style>
  <w:style w:customStyle="1" w:styleId="LearningObjectives" w:type="paragraph">
    <w:name w:val="Learning Objectives"/>
    <w:basedOn w:val="Normal"/>
    <w:pPr>
      <w:pBdr>
        <w:top w:color="1F5673" w:space="6" w:sz="4" w:val="single"/>
        <w:left w:color="1F5673" w:space="6" w:sz="24" w:val="single"/>
        <w:bottom w:color="1F5673" w:space="6" w:sz="4" w:val="single"/>
        <w:right w:color="1F5673" w:space="6" w:sz="4" w:val="single"/>
      </w:pBdr>
      <w:shd w:color="auto" w:fill="E3EEF4" w:val="clear"/>
      <w:spacing w:after="120" w:before="120"/>
      <w:ind w:left="150" w:right="120"/>
    </w:pPr>
    <w:rPr>
      <w:rFonts w:ascii="Liberation Sans" w:hAnsi="Liberation Sans"/>
      <w:sz w:val="20"/>
    </w:rPr>
  </w:style>
  <w:style w:customStyle="1" w:styleId="KeyConcepts" w:type="paragraph">
    <w:name w:val="Key Concepts"/>
    <w:basedOn w:val="Normal"/>
    <w:pPr>
      <w:pBdr>
        <w:top w:color="5B6470" w:space="6" w:sz="4" w:val="single"/>
        <w:left w:color="5B6470" w:space="6" w:sz="24" w:val="single"/>
        <w:bottom w:color="5B6470" w:space="6" w:sz="4" w:val="single"/>
        <w:right w:color="5B6470" w:space="6" w:sz="4" w:val="single"/>
      </w:pBdr>
      <w:shd w:color="auto" w:fill="EAECEF" w:val="clear"/>
      <w:spacing w:after="120" w:before="120"/>
      <w:ind w:left="150" w:right="120"/>
    </w:pPr>
    <w:rPr>
      <w:rFonts w:ascii="Liberation Sans" w:hAnsi="Liberation Sans"/>
      <w:sz w:val="20"/>
    </w:rPr>
  </w:style>
  <w:style w:customStyle="1" w:styleId="RealMineExample" w:type="paragraph">
    <w:name w:val="Real Mine Example"/>
    <w:basedOn w:val="Normal"/>
    <w:pPr>
      <w:pBdr>
        <w:top w:color="3E5C76" w:space="6" w:sz="4" w:val="single"/>
        <w:left w:color="3E5C76" w:space="6" w:sz="24" w:val="single"/>
        <w:bottom w:color="3E5C76" w:space="6" w:sz="4" w:val="single"/>
        <w:right w:color="3E5C76" w:space="6" w:sz="4" w:val="single"/>
      </w:pBdr>
      <w:shd w:color="auto" w:fill="E6ECF2" w:val="clear"/>
      <w:spacing w:after="120" w:before="120"/>
      <w:ind w:left="150" w:right="120"/>
    </w:pPr>
    <w:rPr>
      <w:rFonts w:ascii="Liberation Sans" w:hAnsi="Liberation Sans"/>
      <w:sz w:val="20"/>
    </w:rPr>
  </w:style>
  <w:style w:customStyle="1" w:styleId="DigitalTwinInsight" w:type="paragraph">
    <w:name w:val="Digital Twin Insight"/>
    <w:basedOn w:val="Normal"/>
    <w:pPr>
      <w:pBdr>
        <w:top w:color="2B7A7A" w:space="6" w:sz="4" w:val="single"/>
        <w:left w:color="2B7A7A" w:space="6" w:sz="24" w:val="single"/>
        <w:bottom w:color="2B7A7A" w:space="6" w:sz="4" w:val="single"/>
        <w:right w:color="2B7A7A" w:space="6" w:sz="4" w:val="single"/>
      </w:pBdr>
      <w:shd w:color="auto" w:fill="DCEFEF" w:val="clear"/>
      <w:spacing w:after="120" w:before="120"/>
      <w:ind w:left="150" w:right="120"/>
    </w:pPr>
    <w:rPr>
      <w:rFonts w:ascii="Liberation Sans" w:hAnsi="Liberation Sans"/>
      <w:sz w:val="20"/>
    </w:rPr>
  </w:style>
  <w:style w:type="paragraph" w:customStyle="1" w:styleId="FurtherReading">
    <w:name w:val="Further Reading"/>
    <w:basedOn w:val="BodyText"/>
    <w:qFormat/>
  </w:style>
  <w:style w:type="paragraph" w:customStyle="1" w:styleId="SourceCode">
    <w:name w:val="Source Code"/>
    <w:basedOn w:val="Normal"/>
    <w:link w:val="VerbatimChar"/>
    <w:pPr>
      <w:wordWrap w:val="off"/>
      <w:shd w:val="clear" w:fill="f8f8f8"/>
    </w:pPr>
  </w:style>
  <w:style w:type="character" w:customStyle="1" w:styleId="KeywordTok">
    <w:name w:val="KeywordTok"/>
    <w:basedOn w:val="VerbatimChar"/>
    <w:rPr>
      <w:color w:val="204a87"/>
      <w:shd w:val="clear" w:fill="f8f8f8"/>
      <w:b/>
    </w:rPr>
  </w:style>
  <w:style w:type="character" w:customStyle="1" w:styleId="DataTypeTok">
    <w:name w:val="DataTypeTok"/>
    <w:basedOn w:val="VerbatimChar"/>
    <w:rPr>
      <w:color w:val="204a87"/>
      <w:shd w:val="clear" w:fill="f8f8f8"/>
    </w:rPr>
  </w:style>
  <w:style w:type="character" w:customStyle="1" w:styleId="DecValTok">
    <w:name w:val="DecValTok"/>
    <w:basedOn w:val="VerbatimChar"/>
    <w:rPr>
      <w:color w:val="0000cf"/>
      <w:shd w:val="clear" w:fill="f8f8f8"/>
    </w:rPr>
  </w:style>
  <w:style w:type="character" w:customStyle="1" w:styleId="BaseNTok">
    <w:name w:val="BaseNTok"/>
    <w:basedOn w:val="VerbatimChar"/>
    <w:rPr>
      <w:color w:val="0000cf"/>
      <w:shd w:val="clear" w:fill="f8f8f8"/>
    </w:rPr>
  </w:style>
  <w:style w:type="character" w:customStyle="1" w:styleId="FloatTok">
    <w:name w:val="FloatTok"/>
    <w:basedOn w:val="VerbatimChar"/>
    <w:rPr>
      <w:color w:val="0000cf"/>
      <w:shd w:val="clear" w:fill="f8f8f8"/>
    </w:rPr>
  </w:style>
  <w:style w:type="character" w:customStyle="1" w:styleId="ConstantTok">
    <w:name w:val="ConstantTok"/>
    <w:basedOn w:val="VerbatimChar"/>
    <w:rPr>
      <w:color w:val="8f5902"/>
      <w:shd w:val="clear" w:fill="f8f8f8"/>
    </w:rPr>
  </w:style>
  <w:style w:type="character" w:customStyle="1" w:styleId="CharTok">
    <w:name w:val="CharTok"/>
    <w:basedOn w:val="VerbatimChar"/>
    <w:rPr>
      <w:color w:val="4e9a06"/>
      <w:shd w:val="clear" w:fill="f8f8f8"/>
    </w:rPr>
  </w:style>
  <w:style w:type="character" w:customStyle="1" w:styleId="SpecialCharTok">
    <w:name w:val="SpecialCharTok"/>
    <w:basedOn w:val="VerbatimChar"/>
    <w:rPr>
      <w:color w:val="ce5c00"/>
      <w:shd w:val="clear" w:fill="f8f8f8"/>
      <w:b/>
    </w:rPr>
  </w:style>
  <w:style w:type="character" w:customStyle="1" w:styleId="StringTok">
    <w:name w:val="StringTok"/>
    <w:basedOn w:val="VerbatimChar"/>
    <w:rPr>
      <w:color w:val="4e9a06"/>
      <w:shd w:val="clear" w:fill="f8f8f8"/>
    </w:rPr>
  </w:style>
  <w:style w:type="character" w:customStyle="1" w:styleId="VerbatimStringTok">
    <w:name w:val="VerbatimStringTok"/>
    <w:basedOn w:val="VerbatimChar"/>
    <w:rPr>
      <w:color w:val="4e9a06"/>
      <w:shd w:val="clear" w:fill="f8f8f8"/>
    </w:rPr>
  </w:style>
  <w:style w:type="character" w:customStyle="1" w:styleId="SpecialStringTok">
    <w:name w:val="SpecialStringTok"/>
    <w:basedOn w:val="VerbatimChar"/>
    <w:rPr>
      <w:color w:val="4e9a06"/>
      <w:shd w:val="clear" w:fill="f8f8f8"/>
    </w:rPr>
  </w:style>
  <w:style w:type="character" w:customStyle="1" w:styleId="ImportTok">
    <w:name w:val="ImportTok"/>
    <w:basedOn w:val="VerbatimChar"/>
    <w:rPr>
      <w:shd w:val="clear" w:fill="f8f8f8"/>
    </w:rPr>
  </w:style>
  <w:style w:type="character" w:customStyle="1" w:styleId="CommentTok">
    <w:name w:val="CommentTok"/>
    <w:basedOn w:val="VerbatimChar"/>
    <w:rPr>
      <w:color w:val="8f5902"/>
      <w:shd w:val="clear" w:fill="f8f8f8"/>
      <w:i/>
    </w:rPr>
  </w:style>
  <w:style w:type="character" w:customStyle="1" w:styleId="DocumentationTok">
    <w:name w:val="DocumentationTok"/>
    <w:basedOn w:val="VerbatimChar"/>
    <w:rPr>
      <w:color w:val="8f5902"/>
      <w:shd w:val="clear" w:fill="f8f8f8"/>
      <w:b/>
      <w:i/>
    </w:rPr>
  </w:style>
  <w:style w:type="character" w:customStyle="1" w:styleId="AnnotationTok">
    <w:name w:val="AnnotationTok"/>
    <w:basedOn w:val="VerbatimChar"/>
    <w:rPr>
      <w:color w:val="8f5902"/>
      <w:shd w:val="clear" w:fill="f8f8f8"/>
      <w:b/>
      <w:i/>
    </w:rPr>
  </w:style>
  <w:style w:type="character" w:customStyle="1" w:styleId="CommentVarTok">
    <w:name w:val="CommentVarTok"/>
    <w:basedOn w:val="VerbatimChar"/>
    <w:rPr>
      <w:color w:val="8f5902"/>
      <w:shd w:val="clear" w:fill="f8f8f8"/>
      <w:b/>
      <w:i/>
    </w:rPr>
  </w:style>
  <w:style w:type="character" w:customStyle="1" w:styleId="OtherTok">
    <w:name w:val="OtherTok"/>
    <w:basedOn w:val="VerbatimChar"/>
    <w:rPr>
      <w:color w:val="8f5902"/>
      <w:shd w:val="clear" w:fill="f8f8f8"/>
    </w:rPr>
  </w:style>
  <w:style w:type="character" w:customStyle="1" w:styleId="FunctionTok">
    <w:name w:val="FunctionTok"/>
    <w:basedOn w:val="VerbatimChar"/>
    <w:rPr>
      <w:color w:val="204a87"/>
      <w:shd w:val="clear" w:fill="f8f8f8"/>
      <w:b/>
    </w:rPr>
  </w:style>
  <w:style w:type="character" w:customStyle="1" w:styleId="VariableTok">
    <w:name w:val="VariableTok"/>
    <w:basedOn w:val="VerbatimChar"/>
    <w:rPr>
      <w:color w:val="000000"/>
      <w:shd w:val="clear" w:fill="f8f8f8"/>
    </w:rPr>
  </w:style>
  <w:style w:type="character" w:customStyle="1" w:styleId="ControlFlowTok">
    <w:name w:val="ControlFlowTok"/>
    <w:basedOn w:val="VerbatimChar"/>
    <w:rPr>
      <w:color w:val="204a87"/>
      <w:shd w:val="clear" w:fill="f8f8f8"/>
      <w:b/>
    </w:rPr>
  </w:style>
  <w:style w:type="character" w:customStyle="1" w:styleId="OperatorTok">
    <w:name w:val="OperatorTok"/>
    <w:basedOn w:val="VerbatimChar"/>
    <w:rPr>
      <w:color w:val="ce5c00"/>
      <w:shd w:val="clear" w:fill="f8f8f8"/>
      <w:b/>
    </w:rPr>
  </w:style>
  <w:style w:type="character" w:customStyle="1" w:styleId="BuiltInTok">
    <w:name w:val="BuiltInTok"/>
    <w:basedOn w:val="VerbatimChar"/>
    <w:rPr>
      <w:shd w:val="clear" w:fill="f8f8f8"/>
    </w:rPr>
  </w:style>
  <w:style w:type="character" w:customStyle="1" w:styleId="ExtensionTok">
    <w:name w:val="ExtensionTok"/>
    <w:basedOn w:val="VerbatimChar"/>
    <w:rPr>
      <w:shd w:val="clear" w:fill="f8f8f8"/>
    </w:rPr>
  </w:style>
  <w:style w:type="character" w:customStyle="1" w:styleId="PreprocessorTok">
    <w:name w:val="PreprocessorTok"/>
    <w:basedOn w:val="VerbatimChar"/>
    <w:rPr>
      <w:color w:val="8f5902"/>
      <w:shd w:val="clear" w:fill="f8f8f8"/>
      <w:i/>
    </w:rPr>
  </w:style>
  <w:style w:type="character" w:customStyle="1" w:styleId="AttributeTok">
    <w:name w:val="AttributeTok"/>
    <w:basedOn w:val="VerbatimChar"/>
    <w:rPr>
      <w:color w:val="204a87"/>
      <w:shd w:val="clear" w:fill="f8f8f8"/>
    </w:rPr>
  </w:style>
  <w:style w:type="character" w:customStyle="1" w:styleId="RegionMarkerTok">
    <w:name w:val="RegionMarkerTok"/>
    <w:basedOn w:val="VerbatimChar"/>
    <w:rPr>
      <w:shd w:val="clear" w:fill="f8f8f8"/>
    </w:rPr>
  </w:style>
  <w:style w:type="character" w:customStyle="1" w:styleId="InformationTok">
    <w:name w:val="InformationTok"/>
    <w:basedOn w:val="VerbatimChar"/>
    <w:rPr>
      <w:color w:val="8f5902"/>
      <w:shd w:val="clear" w:fill="f8f8f8"/>
      <w:b/>
      <w:i/>
    </w:rPr>
  </w:style>
  <w:style w:type="character" w:customStyle="1" w:styleId="WarningTok">
    <w:name w:val="WarningTok"/>
    <w:basedOn w:val="VerbatimChar"/>
    <w:rPr>
      <w:color w:val="8f5902"/>
      <w:shd w:val="clear" w:fill="f8f8f8"/>
      <w:b/>
      <w:i/>
    </w:rPr>
  </w:style>
  <w:style w:type="character" w:customStyle="1" w:styleId="AlertTok">
    <w:name w:val="AlertTok"/>
    <w:basedOn w:val="VerbatimChar"/>
    <w:rPr>
      <w:color w:val="ef2929"/>
      <w:shd w:val="clear" w:fill="f8f8f8"/>
    </w:rPr>
  </w:style>
  <w:style w:type="character" w:customStyle="1" w:styleId="ErrorTok">
    <w:name w:val="ErrorTok"/>
    <w:basedOn w:val="VerbatimChar"/>
    <w:rPr>
      <w:color w:val="a40000"/>
      <w:shd w:val="clear" w:fill="f8f8f8"/>
      <w:b/>
    </w:rPr>
  </w:style>
  <w:style w:type="character" w:customStyle="1" w:styleId="NormalTok">
    <w:name w:val="NormalTok"/>
    <w:basedOn w:val="VerbatimChar"/>
    <w:rPr>
      <w:shd w:val="clear" w:fill="f8f8f8"/>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1" Target="numbering.xml"/><Relationship Type="http://schemas.openxmlformats.org/officeDocument/2006/relationships/styles" Id="rId2" Target="styles.xml"/><Relationship Type="http://schemas.openxmlformats.org/officeDocument/2006/relationships/settings" Id="rId3" Target="settings.xml"/><Relationship Type="http://schemas.openxmlformats.org/officeDocument/2006/relationships/webSettings" Id="rId4" Target="webSettings.xml"/><Relationship Type="http://schemas.openxmlformats.org/officeDocument/2006/relationships/fontTable" Id="rId5" Target="fontTable.xml"/><Relationship Type="http://schemas.openxmlformats.org/officeDocument/2006/relationships/theme" Id="rId6" Target="theme/theme1.xml"/><Relationship Type="http://schemas.openxmlformats.org/officeDocument/2006/relationships/footnotes" Id="rId7" Target="footnotes.xml"/><Relationship Type="http://schemas.openxmlformats.org/officeDocument/2006/relationships/comments" Id="rId8" Target="comments.xml"/><Relationship Type="http://schemas.openxmlformats.org/officeDocument/2006/relationships/image" Id="rId52" Target="media/rId52.png"/><Relationship Type="http://schemas.openxmlformats.org/officeDocument/2006/relationships/image" Id="rId63" Target="media/rId63.png"/><Relationship Type="http://schemas.openxmlformats.org/officeDocument/2006/relationships/image" Id="rId26" Target="media/rId26.png"/><Relationship Type="http://schemas.openxmlformats.org/officeDocument/2006/relationships/image" Id="rId31" Target="media/rId31.png"/><Relationship Type="http://schemas.openxmlformats.org/officeDocument/2006/relationships/image" Id="rId42" Target="media/rId42.png"/><Relationship Type="http://schemas.openxmlformats.org/officeDocument/2006/relationships/image" Id="rId35" Target="media/rId35.png"/><Relationship Type="http://schemas.openxmlformats.org/officeDocument/2006/relationships/image" Id="rId22" Target="media/rId22.png"/><Relationship Type="http://schemas.openxmlformats.org/officeDocument/2006/relationships/image" Id="rId70" Target="media/rId70.png"/><Relationship Type="http://schemas.openxmlformats.org/officeDocument/2006/relationships/image" Id="rId58" Target="media/rId58.png"/><Relationship Type="http://schemas.openxmlformats.org/officeDocument/2006/relationships/image" Id="rId100" Target="media/rId100.png"/></Relationships>
</file>

<file path=word/_rels/footnotes.xml.rels><?xml version="1.0" encoding="UTF-8"?><Relationships xmlns="http://schemas.openxmlformats.org/package/2006/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2026-07-01T13:06:34Z</dcterms:created>
  <dcterms:modified xsi:type="dcterms:W3CDTF">2026-07-01T13:06:34Z</dcterms:modified>
</cp:coreProperties>
</file>

<file path=docProps/custom.xml><?xml version="1.0" encoding="utf-8"?>
<Properties xmlns="http://schemas.openxmlformats.org/officeDocument/2006/custom-properties" xmlns:vt="http://schemas.openxmlformats.org/officeDocument/2006/docPropsVTypes"/>
</file>