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147.png" ContentType="image/png"/>
  <Override PartName="/word/media/rId114.png" ContentType="image/png"/>
  <Override PartName="/word/media/rId84.png" ContentType="image/png"/>
  <Override PartName="/word/media/rId32.png" ContentType="image/png"/>
  <Override PartName="/word/media/rId28.png" ContentType="image/png"/>
  <Override PartName="/word/media/rId21.png" ContentType="image/png"/>
  <Override PartName="/word/media/rId63.png" ContentType="image/png"/>
  <Override PartName="/word/media/rId74.png" ContentType="image/png"/>
  <Override PartName="/word/media/rId128.png" ContentType="image/png"/>
  <Default Extension="png" ContentType="image/png"/>
</Types>
</file>

<file path=_rels/.rels><?xml version="1.0" encoding="UTF-8"?><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MineProductivity</w:t>
      </w:r>
    </w:p>
    <w:p>
      <w:pPr>
        <w:pStyle w:val="Subtitle"/>
      </w:pPr>
      <w:r>
        <w:t xml:space="preserve">Learning &amp; Benchmark Suite</w:t>
      </w:r>
    </w:p>
    <w:p>
      <w:pPr>
        <w:pStyle w:val="Subtitle"/>
      </w:pPr>
      <w:r>
        <w:t xml:space="preserve">Version 1.0 · The Educational, Validation &amp; Demonstration Companion</w:t>
      </w:r>
    </w:p>
    <w:p>
      <w:pPr>
        <w:pStyle w:val="BodyText"/>
      </w:pPr>
      <w:r>
        <w:t xml:space="preserve"> </w:t>
      </w:r>
    </w:p>
    <w:p>
      <w:pPr>
        <w:pStyle w:val="BodyText"/>
      </w:pPr>
      <w:r>
        <w:rPr>
          <w:iCs/>
          <w:i/>
        </w:rPr>
        <w:t xml:space="preserve">The executable, reproducible foundation beneath the MineProductivity documentation ecosystem. Every KPI, ontology, connector, workflow, Digital Twin, AI agent, and Decision Intelligence example can be demonstrated and validated from the datasets, notebooks, and expected outputs defined here.</w:t>
      </w:r>
    </w:p>
    <w:p>
      <w:pPr>
        <w:pStyle w:val="BodyText"/>
      </w:pPr>
      <w:r>
        <w:t xml:space="preserve"> </w:t>
      </w:r>
    </w:p>
    <w:tbl>
      <w:tblPr>
        <w:tblStyle w:val="Table"/>
        <w:tblW w:type="pct" w:w="5000"/>
        <w:tblLook w:firstRow="0" w:lastRow="0" w:firstColumn="0" w:lastColumn="0" w:noHBand="0" w:noVBand="0" w:val="0000"/>
        <w:jc w:val="start"/>
      </w:tblPr>
      <w:tblGrid>
        <w:gridCol w:w="3960"/>
        <w:gridCol w:w="3960"/>
      </w:tblGrid>
      <w:tr>
        <w:tc>
          <w:tcPr/>
          <w:p>
            <w:pPr>
              <w:pStyle w:val="Compact"/>
              <w:jc w:val="left"/>
            </w:pPr>
            <w:r>
              <w:rPr>
                <w:bCs/>
                <w:b/>
              </w:rPr>
              <w:t xml:space="preserve">Version</w:t>
            </w:r>
          </w:p>
        </w:tc>
        <w:tc>
          <w:tcPr/>
          <w:p>
            <w:pPr>
              <w:pStyle w:val="Compact"/>
              <w:jc w:val="left"/>
            </w:pPr>
            <w:r>
              <w:t xml:space="preserve">1.0</w:t>
            </w:r>
          </w:p>
        </w:tc>
      </w:tr>
      <w:tr>
        <w:tc>
          <w:tcPr/>
          <w:p>
            <w:pPr>
              <w:pStyle w:val="Compact"/>
              <w:jc w:val="left"/>
            </w:pPr>
            <w:r>
              <w:rPr>
                <w:bCs/>
                <w:b/>
              </w:rPr>
              <w:t xml:space="preserve">Status</w:t>
            </w:r>
          </w:p>
        </w:tc>
        <w:tc>
          <w:tcPr/>
          <w:p>
            <w:pPr>
              <w:pStyle w:val="Compact"/>
              <w:jc w:val="left"/>
            </w:pPr>
            <w:r>
              <w:t xml:space="preserve">Normative companion to the SSOT — builds on and never contradicts it</w:t>
            </w:r>
          </w:p>
        </w:tc>
      </w:tr>
      <w:tr>
        <w:tc>
          <w:tcPr/>
          <w:p>
            <w:pPr>
              <w:pStyle w:val="Compact"/>
              <w:jc w:val="left"/>
            </w:pPr>
            <w:r>
              <w:rPr>
                <w:bCs/>
                <w:b/>
              </w:rPr>
              <w:t xml:space="preserve">Depends on</w:t>
            </w:r>
          </w:p>
        </w:tc>
        <w:tc>
          <w:tcPr/>
          <w:p>
            <w:pPr>
              <w:pStyle w:val="Compact"/>
              <w:jc w:val="left"/>
            </w:pPr>
            <w:r>
              <w:t xml:space="preserve">Master Architecture Handbook v1.0; Reference Implementation Blueprint v1.0; Developer &amp; Cookbook Guide Parts I, II, III (all LOCKED)</w:t>
            </w:r>
          </w:p>
        </w:tc>
      </w:tr>
      <w:tr>
        <w:tc>
          <w:tcPr/>
          <w:p>
            <w:pPr>
              <w:pStyle w:val="Compact"/>
              <w:jc w:val="left"/>
            </w:pPr>
            <w:r>
              <w:rPr>
                <w:bCs/>
                <w:b/>
              </w:rPr>
              <w:t xml:space="preserve">License</w:t>
            </w:r>
          </w:p>
        </w:tc>
        <w:tc>
          <w:tcPr/>
          <w:p>
            <w:pPr>
              <w:pStyle w:val="Compact"/>
              <w:jc w:val="left"/>
            </w:pPr>
            <w:r>
              <w:t xml:space="preserve">Datasets and notebooks: CC BY 4.0; code: Apache-2.0</w:t>
            </w:r>
          </w:p>
        </w:tc>
      </w:tr>
      <w:tr>
        <w:tc>
          <w:tcPr/>
          <w:p>
            <w:pPr>
              <w:pStyle w:val="Compact"/>
              <w:jc w:val="left"/>
            </w:pPr>
            <w:r>
              <w:rPr>
                <w:bCs/>
                <w:b/>
              </w:rPr>
              <w:t xml:space="preserve">Reference Mines</w:t>
            </w:r>
          </w:p>
        </w:tc>
        <w:tc>
          <w:tcPr/>
          <w:p>
            <w:pPr>
              <w:pStyle w:val="Compact"/>
              <w:jc w:val="left"/>
            </w:pPr>
            <w:r>
              <w:t xml:space="preserve">Pilbara Ridge (Iron Ore) · Bingham West (Copper) · Black Diamond (Coal) · Aurora Gold (Gold) · Green Valley (Lithium)</w:t>
            </w:r>
          </w:p>
        </w:tc>
      </w:tr>
    </w:tbl>
    <w:p>
      <w:pPr>
        <w:pStyle w:val="BodyText"/>
      </w:pPr>
      <w:r>
        <w:rPr>
          <w:bCs/>
          <w:b/>
        </w:rPr>
        <w:t xml:space="preserve">Revision history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Version</w:t>
            </w:r>
          </w:p>
        </w:tc>
        <w:tc>
          <w:tcPr/>
          <w:p>
            <w:pPr>
              <w:pStyle w:val="Compact"/>
              <w:jc w:val="left"/>
            </w:pPr>
            <w:r>
              <w:t xml:space="preserve">Date</w:t>
            </w:r>
          </w:p>
        </w:tc>
        <w:tc>
          <w:tcPr/>
          <w:p>
            <w:pPr>
              <w:pStyle w:val="Compact"/>
              <w:jc w:val="left"/>
            </w:pPr>
            <w:r>
              <w:t xml:space="preserve">Summary</w:t>
            </w:r>
          </w:p>
        </w:tc>
      </w:tr>
      <w:tr>
        <w:tc>
          <w:tcPr/>
          <w:p>
            <w:pPr>
              <w:pStyle w:val="Compact"/>
              <w:jc w:val="left"/>
            </w:pPr>
            <w:r>
              <w:t xml:space="preserve">1.0</w:t>
            </w:r>
          </w:p>
        </w:tc>
        <w:tc>
          <w:tcPr/>
          <w:p>
            <w:pPr>
              <w:pStyle w:val="Compact"/>
              <w:jc w:val="left"/>
            </w:pPr>
            <w:r>
              <w:t xml:space="preserve">June 2026</w:t>
            </w:r>
          </w:p>
        </w:tc>
        <w:tc>
          <w:tcPr/>
          <w:p>
            <w:pPr>
              <w:pStyle w:val="Compact"/>
              <w:jc w:val="left"/>
            </w:pPr>
            <w:r>
              <w:t xml:space="preserve">First Edition. Complete seven-part Learning &amp; Benchmark Suite: Dataset Library (7 commodities), Notebook Curriculum (~100 notebooks), Expected Outputs, Benchmark Seeds, Visualization Gallery, AI Demo Gallery, Certification Assets.</w:t>
            </w:r>
          </w:p>
        </w:tc>
      </w:tr>
    </w:tbl>
    <w:p>
      <w:r>
        <w:br w:type="page"/>
      </w:r>
    </w:p>
    <w:bookmarkStart w:id="20" w:name="contents"/>
    <w:p>
      <w:pPr>
        <w:pStyle w:val="Heading1"/>
      </w:pPr>
      <w:r>
        <w:t xml:space="preserve">Contents</w:t>
      </w:r>
    </w:p>
    <w:p>
      <w:pPr>
        <w:rPr>
          <w:b/>
        </w:rPr>
      </w:pPr>
      <w:r>
        <w:fldChar w:fldCharType="begin"/>
        <w:instrText xml:space="preserve"> TOC \o "1-3" \h \z \u </w:instrText>
        <w:fldChar w:fldCharType="separate"/>
        <w:t>Update this field (Ctrl+A, F9) to populate the table of contents.</w:t>
        <w:fldChar w:fldCharType="end"/>
      </w:r>
    </w:p>
    <w:p>
      <w:pPr>
        <w:pStyle w:val="TOC1"/>
        <w:tabs>
          <w:tab w:val="right" w:leader="dot" w:pos="8640"/>
        </w:tabs>
      </w:pPr>
      <w:r>
        <w:fldChar w:fldCharType="begin"/>
      </w:r>
      <w:r>
        <w:instrText xml:space="preserve"> HYPERLINK \l "_TocLBSv1_930001" </w:instrText>
      </w:r>
      <w:r>
        <w:fldChar w:fldCharType="separate"/>
      </w:r>
      <w:r>
        <w:rPr>
          <w:b/>
        </w:rPr>
        <w:t>Introduction</w:t>
      </w:r>
      <w:r>
        <w:t>	</w:t>
      </w:r>
      <w:r>
        <w:instrText> PAGEREF _TocLBSv1_930001 \h </w:instrText>
      </w:r>
      <w:r>
        <w:t>1</w:t>
      </w:r>
      <w:r>
        <w:fldChar w:fldCharType="end"/>
      </w:r>
    </w:p>
    <w:p>
      <w:pPr>
        <w:pStyle w:val="TOC2"/>
        <w:tabs>
          <w:tab w:val="right" w:leader="dot" w:pos="8640"/>
        </w:tabs>
      </w:pPr>
      <w:r>
        <w:fldChar w:fldCharType="begin"/>
      </w:r>
      <w:r>
        <w:instrText xml:space="preserve"> HYPERLINK \l "_TocLBSv1_930002" </w:instrText>
      </w:r>
      <w:r>
        <w:fldChar w:fldCharType="separate"/>
      </w:r>
      <w:r>
        <w:t>Design principles</w:t>
      </w:r>
      <w:r>
        <w:t>	</w:t>
      </w:r>
      <w:r>
        <w:instrText> PAGEREF _TocLBSv1_930002 \h </w:instrText>
      </w:r>
      <w:r>
        <w:t>1</w:t>
      </w:r>
      <w:r>
        <w:fldChar w:fldCharType="end"/>
      </w:r>
    </w:p>
    <w:p>
      <w:pPr>
        <w:pStyle w:val="TOC2"/>
        <w:tabs>
          <w:tab w:val="right" w:leader="dot" w:pos="8640"/>
        </w:tabs>
      </w:pPr>
      <w:r>
        <w:fldChar w:fldCharType="begin"/>
      </w:r>
      <w:r>
        <w:instrText xml:space="preserve"> HYPERLINK \l "_TocLBSv1_930003" </w:instrText>
      </w:r>
      <w:r>
        <w:fldChar w:fldCharType="separate"/>
      </w:r>
      <w:r>
        <w:t>How to use this document</w:t>
      </w:r>
      <w:r>
        <w:t>	</w:t>
      </w:r>
      <w:r>
        <w:instrText> PAGEREF _TocLBSv1_930003 \h </w:instrText>
      </w:r>
      <w:r>
        <w:t>1</w:t>
      </w:r>
      <w:r>
        <w:fldChar w:fldCharType="end"/>
      </w:r>
    </w:p>
    <w:p>
      <w:pPr>
        <w:pStyle w:val="TOC1"/>
        <w:tabs>
          <w:tab w:val="right" w:leader="dot" w:pos="8640"/>
        </w:tabs>
      </w:pPr>
      <w:r>
        <w:fldChar w:fldCharType="begin"/>
      </w:r>
      <w:r>
        <w:instrText xml:space="preserve"> HYPERLINK \l "_TocLBSv1_930004" </w:instrText>
      </w:r>
      <w:r>
        <w:fldChar w:fldCharType="separate"/>
      </w:r>
      <w:r>
        <w:rPr>
          <w:b/>
        </w:rPr>
        <w:t>Part I — Dataset Library</w:t>
      </w:r>
      <w:r>
        <w:t>	</w:t>
      </w:r>
      <w:r>
        <w:instrText> PAGEREF _TocLBSv1_930004 \h </w:instrText>
      </w:r>
      <w:r>
        <w:t>1</w:t>
      </w:r>
      <w:r>
        <w:fldChar w:fldCharType="end"/>
      </w:r>
    </w:p>
    <w:p>
      <w:pPr>
        <w:pStyle w:val="TOC2"/>
        <w:tabs>
          <w:tab w:val="right" w:leader="dot" w:pos="8640"/>
        </w:tabs>
      </w:pPr>
      <w:r>
        <w:fldChar w:fldCharType="begin"/>
      </w:r>
      <w:r>
        <w:instrText xml:space="preserve"> HYPERLINK \l "_TocLBSv1_930005" </w:instrText>
      </w:r>
      <w:r>
        <w:fldChar w:fldCharType="separate"/>
      </w:r>
      <w:r>
        <w:t>Design principles</w:t>
      </w:r>
      <w:r>
        <w:t>	</w:t>
      </w:r>
      <w:r>
        <w:instrText> PAGEREF _TocLBSv1_930005 \h </w:instrText>
      </w:r>
      <w:r>
        <w:t>1</w:t>
      </w:r>
      <w:r>
        <w:fldChar w:fldCharType="end"/>
      </w:r>
    </w:p>
    <w:p>
      <w:pPr>
        <w:pStyle w:val="TOC2"/>
        <w:tabs>
          <w:tab w:val="right" w:leader="dot" w:pos="8640"/>
        </w:tabs>
      </w:pPr>
      <w:r>
        <w:fldChar w:fldCharType="begin"/>
      </w:r>
      <w:r>
        <w:instrText xml:space="preserve"> HYPERLINK \l "_TocLBSv1_930006" </w:instrText>
      </w:r>
      <w:r>
        <w:fldChar w:fldCharType="separate"/>
      </w:r>
      <w:r>
        <w:t>Directory structure</w:t>
      </w:r>
      <w:r>
        <w:t>	</w:t>
      </w:r>
      <w:r>
        <w:instrText> PAGEREF _TocLBSv1_930006 \h </w:instrText>
      </w:r>
      <w:r>
        <w:t>1</w:t>
      </w:r>
      <w:r>
        <w:fldChar w:fldCharType="end"/>
      </w:r>
    </w:p>
    <w:p>
      <w:pPr>
        <w:pStyle w:val="TOC2"/>
        <w:tabs>
          <w:tab w:val="right" w:leader="dot" w:pos="8640"/>
        </w:tabs>
      </w:pPr>
      <w:r>
        <w:fldChar w:fldCharType="begin"/>
      </w:r>
      <w:r>
        <w:instrText xml:space="preserve"> HYPERLINK \l "_TocLBSv1_930007" </w:instrText>
      </w:r>
      <w:r>
        <w:fldChar w:fldCharType="separate"/>
      </w:r>
      <w:r>
        <w:t>Enhancement 7 — Refined Dataset Hierarchy</w:t>
      </w:r>
      <w:r>
        <w:t>	</w:t>
      </w:r>
      <w:r>
        <w:instrText> PAGEREF _TocLBSv1_930007 \h </w:instrText>
      </w:r>
      <w:r>
        <w:t>1</w:t>
      </w:r>
      <w:r>
        <w:fldChar w:fldCharType="end"/>
      </w:r>
    </w:p>
    <w:p>
      <w:pPr>
        <w:pStyle w:val="TOC2"/>
        <w:tabs>
          <w:tab w:val="right" w:leader="dot" w:pos="8640"/>
        </w:tabs>
      </w:pPr>
      <w:r>
        <w:fldChar w:fldCharType="begin"/>
      </w:r>
      <w:r>
        <w:instrText xml:space="preserve"> HYPERLINK \l "_TocLBSv1_930008" </w:instrText>
      </w:r>
      <w:r>
        <w:fldChar w:fldCharType="separate"/>
      </w:r>
      <w:r>
        <w:t>Enhancement 1 — Dataset Versioning Architecture</w:t>
      </w:r>
      <w:r>
        <w:t>	</w:t>
      </w:r>
      <w:r>
        <w:instrText> PAGEREF _TocLBSv1_930008 \h </w:instrText>
      </w:r>
      <w:r>
        <w:t>1</w:t>
      </w:r>
      <w:r>
        <w:fldChar w:fldCharType="end"/>
      </w:r>
    </w:p>
    <w:p>
      <w:pPr>
        <w:pStyle w:val="TOC3"/>
        <w:tabs>
          <w:tab w:val="right" w:leader="dot" w:pos="8640"/>
        </w:tabs>
      </w:pPr>
      <w:r>
        <w:fldChar w:fldCharType="begin"/>
      </w:r>
      <w:r>
        <w:instrText xml:space="preserve"> HYPERLINK \l "_TocLBSv1_930009" </w:instrText>
      </w:r>
      <w:r>
        <w:fldChar w:fldCharType="separate"/>
      </w:r>
      <w:r>
        <w:t>Dataset version fields</w:t>
      </w:r>
      <w:r>
        <w:t>	</w:t>
      </w:r>
      <w:r>
        <w:instrText> PAGEREF _TocLBSv1_930009 \h </w:instrText>
      </w:r>
      <w:r>
        <w:t>1</w:t>
      </w:r>
      <w:r>
        <w:fldChar w:fldCharType="end"/>
      </w:r>
    </w:p>
    <w:p>
      <w:pPr>
        <w:pStyle w:val="TOC3"/>
        <w:tabs>
          <w:tab w:val="right" w:leader="dot" w:pos="8640"/>
        </w:tabs>
      </w:pPr>
      <w:r>
        <w:fldChar w:fldCharType="begin"/>
      </w:r>
      <w:r>
        <w:instrText xml:space="preserve"> HYPERLINK \l "_TocLBSv1_930010" </w:instrText>
      </w:r>
      <w:r>
        <w:fldChar w:fldCharType="separate"/>
      </w:r>
      <w:r>
        <w:t>Semantic versioning rules</w:t>
      </w:r>
      <w:r>
        <w:t>	</w:t>
      </w:r>
      <w:r>
        <w:instrText> PAGEREF _TocLBSv1_930010 \h </w:instrText>
      </w:r>
      <w:r>
        <w:t>1</w:t>
      </w:r>
      <w:r>
        <w:fldChar w:fldCharType="end"/>
      </w:r>
    </w:p>
    <w:p>
      <w:pPr>
        <w:pStyle w:val="TOC3"/>
        <w:tabs>
          <w:tab w:val="right" w:leader="dot" w:pos="8640"/>
        </w:tabs>
      </w:pPr>
      <w:r>
        <w:fldChar w:fldCharType="begin"/>
      </w:r>
      <w:r>
        <w:instrText xml:space="preserve"> HYPERLINK \l "_TocLBSv1_930011" </w:instrText>
      </w:r>
      <w:r>
        <w:fldChar w:fldCharType="separate"/>
      </w:r>
      <w:r>
        <w:t>Schema evolution</w:t>
      </w:r>
      <w:r>
        <w:t>	</w:t>
      </w:r>
      <w:r>
        <w:instrText> PAGEREF _TocLBSv1_930011 \h </w:instrText>
      </w:r>
      <w:r>
        <w:t>1</w:t>
      </w:r>
      <w:r>
        <w:fldChar w:fldCharType="end"/>
      </w:r>
    </w:p>
    <w:p>
      <w:pPr>
        <w:pStyle w:val="TOC2"/>
        <w:tabs>
          <w:tab w:val="right" w:leader="dot" w:pos="8640"/>
        </w:tabs>
      </w:pPr>
      <w:r>
        <w:fldChar w:fldCharType="begin"/>
      </w:r>
      <w:r>
        <w:instrText xml:space="preserve"> HYPERLINK \l "_TocLBSv1_930012" </w:instrText>
      </w:r>
      <w:r>
        <w:fldChar w:fldCharType="separate"/>
      </w:r>
      <w:r>
        <w:t>Enhancement 2 — Dataset Metadata Standard</w:t>
      </w:r>
      <w:r>
        <w:t>	</w:t>
      </w:r>
      <w:r>
        <w:instrText> PAGEREF _TocLBSv1_930012 \h </w:instrText>
      </w:r>
      <w:r>
        <w:t>1</w:t>
      </w:r>
      <w:r>
        <w:fldChar w:fldCharType="end"/>
      </w:r>
    </w:p>
    <w:p>
      <w:pPr>
        <w:pStyle w:val="TOC3"/>
        <w:tabs>
          <w:tab w:val="right" w:leader="dot" w:pos="8640"/>
        </w:tabs>
      </w:pPr>
      <w:r>
        <w:fldChar w:fldCharType="begin"/>
      </w:r>
      <w:r>
        <w:instrText xml:space="preserve"> HYPERLINK \l "_TocLBSv1_930013" </w:instrText>
      </w:r>
      <w:r>
        <w:fldChar w:fldCharType="separate"/>
      </w:r>
      <w:r>
        <w:t>The canonical metadata.yaml</w:t>
      </w:r>
      <w:r>
        <w:t>	</w:t>
      </w:r>
      <w:r>
        <w:instrText> PAGEREF _TocLBSv1_930013 \h </w:instrText>
      </w:r>
      <w:r>
        <w:t>1</w:t>
      </w:r>
      <w:r>
        <w:fldChar w:fldCharType="end"/>
      </w:r>
    </w:p>
    <w:p>
      <w:pPr>
        <w:pStyle w:val="TOC2"/>
        <w:tabs>
          <w:tab w:val="right" w:leader="dot" w:pos="8640"/>
        </w:tabs>
      </w:pPr>
      <w:r>
        <w:fldChar w:fldCharType="begin"/>
      </w:r>
      <w:r>
        <w:instrText xml:space="preserve"> HYPERLINK \l "_TocLBSv1_930014" </w:instrText>
      </w:r>
      <w:r>
        <w:fldChar w:fldCharType="separate"/>
      </w:r>
      <w:r>
        <w:t>Enhancement 3 — Dataset Quality Report</w:t>
      </w:r>
      <w:r>
        <w:t>	</w:t>
      </w:r>
      <w:r>
        <w:instrText> PAGEREF _TocLBSv1_930014 \h </w:instrText>
      </w:r>
      <w:r>
        <w:t>1</w:t>
      </w:r>
      <w:r>
        <w:fldChar w:fldCharType="end"/>
      </w:r>
    </w:p>
    <w:p>
      <w:pPr>
        <w:pStyle w:val="TOC3"/>
        <w:tabs>
          <w:tab w:val="right" w:leader="dot" w:pos="8640"/>
        </w:tabs>
      </w:pPr>
      <w:r>
        <w:fldChar w:fldCharType="begin"/>
      </w:r>
      <w:r>
        <w:instrText xml:space="preserve"> HYPERLINK \l "_TocLBSv1_930015" </w:instrText>
      </w:r>
      <w:r>
        <w:fldChar w:fldCharType="separate"/>
      </w:r>
      <w:r>
        <w:t>Quality report structure</w:t>
      </w:r>
      <w:r>
        <w:t>	</w:t>
      </w:r>
      <w:r>
        <w:instrText> PAGEREF _TocLBSv1_930015 \h </w:instrText>
      </w:r>
      <w:r>
        <w:t>1</w:t>
      </w:r>
      <w:r>
        <w:fldChar w:fldCharType="end"/>
      </w:r>
    </w:p>
    <w:p>
      <w:pPr>
        <w:pStyle w:val="TOC2"/>
        <w:tabs>
          <w:tab w:val="right" w:leader="dot" w:pos="8640"/>
        </w:tabs>
      </w:pPr>
      <w:r>
        <w:fldChar w:fldCharType="begin"/>
      </w:r>
      <w:r>
        <w:instrText xml:space="preserve"> HYPERLINK \l "_TocLBSv1_930016" </w:instrText>
      </w:r>
      <w:r>
        <w:fldChar w:fldCharType="separate"/>
      </w:r>
      <w:r>
        <w:t>Shared tables</w:t>
      </w:r>
      <w:r>
        <w:t>	</w:t>
      </w:r>
      <w:r>
        <w:instrText> PAGEREF _TocLBSv1_930016 \h </w:instrText>
      </w:r>
      <w:r>
        <w:t>1</w:t>
      </w:r>
      <w:r>
        <w:fldChar w:fldCharType="end"/>
      </w:r>
    </w:p>
    <w:p>
      <w:pPr>
        <w:pStyle w:val="TOC3"/>
        <w:tabs>
          <w:tab w:val="right" w:leader="dot" w:pos="8640"/>
        </w:tabs>
      </w:pPr>
      <w:r>
        <w:fldChar w:fldCharType="begin"/>
      </w:r>
      <w:r>
        <w:instrText xml:space="preserve"> HYPERLINK \l "_TocLBSv1_930017" </w:instrText>
      </w:r>
      <w:r>
        <w:fldChar w:fldCharType="separate"/>
      </w:r>
      <w:r>
        <w:t>shared/shift_calendar.csv</w:t>
      </w:r>
      <w:r>
        <w:t>	</w:t>
      </w:r>
      <w:r>
        <w:instrText> PAGEREF _TocLBSv1_930017 \h </w:instrText>
      </w:r>
      <w:r>
        <w:t>1</w:t>
      </w:r>
      <w:r>
        <w:fldChar w:fldCharType="end"/>
      </w:r>
    </w:p>
    <w:p>
      <w:pPr>
        <w:pStyle w:val="TOC2"/>
        <w:tabs>
          <w:tab w:val="right" w:leader="dot" w:pos="8640"/>
        </w:tabs>
      </w:pPr>
      <w:r>
        <w:fldChar w:fldCharType="begin"/>
      </w:r>
      <w:r>
        <w:instrText xml:space="preserve"> HYPERLINK \l "_TocLBSv1_930018" </w:instrText>
      </w:r>
      <w:r>
        <w:fldChar w:fldCharType="separate"/>
      </w:r>
      <w:r>
        <w:t>Core commodity tables — iron_ore (Pilbara Ridge)</w:t>
      </w:r>
      <w:r>
        <w:t>	</w:t>
      </w:r>
      <w:r>
        <w:instrText> PAGEREF _TocLBSv1_930018 \h </w:instrText>
      </w:r>
      <w:r>
        <w:t>1</w:t>
      </w:r>
      <w:r>
        <w:fldChar w:fldCharType="end"/>
      </w:r>
    </w:p>
    <w:p>
      <w:pPr>
        <w:pStyle w:val="TOC3"/>
        <w:tabs>
          <w:tab w:val="right" w:leader="dot" w:pos="8640"/>
        </w:tabs>
      </w:pPr>
      <w:r>
        <w:fldChar w:fldCharType="begin"/>
      </w:r>
      <w:r>
        <w:instrText xml:space="preserve"> HYPERLINK \l "_TocLBSv1_930019" </w:instrText>
      </w:r>
      <w:r>
        <w:fldChar w:fldCharType="separate"/>
      </w:r>
      <w:r>
        <w:t>equipment.csv</w:t>
      </w:r>
      <w:r>
        <w:t>	</w:t>
      </w:r>
      <w:r>
        <w:instrText> PAGEREF _TocLBSv1_930019 \h </w:instrText>
      </w:r>
      <w:r>
        <w:t>1</w:t>
      </w:r>
      <w:r>
        <w:fldChar w:fldCharType="end"/>
      </w:r>
    </w:p>
    <w:p>
      <w:pPr>
        <w:pStyle w:val="TOC3"/>
        <w:tabs>
          <w:tab w:val="right" w:leader="dot" w:pos="8640"/>
        </w:tabs>
      </w:pPr>
      <w:r>
        <w:fldChar w:fldCharType="begin"/>
      </w:r>
      <w:r>
        <w:instrText xml:space="preserve"> HYPERLINK \l "_TocLBSv1_930020" </w:instrText>
      </w:r>
      <w:r>
        <w:fldChar w:fldCharType="separate"/>
      </w:r>
      <w:r>
        <w:t>operators.csv</w:t>
      </w:r>
      <w:r>
        <w:t>	</w:t>
      </w:r>
      <w:r>
        <w:instrText> PAGEREF _TocLBSv1_930020 \h </w:instrText>
      </w:r>
      <w:r>
        <w:t>1</w:t>
      </w:r>
      <w:r>
        <w:fldChar w:fldCharType="end"/>
      </w:r>
    </w:p>
    <w:p>
      <w:pPr>
        <w:pStyle w:val="TOC3"/>
        <w:tabs>
          <w:tab w:val="right" w:leader="dot" w:pos="8640"/>
        </w:tabs>
      </w:pPr>
      <w:r>
        <w:fldChar w:fldCharType="begin"/>
      </w:r>
      <w:r>
        <w:instrText xml:space="preserve"> HYPERLINK \l "_TocLBSv1_930021" </w:instrText>
      </w:r>
      <w:r>
        <w:fldChar w:fldCharType="separate"/>
      </w:r>
      <w:r>
        <w:t>haul_routes.csv</w:t>
      </w:r>
      <w:r>
        <w:t>	</w:t>
      </w:r>
      <w:r>
        <w:instrText> PAGEREF _TocLBSv1_930021 \h </w:instrText>
      </w:r>
      <w:r>
        <w:t>1</w:t>
      </w:r>
      <w:r>
        <w:fldChar w:fldCharType="end"/>
      </w:r>
    </w:p>
    <w:p>
      <w:pPr>
        <w:pStyle w:val="TOC3"/>
        <w:tabs>
          <w:tab w:val="right" w:leader="dot" w:pos="8640"/>
        </w:tabs>
      </w:pPr>
      <w:r>
        <w:fldChar w:fldCharType="begin"/>
      </w:r>
      <w:r>
        <w:instrText xml:space="preserve"> HYPERLINK \l "_TocLBSv1_930022" </w:instrText>
      </w:r>
      <w:r>
        <w:fldChar w:fldCharType="separate"/>
      </w:r>
      <w:r>
        <w:t>cycle_events.csv</w:t>
      </w:r>
      <w:r>
        <w:t>	</w:t>
      </w:r>
      <w:r>
        <w:instrText> PAGEREF _TocLBSv1_930022 \h </w:instrText>
      </w:r>
      <w:r>
        <w:t>1</w:t>
      </w:r>
      <w:r>
        <w:fldChar w:fldCharType="end"/>
      </w:r>
    </w:p>
    <w:p>
      <w:pPr>
        <w:pStyle w:val="TOC3"/>
        <w:tabs>
          <w:tab w:val="right" w:leader="dot" w:pos="8640"/>
        </w:tabs>
      </w:pPr>
      <w:r>
        <w:fldChar w:fldCharType="begin"/>
      </w:r>
      <w:r>
        <w:instrText xml:space="preserve"> HYPERLINK \l "_TocLBSv1_930023" </w:instrText>
      </w:r>
      <w:r>
        <w:fldChar w:fldCharType="separate"/>
      </w:r>
      <w:r>
        <w:t>delay_events.csv</w:t>
      </w:r>
      <w:r>
        <w:t>	</w:t>
      </w:r>
      <w:r>
        <w:instrText> PAGEREF _TocLBSv1_930023 \h </w:instrText>
      </w:r>
      <w:r>
        <w:t>1</w:t>
      </w:r>
      <w:r>
        <w:fldChar w:fldCharType="end"/>
      </w:r>
    </w:p>
    <w:p>
      <w:pPr>
        <w:pStyle w:val="TOC3"/>
        <w:tabs>
          <w:tab w:val="right" w:leader="dot" w:pos="8640"/>
        </w:tabs>
      </w:pPr>
      <w:r>
        <w:fldChar w:fldCharType="begin"/>
      </w:r>
      <w:r>
        <w:instrText xml:space="preserve"> HYPERLINK \l "_TocLBSv1_930024" </w:instrText>
      </w:r>
      <w:r>
        <w:fldChar w:fldCharType="separate"/>
      </w:r>
      <w:r>
        <w:t>maintenance_events.csv</w:t>
      </w:r>
      <w:r>
        <w:t>	</w:t>
      </w:r>
      <w:r>
        <w:instrText> PAGEREF _TocLBSv1_930024 \h </w:instrText>
      </w:r>
      <w:r>
        <w:t>1</w:t>
      </w:r>
      <w:r>
        <w:fldChar w:fldCharType="end"/>
      </w:r>
    </w:p>
    <w:p>
      <w:pPr>
        <w:pStyle w:val="TOC3"/>
        <w:tabs>
          <w:tab w:val="right" w:leader="dot" w:pos="8640"/>
        </w:tabs>
      </w:pPr>
      <w:r>
        <w:fldChar w:fldCharType="begin"/>
      </w:r>
      <w:r>
        <w:instrText xml:space="preserve"> HYPERLINK \l "_TocLBSv1_930025" </w:instrText>
      </w:r>
      <w:r>
        <w:fldChar w:fldCharType="separate"/>
      </w:r>
      <w:r>
        <w:t>fuel_events.csv</w:t>
      </w:r>
      <w:r>
        <w:t>	</w:t>
      </w:r>
      <w:r>
        <w:instrText> PAGEREF _TocLBSv1_930025 \h </w:instrText>
      </w:r>
      <w:r>
        <w:t>1</w:t>
      </w:r>
      <w:r>
        <w:fldChar w:fldCharType="end"/>
      </w:r>
    </w:p>
    <w:p>
      <w:pPr>
        <w:pStyle w:val="TOC3"/>
        <w:tabs>
          <w:tab w:val="right" w:leader="dot" w:pos="8640"/>
        </w:tabs>
      </w:pPr>
      <w:r>
        <w:fldChar w:fldCharType="begin"/>
      </w:r>
      <w:r>
        <w:instrText xml:space="preserve"> HYPERLINK \l "_TocLBSv1_930026" </w:instrText>
      </w:r>
      <w:r>
        <w:fldChar w:fldCharType="separate"/>
      </w:r>
      <w:r>
        <w:t>production.csv</w:t>
      </w:r>
      <w:r>
        <w:t>	</w:t>
      </w:r>
      <w:r>
        <w:instrText> PAGEREF _TocLBSv1_930026 \h </w:instrText>
      </w:r>
      <w:r>
        <w:t>1</w:t>
      </w:r>
      <w:r>
        <w:fldChar w:fldCharType="end"/>
      </w:r>
    </w:p>
    <w:p>
      <w:pPr>
        <w:pStyle w:val="TOC3"/>
        <w:tabs>
          <w:tab w:val="right" w:leader="dot" w:pos="8640"/>
        </w:tabs>
      </w:pPr>
      <w:r>
        <w:fldChar w:fldCharType="begin"/>
      </w:r>
      <w:r>
        <w:instrText xml:space="preserve"> HYPERLINK \l "_TocLBSv1_930027" </w:instrText>
      </w:r>
      <w:r>
        <w:fldChar w:fldCharType="separate"/>
      </w:r>
      <w:r>
        <w:t>crusher.csv</w:t>
      </w:r>
      <w:r>
        <w:t>	</w:t>
      </w:r>
      <w:r>
        <w:instrText> PAGEREF _TocLBSv1_930027 \h </w:instrText>
      </w:r>
      <w:r>
        <w:t>1</w:t>
      </w:r>
      <w:r>
        <w:fldChar w:fldCharType="end"/>
      </w:r>
    </w:p>
    <w:p>
      <w:pPr>
        <w:pStyle w:val="TOC3"/>
        <w:tabs>
          <w:tab w:val="right" w:leader="dot" w:pos="8640"/>
        </w:tabs>
      </w:pPr>
      <w:r>
        <w:fldChar w:fldCharType="begin"/>
      </w:r>
      <w:r>
        <w:instrText xml:space="preserve"> HYPERLINK \l "_TocLBSv1_930028" </w:instrText>
      </w:r>
      <w:r>
        <w:fldChar w:fldCharType="separate"/>
      </w:r>
      <w:r>
        <w:t>bench_geometry.csv</w:t>
      </w:r>
      <w:r>
        <w:t>	</w:t>
      </w:r>
      <w:r>
        <w:instrText> PAGEREF _TocLBSv1_930028 \h </w:instrText>
      </w:r>
      <w:r>
        <w:t>1</w:t>
      </w:r>
      <w:r>
        <w:fldChar w:fldCharType="end"/>
      </w:r>
    </w:p>
    <w:p>
      <w:pPr>
        <w:pStyle w:val="TOC3"/>
        <w:tabs>
          <w:tab w:val="right" w:leader="dot" w:pos="8640"/>
        </w:tabs>
      </w:pPr>
      <w:r>
        <w:fldChar w:fldCharType="begin"/>
      </w:r>
      <w:r>
        <w:instrText xml:space="preserve"> HYPERLINK \l "_TocLBSv1_930029" </w:instrText>
      </w:r>
      <w:r>
        <w:fldChar w:fldCharType="separate"/>
      </w:r>
      <w:r>
        <w:t>weather.csv</w:t>
      </w:r>
      <w:r>
        <w:t>	</w:t>
      </w:r>
      <w:r>
        <w:instrText> PAGEREF _TocLBSv1_930029 \h </w:instrText>
      </w:r>
      <w:r>
        <w:t>1</w:t>
      </w:r>
      <w:r>
        <w:fldChar w:fldCharType="end"/>
      </w:r>
    </w:p>
    <w:p>
      <w:pPr>
        <w:pStyle w:val="TOC2"/>
        <w:tabs>
          <w:tab w:val="right" w:leader="dot" w:pos="8640"/>
        </w:tabs>
      </w:pPr>
      <w:r>
        <w:fldChar w:fldCharType="begin"/>
      </w:r>
      <w:r>
        <w:instrText xml:space="preserve"> HYPERLINK \l "_TocLBSv1_930030" </w:instrText>
      </w:r>
      <w:r>
        <w:fldChar w:fldCharType="separate"/>
      </w:r>
      <w:r>
        <w:t>Commodity-specific extensions</w:t>
      </w:r>
      <w:r>
        <w:t>	</w:t>
      </w:r>
      <w:r>
        <w:instrText> PAGEREF _TocLBSv1_930030 \h </w:instrText>
      </w:r>
      <w:r>
        <w:t>1</w:t>
      </w:r>
      <w:r>
        <w:fldChar w:fldCharType="end"/>
      </w:r>
    </w:p>
    <w:p>
      <w:pPr>
        <w:pStyle w:val="TOC3"/>
        <w:tabs>
          <w:tab w:val="right" w:leader="dot" w:pos="8640"/>
        </w:tabs>
      </w:pPr>
      <w:r>
        <w:fldChar w:fldCharType="begin"/>
      </w:r>
      <w:r>
        <w:instrText xml:space="preserve"> HYPERLINK \l "_TocLBSv1_930031" </w:instrText>
      </w:r>
      <w:r>
        <w:fldChar w:fldCharType="separate"/>
      </w:r>
      <w:r>
        <w:t>copper/assay_events.csv (Bingham West)</w:t>
      </w:r>
      <w:r>
        <w:t>	</w:t>
      </w:r>
      <w:r>
        <w:instrText> PAGEREF _TocLBSv1_930031 \h </w:instrText>
      </w:r>
      <w:r>
        <w:t>1</w:t>
      </w:r>
      <w:r>
        <w:fldChar w:fldCharType="end"/>
      </w:r>
    </w:p>
    <w:p>
      <w:pPr>
        <w:pStyle w:val="TOC3"/>
        <w:tabs>
          <w:tab w:val="right" w:leader="dot" w:pos="8640"/>
        </w:tabs>
      </w:pPr>
      <w:r>
        <w:fldChar w:fldCharType="begin"/>
      </w:r>
      <w:r>
        <w:instrText xml:space="preserve"> HYPERLINK \l "_TocLBSv1_930032" </w:instrText>
      </w:r>
      <w:r>
        <w:fldChar w:fldCharType="separate"/>
      </w:r>
      <w:r>
        <w:t>coal/development_events.csv (Black Diamond)</w:t>
      </w:r>
      <w:r>
        <w:t>	</w:t>
      </w:r>
      <w:r>
        <w:instrText> PAGEREF _TocLBSv1_930032 \h </w:instrText>
      </w:r>
      <w:r>
        <w:t>1</w:t>
      </w:r>
      <w:r>
        <w:fldChar w:fldCharType="end"/>
      </w:r>
    </w:p>
    <w:p>
      <w:pPr>
        <w:pStyle w:val="TOC3"/>
        <w:tabs>
          <w:tab w:val="right" w:leader="dot" w:pos="8640"/>
        </w:tabs>
      </w:pPr>
      <w:r>
        <w:fldChar w:fldCharType="begin"/>
      </w:r>
      <w:r>
        <w:instrText xml:space="preserve"> HYPERLINK \l "_TocLBSv1_930033" </w:instrText>
      </w:r>
      <w:r>
        <w:fldChar w:fldCharType="separate"/>
      </w:r>
      <w:r>
        <w:t>lithium/assay_events.csv (Green Valley)</w:t>
      </w:r>
      <w:r>
        <w:t>	</w:t>
      </w:r>
      <w:r>
        <w:instrText> PAGEREF _TocLBSv1_930033 \h </w:instrText>
      </w:r>
      <w:r>
        <w:t>1</w:t>
      </w:r>
      <w:r>
        <w:fldChar w:fldCharType="end"/>
      </w:r>
    </w:p>
    <w:p>
      <w:pPr>
        <w:pStyle w:val="TOC2"/>
        <w:tabs>
          <w:tab w:val="right" w:leader="dot" w:pos="8640"/>
        </w:tabs>
      </w:pPr>
      <w:r>
        <w:fldChar w:fldCharType="begin"/>
      </w:r>
      <w:r>
        <w:instrText xml:space="preserve"> HYPERLINK \l "_TocLBSv1_930034" </w:instrText>
      </w:r>
      <w:r>
        <w:fldChar w:fldCharType="separate"/>
      </w:r>
      <w:r>
        <w:t>Dataset generation</w:t>
      </w:r>
      <w:r>
        <w:t>	</w:t>
      </w:r>
      <w:r>
        <w:instrText> PAGEREF _TocLBSv1_930034 \h </w:instrText>
      </w:r>
      <w:r>
        <w:t>1</w:t>
      </w:r>
      <w:r>
        <w:fldChar w:fldCharType="end"/>
      </w:r>
    </w:p>
    <w:p>
      <w:pPr>
        <w:pStyle w:val="TOC2"/>
        <w:tabs>
          <w:tab w:val="right" w:leader="dot" w:pos="8640"/>
        </w:tabs>
      </w:pPr>
      <w:r>
        <w:fldChar w:fldCharType="begin"/>
      </w:r>
      <w:r>
        <w:instrText xml:space="preserve"> HYPERLINK \l "_TocLBSv1_930035" </w:instrText>
      </w:r>
      <w:r>
        <w:fldChar w:fldCharType="separate"/>
      </w:r>
      <w:r>
        <w:t>Enhancement 4 — Scenario Generator Framework</w:t>
      </w:r>
      <w:r>
        <w:t>	</w:t>
      </w:r>
      <w:r>
        <w:instrText> PAGEREF _TocLBSv1_930035 \h </w:instrText>
      </w:r>
      <w:r>
        <w:t>1</w:t>
      </w:r>
      <w:r>
        <w:fldChar w:fldCharType="end"/>
      </w:r>
    </w:p>
    <w:p>
      <w:pPr>
        <w:pStyle w:val="TOC3"/>
        <w:tabs>
          <w:tab w:val="right" w:leader="dot" w:pos="8640"/>
        </w:tabs>
      </w:pPr>
      <w:r>
        <w:fldChar w:fldCharType="begin"/>
      </w:r>
      <w:r>
        <w:instrText xml:space="preserve"> HYPERLINK \l "_TocLBSv1_930036" </w:instrText>
      </w:r>
      <w:r>
        <w:fldChar w:fldCharType="separate"/>
      </w:r>
      <w:r>
        <w:t>The ScenarioGenerator API</w:t>
      </w:r>
      <w:r>
        <w:t>	</w:t>
      </w:r>
      <w:r>
        <w:instrText> PAGEREF _TocLBSv1_930036 \h </w:instrText>
      </w:r>
      <w:r>
        <w:t>1</w:t>
      </w:r>
      <w:r>
        <w:fldChar w:fldCharType="end"/>
      </w:r>
    </w:p>
    <w:p>
      <w:pPr>
        <w:pStyle w:val="TOC3"/>
        <w:tabs>
          <w:tab w:val="right" w:leader="dot" w:pos="8640"/>
        </w:tabs>
      </w:pPr>
      <w:r>
        <w:fldChar w:fldCharType="begin"/>
      </w:r>
      <w:r>
        <w:instrText xml:space="preserve"> HYPERLINK \l "_TocLBSv1_930037" </w:instrText>
      </w:r>
      <w:r>
        <w:fldChar w:fldCharType="separate"/>
      </w:r>
      <w:r>
        <w:t>Parameterisation — KPI effects</w:t>
      </w:r>
      <w:r>
        <w:t>	</w:t>
      </w:r>
      <w:r>
        <w:instrText> PAGEREF _TocLBSv1_930037 \h </w:instrText>
      </w:r>
      <w:r>
        <w:t>1</w:t>
      </w:r>
      <w:r>
        <w:fldChar w:fldCharType="end"/>
      </w:r>
    </w:p>
    <w:p>
      <w:pPr>
        <w:pStyle w:val="TOC3"/>
        <w:tabs>
          <w:tab w:val="right" w:leader="dot" w:pos="8640"/>
        </w:tabs>
      </w:pPr>
      <w:r>
        <w:fldChar w:fldCharType="begin"/>
      </w:r>
      <w:r>
        <w:instrText xml:space="preserve"> HYPERLINK \l "_TocLBSv1_930038" </w:instrText>
      </w:r>
      <w:r>
        <w:fldChar w:fldCharType="separate"/>
      </w:r>
      <w:r>
        <w:t>Reproducibility and deterministic replay</w:t>
      </w:r>
      <w:r>
        <w:t>	</w:t>
      </w:r>
      <w:r>
        <w:instrText> PAGEREF _TocLBSv1_930038 \h </w:instrText>
      </w:r>
      <w:r>
        <w:t>1</w:t>
      </w:r>
      <w:r>
        <w:fldChar w:fldCharType="end"/>
      </w:r>
    </w:p>
    <w:p>
      <w:pPr>
        <w:pStyle w:val="TOC3"/>
        <w:tabs>
          <w:tab w:val="right" w:leader="dot" w:pos="8640"/>
        </w:tabs>
      </w:pPr>
      <w:r>
        <w:fldChar w:fldCharType="begin"/>
      </w:r>
      <w:r>
        <w:instrText xml:space="preserve"> HYPERLINK \l "_TocLBSv1_930039" </w:instrText>
      </w:r>
      <w:r>
        <w:fldChar w:fldCharType="separate"/>
      </w:r>
      <w:r>
        <w:t>AI scenario generation</w:t>
      </w:r>
      <w:r>
        <w:t>	</w:t>
      </w:r>
      <w:r>
        <w:instrText> PAGEREF _TocLBSv1_930039 \h </w:instrText>
      </w:r>
      <w:r>
        <w:t>1</w:t>
      </w:r>
      <w:r>
        <w:fldChar w:fldCharType="end"/>
      </w:r>
    </w:p>
    <w:p>
      <w:pPr>
        <w:pStyle w:val="TOC3"/>
        <w:tabs>
          <w:tab w:val="right" w:leader="dot" w:pos="8640"/>
        </w:tabs>
      </w:pPr>
      <w:r>
        <w:fldChar w:fldCharType="begin"/>
      </w:r>
      <w:r>
        <w:instrText xml:space="preserve"> HYPERLINK \l "_TocLBSv1_930040" </w:instrText>
      </w:r>
      <w:r>
        <w:fldChar w:fldCharType="separate"/>
      </w:r>
      <w:r>
        <w:t>Named scenario library</w:t>
      </w:r>
      <w:r>
        <w:t>	</w:t>
      </w:r>
      <w:r>
        <w:instrText> PAGEREF _TocLBSv1_930040 \h </w:instrText>
      </w:r>
      <w:r>
        <w:t>1</w:t>
      </w:r>
      <w:r>
        <w:fldChar w:fldCharType="end"/>
      </w:r>
    </w:p>
    <w:p>
      <w:pPr>
        <w:pStyle w:val="TOC2"/>
        <w:tabs>
          <w:tab w:val="right" w:leader="dot" w:pos="8640"/>
        </w:tabs>
      </w:pPr>
      <w:r>
        <w:fldChar w:fldCharType="begin"/>
      </w:r>
      <w:r>
        <w:instrText xml:space="preserve"> HYPERLINK \l "_TocLBSv1_930041" </w:instrText>
      </w:r>
      <w:r>
        <w:fldChar w:fldCharType="separate"/>
      </w:r>
      <w:r>
        <w:t>Summary — Part I</w:t>
      </w:r>
      <w:r>
        <w:t>	</w:t>
      </w:r>
      <w:r>
        <w:instrText> PAGEREF _TocLBSv1_930041 \h </w:instrText>
      </w:r>
      <w:r>
        <w:t>1</w:t>
      </w:r>
      <w:r>
        <w:fldChar w:fldCharType="end"/>
      </w:r>
    </w:p>
    <w:p>
      <w:pPr>
        <w:pStyle w:val="TOC1"/>
        <w:tabs>
          <w:tab w:val="right" w:leader="dot" w:pos="8640"/>
        </w:tabs>
      </w:pPr>
      <w:r>
        <w:fldChar w:fldCharType="begin"/>
      </w:r>
      <w:r>
        <w:instrText xml:space="preserve"> HYPERLINK \l "_TocLBSv1_930042" </w:instrText>
      </w:r>
      <w:r>
        <w:fldChar w:fldCharType="separate"/>
      </w:r>
      <w:r>
        <w:rPr>
          <w:b/>
        </w:rPr>
        <w:t>Part I-B — Temporal Data Philosophy</w:t>
      </w:r>
      <w:r>
        <w:t>	</w:t>
      </w:r>
      <w:r>
        <w:instrText> PAGEREF _TocLBSv1_930042 \h </w:instrText>
      </w:r>
      <w:r>
        <w:t>1</w:t>
      </w:r>
      <w:r>
        <w:fldChar w:fldCharType="end"/>
      </w:r>
    </w:p>
    <w:p>
      <w:pPr>
        <w:pStyle w:val="TOC2"/>
        <w:tabs>
          <w:tab w:val="right" w:leader="dot" w:pos="8640"/>
        </w:tabs>
      </w:pPr>
      <w:r>
        <w:fldChar w:fldCharType="begin"/>
      </w:r>
      <w:r>
        <w:instrText xml:space="preserve"> HYPERLINK \l "_TocLBSv1_930043" </w:instrText>
      </w:r>
      <w:r>
        <w:fldChar w:fldCharType="separate"/>
      </w:r>
      <w:r>
        <w:t>The three time concepts</w:t>
      </w:r>
      <w:r>
        <w:t>	</w:t>
      </w:r>
      <w:r>
        <w:instrText> PAGEREF _TocLBSv1_930043 \h </w:instrText>
      </w:r>
      <w:r>
        <w:t>1</w:t>
      </w:r>
      <w:r>
        <w:fldChar w:fldCharType="end"/>
      </w:r>
    </w:p>
    <w:p>
      <w:pPr>
        <w:pStyle w:val="TOC2"/>
        <w:tabs>
          <w:tab w:val="right" w:leader="dot" w:pos="8640"/>
        </w:tabs>
      </w:pPr>
      <w:r>
        <w:fldChar w:fldCharType="begin"/>
      </w:r>
      <w:r>
        <w:instrText xml:space="preserve"> HYPERLINK \l "_TocLBSv1_930044" </w:instrText>
      </w:r>
      <w:r>
        <w:fldChar w:fldCharType="separate"/>
      </w:r>
      <w:r>
        <w:t>Shift boundaries and cross-midnight shifts</w:t>
      </w:r>
      <w:r>
        <w:t>	</w:t>
      </w:r>
      <w:r>
        <w:instrText> PAGEREF _TocLBSv1_930044 \h </w:instrText>
      </w:r>
      <w:r>
        <w:t>1</w:t>
      </w:r>
      <w:r>
        <w:fldChar w:fldCharType="end"/>
      </w:r>
    </w:p>
    <w:p>
      <w:pPr>
        <w:pStyle w:val="TOC2"/>
        <w:tabs>
          <w:tab w:val="right" w:leader="dot" w:pos="8640"/>
        </w:tabs>
      </w:pPr>
      <w:r>
        <w:fldChar w:fldCharType="begin"/>
      </w:r>
      <w:r>
        <w:instrText xml:space="preserve"> HYPERLINK \l "_TocLBSv1_930045" </w:instrText>
      </w:r>
      <w:r>
        <w:fldChar w:fldCharType="separate"/>
      </w:r>
      <w:r>
        <w:t>Watermarks and late events</w:t>
      </w:r>
      <w:r>
        <w:t>	</w:t>
      </w:r>
      <w:r>
        <w:instrText> PAGEREF _TocLBSv1_930045 \h </w:instrText>
      </w:r>
      <w:r>
        <w:t>1</w:t>
      </w:r>
      <w:r>
        <w:fldChar w:fldCharType="end"/>
      </w:r>
    </w:p>
    <w:p>
      <w:pPr>
        <w:pStyle w:val="TOC2"/>
        <w:tabs>
          <w:tab w:val="right" w:leader="dot" w:pos="8640"/>
        </w:tabs>
      </w:pPr>
      <w:r>
        <w:fldChar w:fldCharType="begin"/>
      </w:r>
      <w:r>
        <w:instrText xml:space="preserve"> HYPERLINK \l "_TocLBSv1_930046" </w:instrText>
      </w:r>
      <w:r>
        <w:fldChar w:fldCharType="separate"/>
      </w:r>
      <w:r>
        <w:t>Event corrections and idempotency</w:t>
      </w:r>
      <w:r>
        <w:t>	</w:t>
      </w:r>
      <w:r>
        <w:instrText> PAGEREF _TocLBSv1_930046 \h </w:instrText>
      </w:r>
      <w:r>
        <w:t>1</w:t>
      </w:r>
      <w:r>
        <w:fldChar w:fldCharType="end"/>
      </w:r>
    </w:p>
    <w:p>
      <w:pPr>
        <w:pStyle w:val="TOC2"/>
        <w:tabs>
          <w:tab w:val="right" w:leader="dot" w:pos="8640"/>
        </w:tabs>
      </w:pPr>
      <w:r>
        <w:fldChar w:fldCharType="begin"/>
      </w:r>
      <w:r>
        <w:instrText xml:space="preserve"> HYPERLINK \l "_TocLBSv1_930047" </w:instrText>
      </w:r>
      <w:r>
        <w:fldChar w:fldCharType="separate"/>
      </w:r>
      <w:r>
        <w:t>Relation to Event Sourcing and the Digital Twin</w:t>
      </w:r>
      <w:r>
        <w:t>	</w:t>
      </w:r>
      <w:r>
        <w:instrText> PAGEREF _TocLBSv1_930047 \h </w:instrText>
      </w:r>
      <w:r>
        <w:t>1</w:t>
      </w:r>
      <w:r>
        <w:fldChar w:fldCharType="end"/>
      </w:r>
    </w:p>
    <w:p>
      <w:pPr>
        <w:pStyle w:val="TOC1"/>
        <w:tabs>
          <w:tab w:val="right" w:leader="dot" w:pos="8640"/>
        </w:tabs>
      </w:pPr>
      <w:r>
        <w:fldChar w:fldCharType="begin"/>
      </w:r>
      <w:r>
        <w:instrText xml:space="preserve"> HYPERLINK \l "_TocLBSv1_930048" </w:instrText>
      </w:r>
      <w:r>
        <w:fldChar w:fldCharType="separate"/>
      </w:r>
      <w:r>
        <w:rPr>
          <w:b/>
        </w:rPr>
        <w:t>Part II — Notebook Gallery</w:t>
      </w:r>
      <w:r>
        <w:t>	</w:t>
      </w:r>
      <w:r>
        <w:instrText> PAGEREF _TocLBSv1_930048 \h </w:instrText>
      </w:r>
      <w:r>
        <w:t>1</w:t>
      </w:r>
      <w:r>
        <w:fldChar w:fldCharType="end"/>
      </w:r>
    </w:p>
    <w:p>
      <w:pPr>
        <w:pStyle w:val="TOC2"/>
        <w:tabs>
          <w:tab w:val="right" w:leader="dot" w:pos="8640"/>
        </w:tabs>
      </w:pPr>
      <w:r>
        <w:fldChar w:fldCharType="begin"/>
      </w:r>
      <w:r>
        <w:instrText xml:space="preserve"> HYPERLINK \l "_TocLBSv1_930049" </w:instrText>
      </w:r>
      <w:r>
        <w:fldChar w:fldCharType="separate"/>
      </w:r>
      <w:r>
        <w:t>Enhancement 6 — Notebook Metadata Standard</w:t>
      </w:r>
      <w:r>
        <w:t>	</w:t>
      </w:r>
      <w:r>
        <w:instrText> PAGEREF _TocLBSv1_930049 \h </w:instrText>
      </w:r>
      <w:r>
        <w:t>1</w:t>
      </w:r>
      <w:r>
        <w:fldChar w:fldCharType="end"/>
      </w:r>
    </w:p>
    <w:p>
      <w:pPr>
        <w:pStyle w:val="TOC2"/>
        <w:tabs>
          <w:tab w:val="right" w:leader="dot" w:pos="8640"/>
        </w:tabs>
      </w:pPr>
      <w:r>
        <w:fldChar w:fldCharType="begin"/>
      </w:r>
      <w:r>
        <w:instrText xml:space="preserve"> HYPERLINK \l "_TocLBSv1_930050" </w:instrText>
      </w:r>
      <w:r>
        <w:fldChar w:fldCharType="separate"/>
      </w:r>
      <w:r>
        <w:t>Curriculum overview</w:t>
      </w:r>
      <w:r>
        <w:t>	</w:t>
      </w:r>
      <w:r>
        <w:instrText> PAGEREF _TocLBSv1_930050 \h </w:instrText>
      </w:r>
      <w:r>
        <w:t>1</w:t>
      </w:r>
      <w:r>
        <w:fldChar w:fldCharType="end"/>
      </w:r>
    </w:p>
    <w:p>
      <w:pPr>
        <w:pStyle w:val="TOC2"/>
        <w:tabs>
          <w:tab w:val="right" w:leader="dot" w:pos="8640"/>
        </w:tabs>
      </w:pPr>
      <w:r>
        <w:fldChar w:fldCharType="begin"/>
      </w:r>
      <w:r>
        <w:instrText xml:space="preserve"> HYPERLINK \l "_TocLBSv1_930051" </w:instrText>
      </w:r>
      <w:r>
        <w:fldChar w:fldCharType="separate"/>
      </w:r>
      <w:r>
        <w:t>Level 1 — Beginner (NB-01 to NB-10)</w:t>
      </w:r>
      <w:r>
        <w:t>	</w:t>
      </w:r>
      <w:r>
        <w:instrText> PAGEREF _TocLBSv1_930051 \h </w:instrText>
      </w:r>
      <w:r>
        <w:t>1</w:t>
      </w:r>
      <w:r>
        <w:fldChar w:fldCharType="end"/>
      </w:r>
    </w:p>
    <w:p>
      <w:pPr>
        <w:pStyle w:val="TOC3"/>
        <w:tabs>
          <w:tab w:val="right" w:leader="dot" w:pos="8640"/>
        </w:tabs>
      </w:pPr>
      <w:r>
        <w:fldChar w:fldCharType="begin"/>
      </w:r>
      <w:r>
        <w:instrText xml:space="preserve"> HYPERLINK \l "_TocLBSv1_930052" </w:instrText>
      </w:r>
      <w:r>
        <w:fldChar w:fldCharType="separate"/>
      </w:r>
      <w:r>
        <w:t>NB-01 — Installation &amp; First Run</w:t>
      </w:r>
      <w:r>
        <w:t>	</w:t>
      </w:r>
      <w:r>
        <w:instrText> PAGEREF _TocLBSv1_930052 \h </w:instrText>
      </w:r>
      <w:r>
        <w:t>1</w:t>
      </w:r>
      <w:r>
        <w:fldChar w:fldCharType="end"/>
      </w:r>
    </w:p>
    <w:p>
      <w:pPr>
        <w:pStyle w:val="TOC3"/>
        <w:tabs>
          <w:tab w:val="right" w:leader="dot" w:pos="8640"/>
        </w:tabs>
      </w:pPr>
      <w:r>
        <w:fldChar w:fldCharType="begin"/>
      </w:r>
      <w:r>
        <w:instrText xml:space="preserve"> HYPERLINK \l "_TocLBSv1_930053" </w:instrText>
      </w:r>
      <w:r>
        <w:fldChar w:fldCharType="separate"/>
      </w:r>
      <w:r>
        <w:t>NB-02 — Your First Event (CycleEvent)</w:t>
      </w:r>
      <w:r>
        <w:t>	</w:t>
      </w:r>
      <w:r>
        <w:instrText> PAGEREF _TocLBSv1_930053 \h </w:instrText>
      </w:r>
      <w:r>
        <w:t>1</w:t>
      </w:r>
      <w:r>
        <w:fldChar w:fldCharType="end"/>
      </w:r>
    </w:p>
    <w:p>
      <w:pPr>
        <w:pStyle w:val="TOC3"/>
        <w:tabs>
          <w:tab w:val="right" w:leader="dot" w:pos="8640"/>
        </w:tabs>
      </w:pPr>
      <w:r>
        <w:fldChar w:fldCharType="begin"/>
      </w:r>
      <w:r>
        <w:instrText xml:space="preserve"> HYPERLINK \l "_TocLBSv1_930054" </w:instrText>
      </w:r>
      <w:r>
        <w:fldChar w:fldCharType="separate"/>
      </w:r>
      <w:r>
        <w:t>NB-03 — Your First Ontology Object</w:t>
      </w:r>
      <w:r>
        <w:t>	</w:t>
      </w:r>
      <w:r>
        <w:instrText> PAGEREF _TocLBSv1_930054 \h </w:instrText>
      </w:r>
      <w:r>
        <w:t>1</w:t>
      </w:r>
      <w:r>
        <w:fldChar w:fldCharType="end"/>
      </w:r>
    </w:p>
    <w:p>
      <w:pPr>
        <w:pStyle w:val="TOC3"/>
        <w:tabs>
          <w:tab w:val="right" w:leader="dot" w:pos="8640"/>
        </w:tabs>
      </w:pPr>
      <w:r>
        <w:fldChar w:fldCharType="begin"/>
      </w:r>
      <w:r>
        <w:instrText xml:space="preserve"> HYPERLINK \l "_TocLBSv1_930055" </w:instrText>
      </w:r>
      <w:r>
        <w:fldChar w:fldCharType="separate"/>
      </w:r>
      <w:r>
        <w:t>NB-04 — Your First Connector (CSV)</w:t>
      </w:r>
      <w:r>
        <w:t>	</w:t>
      </w:r>
      <w:r>
        <w:instrText> PAGEREF _TocLBSv1_930055 \h </w:instrText>
      </w:r>
      <w:r>
        <w:t>1</w:t>
      </w:r>
      <w:r>
        <w:fldChar w:fldCharType="end"/>
      </w:r>
    </w:p>
    <w:p>
      <w:pPr>
        <w:pStyle w:val="TOC3"/>
        <w:tabs>
          <w:tab w:val="right" w:leader="dot" w:pos="8640"/>
        </w:tabs>
      </w:pPr>
      <w:r>
        <w:fldChar w:fldCharType="begin"/>
      </w:r>
      <w:r>
        <w:instrText xml:space="preserve"> HYPERLINK \l "_TocLBSv1_930056" </w:instrText>
      </w:r>
      <w:r>
        <w:fldChar w:fldCharType="separate"/>
      </w:r>
      <w:r>
        <w:t>NB-05 — Your First Delay Analysis</w:t>
      </w:r>
      <w:r>
        <w:t>	</w:t>
      </w:r>
      <w:r>
        <w:instrText> PAGEREF _TocLBSv1_930056 \h </w:instrText>
      </w:r>
      <w:r>
        <w:t>1</w:t>
      </w:r>
      <w:r>
        <w:fldChar w:fldCharType="end"/>
      </w:r>
    </w:p>
    <w:p>
      <w:pPr>
        <w:pStyle w:val="TOC3"/>
        <w:tabs>
          <w:tab w:val="right" w:leader="dot" w:pos="8640"/>
        </w:tabs>
      </w:pPr>
      <w:r>
        <w:fldChar w:fldCharType="begin"/>
      </w:r>
      <w:r>
        <w:instrText xml:space="preserve"> HYPERLINK \l "_TocLBSv1_930057" </w:instrText>
      </w:r>
      <w:r>
        <w:fldChar w:fldCharType="separate"/>
      </w:r>
      <w:r>
        <w:t>NB-06 — Your First Availability Calculation</w:t>
      </w:r>
      <w:r>
        <w:t>	</w:t>
      </w:r>
      <w:r>
        <w:instrText> PAGEREF _TocLBSv1_930057 \h </w:instrText>
      </w:r>
      <w:r>
        <w:t>1</w:t>
      </w:r>
      <w:r>
        <w:fldChar w:fldCharType="end"/>
      </w:r>
    </w:p>
    <w:p>
      <w:pPr>
        <w:pStyle w:val="TOC3"/>
        <w:tabs>
          <w:tab w:val="right" w:leader="dot" w:pos="8640"/>
        </w:tabs>
      </w:pPr>
      <w:r>
        <w:fldChar w:fldCharType="begin"/>
      </w:r>
      <w:r>
        <w:instrText xml:space="preserve"> HYPERLINK \l "_TocLBSv1_930058" </w:instrText>
      </w:r>
      <w:r>
        <w:fldChar w:fldCharType="separate"/>
      </w:r>
      <w:r>
        <w:t>NB-07 — Your First Visualization</w:t>
      </w:r>
      <w:r>
        <w:t>	</w:t>
      </w:r>
      <w:r>
        <w:instrText> PAGEREF _TocLBSv1_930058 \h </w:instrText>
      </w:r>
      <w:r>
        <w:t>1</w:t>
      </w:r>
      <w:r>
        <w:fldChar w:fldCharType="end"/>
      </w:r>
    </w:p>
    <w:p>
      <w:pPr>
        <w:pStyle w:val="TOC3"/>
        <w:tabs>
          <w:tab w:val="right" w:leader="dot" w:pos="8640"/>
        </w:tabs>
      </w:pPr>
      <w:r>
        <w:fldChar w:fldCharType="begin"/>
      </w:r>
      <w:r>
        <w:instrText xml:space="preserve"> HYPERLINK \l "_TocLBSv1_930059" </w:instrText>
      </w:r>
      <w:r>
        <w:fldChar w:fldCharType="separate"/>
      </w:r>
      <w:r>
        <w:t>NB-08 — The Five Reference Mines — A Tour</w:t>
      </w:r>
      <w:r>
        <w:t>	</w:t>
      </w:r>
      <w:r>
        <w:instrText> PAGEREF _TocLBSv1_930059 \h </w:instrText>
      </w:r>
      <w:r>
        <w:t>1</w:t>
      </w:r>
      <w:r>
        <w:fldChar w:fldCharType="end"/>
      </w:r>
    </w:p>
    <w:p>
      <w:pPr>
        <w:pStyle w:val="TOC3"/>
        <w:tabs>
          <w:tab w:val="right" w:leader="dot" w:pos="8640"/>
        </w:tabs>
      </w:pPr>
      <w:r>
        <w:fldChar w:fldCharType="begin"/>
      </w:r>
      <w:r>
        <w:instrText xml:space="preserve"> HYPERLINK \l "_TocLBSv1_930060" </w:instrText>
      </w:r>
      <w:r>
        <w:fldChar w:fldCharType="separate"/>
      </w:r>
      <w:r>
        <w:t>NB-09 — The Shift Ledger</w:t>
      </w:r>
      <w:r>
        <w:t>	</w:t>
      </w:r>
      <w:r>
        <w:instrText> PAGEREF _TocLBSv1_930060 \h </w:instrText>
      </w:r>
      <w:r>
        <w:t>1</w:t>
      </w:r>
      <w:r>
        <w:fldChar w:fldCharType="end"/>
      </w:r>
    </w:p>
    <w:p>
      <w:pPr>
        <w:pStyle w:val="TOC3"/>
        <w:tabs>
          <w:tab w:val="right" w:leader="dot" w:pos="8640"/>
        </w:tabs>
      </w:pPr>
      <w:r>
        <w:fldChar w:fldCharType="begin"/>
      </w:r>
      <w:r>
        <w:instrText xml:space="preserve"> HYPERLINK \l "_TocLBSv1_930061" </w:instrText>
      </w:r>
      <w:r>
        <w:fldChar w:fldCharType="separate"/>
      </w:r>
      <w:r>
        <w:t>NB-10 — Beginner Challenge — Build Your Own KPI Dashboard</w:t>
      </w:r>
      <w:r>
        <w:t>	</w:t>
      </w:r>
      <w:r>
        <w:instrText> PAGEREF _TocLBSv1_930061 \h </w:instrText>
      </w:r>
      <w:r>
        <w:t>1</w:t>
      </w:r>
      <w:r>
        <w:fldChar w:fldCharType="end"/>
      </w:r>
    </w:p>
    <w:p>
      <w:pPr>
        <w:pStyle w:val="TOC2"/>
        <w:tabs>
          <w:tab w:val="right" w:leader="dot" w:pos="8640"/>
        </w:tabs>
      </w:pPr>
      <w:r>
        <w:fldChar w:fldCharType="begin"/>
      </w:r>
      <w:r>
        <w:instrText xml:space="preserve"> HYPERLINK \l "_TocLBSv1_930062" </w:instrText>
      </w:r>
      <w:r>
        <w:fldChar w:fldCharType="separate"/>
      </w:r>
      <w:r>
        <w:t>Level 2 — Intermediate (NB-11 to NB-35)</w:t>
      </w:r>
      <w:r>
        <w:t>	</w:t>
      </w:r>
      <w:r>
        <w:instrText> PAGEREF _TocLBSv1_930062 \h </w:instrText>
      </w:r>
      <w:r>
        <w:t>1</w:t>
      </w:r>
      <w:r>
        <w:fldChar w:fldCharType="end"/>
      </w:r>
    </w:p>
    <w:p>
      <w:pPr>
        <w:pStyle w:val="TOC2"/>
        <w:tabs>
          <w:tab w:val="right" w:leader="dot" w:pos="8640"/>
        </w:tabs>
      </w:pPr>
      <w:r>
        <w:fldChar w:fldCharType="begin"/>
      </w:r>
      <w:r>
        <w:instrText xml:space="preserve"> HYPERLINK \l "_TocLBSv1_930063" </w:instrText>
      </w:r>
      <w:r>
        <w:fldChar w:fldCharType="separate"/>
      </w:r>
      <w:r>
        <w:t>Level 3 — Advanced (NB-36 to NB-60)</w:t>
      </w:r>
      <w:r>
        <w:t>	</w:t>
      </w:r>
      <w:r>
        <w:instrText> PAGEREF _TocLBSv1_930063 \h </w:instrText>
      </w:r>
      <w:r>
        <w:t>1</w:t>
      </w:r>
      <w:r>
        <w:fldChar w:fldCharType="end"/>
      </w:r>
    </w:p>
    <w:p>
      <w:pPr>
        <w:pStyle w:val="TOC2"/>
        <w:tabs>
          <w:tab w:val="right" w:leader="dot" w:pos="8640"/>
        </w:tabs>
      </w:pPr>
      <w:r>
        <w:fldChar w:fldCharType="begin"/>
      </w:r>
      <w:r>
        <w:instrText xml:space="preserve"> HYPERLINK \l "_TocLBSv1_930064" </w:instrText>
      </w:r>
      <w:r>
        <w:fldChar w:fldCharType="separate"/>
      </w:r>
      <w:r>
        <w:t>Level 4 — Expert (NB-61 to NB-80)</w:t>
      </w:r>
      <w:r>
        <w:t>	</w:t>
      </w:r>
      <w:r>
        <w:instrText> PAGEREF _TocLBSv1_930064 \h </w:instrText>
      </w:r>
      <w:r>
        <w:t>1</w:t>
      </w:r>
      <w:r>
        <w:fldChar w:fldCharType="end"/>
      </w:r>
    </w:p>
    <w:p>
      <w:pPr>
        <w:pStyle w:val="TOC2"/>
        <w:tabs>
          <w:tab w:val="right" w:leader="dot" w:pos="8640"/>
        </w:tabs>
      </w:pPr>
      <w:r>
        <w:fldChar w:fldCharType="begin"/>
      </w:r>
      <w:r>
        <w:instrText xml:space="preserve"> HYPERLINK \l "_TocLBSv1_930065" </w:instrText>
      </w:r>
      <w:r>
        <w:fldChar w:fldCharType="separate"/>
      </w:r>
      <w:r>
        <w:t>Level 5 — Specialist (NB-81 to NB-95)</w:t>
      </w:r>
      <w:r>
        <w:t>	</w:t>
      </w:r>
      <w:r>
        <w:instrText> PAGEREF _TocLBSv1_930065 \h </w:instrText>
      </w:r>
      <w:r>
        <w:t>1</w:t>
      </w:r>
      <w:r>
        <w:fldChar w:fldCharType="end"/>
      </w:r>
    </w:p>
    <w:p>
      <w:pPr>
        <w:pStyle w:val="TOC2"/>
        <w:tabs>
          <w:tab w:val="right" w:leader="dot" w:pos="8640"/>
        </w:tabs>
      </w:pPr>
      <w:r>
        <w:fldChar w:fldCharType="begin"/>
      </w:r>
      <w:r>
        <w:instrText xml:space="preserve"> HYPERLINK \l "_TocLBSv1_930066" </w:instrText>
      </w:r>
      <w:r>
        <w:fldChar w:fldCharType="separate"/>
      </w:r>
      <w:r>
        <w:t>Level 6 — Research (NB-96 to NB-100)</w:t>
      </w:r>
      <w:r>
        <w:t>	</w:t>
      </w:r>
      <w:r>
        <w:instrText> PAGEREF _TocLBSv1_930066 \h </w:instrText>
      </w:r>
      <w:r>
        <w:t>1</w:t>
      </w:r>
      <w:r>
        <w:fldChar w:fldCharType="end"/>
      </w:r>
    </w:p>
    <w:p>
      <w:pPr>
        <w:pStyle w:val="TOC1"/>
        <w:tabs>
          <w:tab w:val="right" w:leader="dot" w:pos="8640"/>
        </w:tabs>
      </w:pPr>
      <w:r>
        <w:fldChar w:fldCharType="begin"/>
      </w:r>
      <w:r>
        <w:instrText xml:space="preserve"> HYPERLINK \l "_TocLBSv1_930067" </w:instrText>
      </w:r>
      <w:r>
        <w:fldChar w:fldCharType="separate"/>
      </w:r>
      <w:r>
        <w:rPr>
          <w:b/>
        </w:rPr>
        <w:t>Part III — Expected Outputs</w:t>
      </w:r>
      <w:r>
        <w:t>	</w:t>
      </w:r>
      <w:r>
        <w:instrText> PAGEREF _TocLBSv1_930067 \h </w:instrText>
      </w:r>
      <w:r>
        <w:t>1</w:t>
      </w:r>
      <w:r>
        <w:fldChar w:fldCharType="end"/>
      </w:r>
    </w:p>
    <w:p>
      <w:pPr>
        <w:pStyle w:val="TOC2"/>
        <w:tabs>
          <w:tab w:val="right" w:leader="dot" w:pos="8640"/>
        </w:tabs>
      </w:pPr>
      <w:r>
        <w:fldChar w:fldCharType="begin"/>
      </w:r>
      <w:r>
        <w:instrText xml:space="preserve"> HYPERLINK \l "_TocLBSv1_930068" </w:instrText>
      </w:r>
      <w:r>
        <w:fldChar w:fldCharType="separate"/>
      </w:r>
      <w:r>
        <w:t>Principles</w:t>
      </w:r>
      <w:r>
        <w:t>	</w:t>
      </w:r>
      <w:r>
        <w:instrText> PAGEREF _TocLBSv1_930068 \h </w:instrText>
      </w:r>
      <w:r>
        <w:t>1</w:t>
      </w:r>
      <w:r>
        <w:fldChar w:fldCharType="end"/>
      </w:r>
    </w:p>
    <w:p>
      <w:pPr>
        <w:pStyle w:val="TOC2"/>
        <w:tabs>
          <w:tab w:val="right" w:leader="dot" w:pos="8640"/>
        </w:tabs>
      </w:pPr>
      <w:r>
        <w:fldChar w:fldCharType="begin"/>
      </w:r>
      <w:r>
        <w:instrText xml:space="preserve"> HYPERLINK \l "_TocLBSv1_930069" </w:instrText>
      </w:r>
      <w:r>
        <w:fldChar w:fldCharType="separate"/>
      </w:r>
      <w:r>
        <w:t>Core KPI expected outputs — canonical dataset</w:t>
      </w:r>
      <w:r>
        <w:t>	</w:t>
      </w:r>
      <w:r>
        <w:instrText> PAGEREF _TocLBSv1_930069 \h </w:instrText>
      </w:r>
      <w:r>
        <w:t>1</w:t>
      </w:r>
      <w:r>
        <w:fldChar w:fldCharType="end"/>
      </w:r>
    </w:p>
    <w:p>
      <w:pPr>
        <w:pStyle w:val="TOC2"/>
        <w:tabs>
          <w:tab w:val="right" w:leader="dot" w:pos="8640"/>
        </w:tabs>
      </w:pPr>
      <w:r>
        <w:fldChar w:fldCharType="begin"/>
      </w:r>
      <w:r>
        <w:instrText xml:space="preserve"> HYPERLINK \l "_TocLBSv1_930070" </w:instrText>
      </w:r>
      <w:r>
        <w:fldChar w:fldCharType="separate"/>
      </w:r>
      <w:r>
        <w:t>Per-notebook expected outputs (selected)</w:t>
      </w:r>
      <w:r>
        <w:t>	</w:t>
      </w:r>
      <w:r>
        <w:instrText> PAGEREF _TocLBSv1_930070 \h </w:instrText>
      </w:r>
      <w:r>
        <w:t>1</w:t>
      </w:r>
      <w:r>
        <w:fldChar w:fldCharType="end"/>
      </w:r>
    </w:p>
    <w:p>
      <w:pPr>
        <w:pStyle w:val="TOC3"/>
        <w:tabs>
          <w:tab w:val="right" w:leader="dot" w:pos="8640"/>
        </w:tabs>
      </w:pPr>
      <w:r>
        <w:fldChar w:fldCharType="begin"/>
      </w:r>
      <w:r>
        <w:instrText xml:space="preserve"> HYPERLINK \l "_TocLBSv1_930071" </w:instrText>
      </w:r>
      <w:r>
        <w:fldChar w:fldCharType="separate"/>
      </w:r>
      <w:r>
        <w:t>NB-06 — Availability (full shift)</w:t>
      </w:r>
      <w:r>
        <w:t>	</w:t>
      </w:r>
      <w:r>
        <w:instrText> PAGEREF _TocLBSv1_930071 \h </w:instrText>
      </w:r>
      <w:r>
        <w:t>1</w:t>
      </w:r>
      <w:r>
        <w:fldChar w:fldCharType="end"/>
      </w:r>
    </w:p>
    <w:p>
      <w:pPr>
        <w:pStyle w:val="TOC3"/>
        <w:tabs>
          <w:tab w:val="right" w:leader="dot" w:pos="8640"/>
        </w:tabs>
      </w:pPr>
      <w:r>
        <w:fldChar w:fldCharType="begin"/>
      </w:r>
      <w:r>
        <w:instrText xml:space="preserve"> HYPERLINK \l "_TocLBSv1_930072" </w:instrText>
      </w:r>
      <w:r>
        <w:fldChar w:fldCharType="separate"/>
      </w:r>
      <w:r>
        <w:t>NB-11 — Truck Productivity Deep Dive</w:t>
      </w:r>
      <w:r>
        <w:t>	</w:t>
      </w:r>
      <w:r>
        <w:instrText> PAGEREF _TocLBSv1_930072 \h </w:instrText>
      </w:r>
      <w:r>
        <w:t>1</w:t>
      </w:r>
      <w:r>
        <w:fldChar w:fldCharType="end"/>
      </w:r>
    </w:p>
    <w:p>
      <w:pPr>
        <w:pStyle w:val="TOC3"/>
        <w:tabs>
          <w:tab w:val="right" w:leader="dot" w:pos="8640"/>
        </w:tabs>
      </w:pPr>
      <w:r>
        <w:fldChar w:fldCharType="begin"/>
      </w:r>
      <w:r>
        <w:instrText xml:space="preserve"> HYPERLINK \l "_TocLBSv1_930073" </w:instrText>
      </w:r>
      <w:r>
        <w:fldChar w:fldCharType="separate"/>
      </w:r>
      <w:r>
        <w:t>NB-23 — Copper Recovery</w:t>
      </w:r>
      <w:r>
        <w:t>	</w:t>
      </w:r>
      <w:r>
        <w:instrText> PAGEREF _TocLBSv1_930073 \h </w:instrText>
      </w:r>
      <w:r>
        <w:t>1</w:t>
      </w:r>
      <w:r>
        <w:fldChar w:fldCharType="end"/>
      </w:r>
    </w:p>
    <w:p>
      <w:pPr>
        <w:pStyle w:val="TOC3"/>
        <w:tabs>
          <w:tab w:val="right" w:leader="dot" w:pos="8640"/>
        </w:tabs>
      </w:pPr>
      <w:r>
        <w:fldChar w:fldCharType="begin"/>
      </w:r>
      <w:r>
        <w:instrText xml:space="preserve"> HYPERLINK \l "_TocLBSv1_930074" </w:instrText>
      </w:r>
      <w:r>
        <w:fldChar w:fldCharType="separate"/>
      </w:r>
      <w:r>
        <w:t>NB-44 — Fleet Simulation</w:t>
      </w:r>
      <w:r>
        <w:t>	</w:t>
      </w:r>
      <w:r>
        <w:instrText> PAGEREF _TocLBSv1_930074 \h </w:instrText>
      </w:r>
      <w:r>
        <w:t>1</w:t>
      </w:r>
      <w:r>
        <w:fldChar w:fldCharType="end"/>
      </w:r>
    </w:p>
    <w:p>
      <w:pPr>
        <w:pStyle w:val="TOC2"/>
        <w:tabs>
          <w:tab w:val="right" w:leader="dot" w:pos="8640"/>
        </w:tabs>
      </w:pPr>
      <w:r>
        <w:fldChar w:fldCharType="begin"/>
      </w:r>
      <w:r>
        <w:instrText xml:space="preserve"> HYPERLINK \l "_TocLBSv1_930075" </w:instrText>
      </w:r>
      <w:r>
        <w:fldChar w:fldCharType="separate"/>
      </w:r>
      <w:r>
        <w:t>Regression-test outputs</w:t>
      </w:r>
      <w:r>
        <w:t>	</w:t>
      </w:r>
      <w:r>
        <w:instrText> PAGEREF _TocLBSv1_930075 \h </w:instrText>
      </w:r>
      <w:r>
        <w:t>1</w:t>
      </w:r>
      <w:r>
        <w:fldChar w:fldCharType="end"/>
      </w:r>
    </w:p>
    <w:p>
      <w:pPr>
        <w:pStyle w:val="TOC1"/>
        <w:tabs>
          <w:tab w:val="right" w:leader="dot" w:pos="8640"/>
        </w:tabs>
      </w:pPr>
      <w:r>
        <w:fldChar w:fldCharType="begin"/>
      </w:r>
      <w:r>
        <w:instrText xml:space="preserve"> HYPERLINK \l "_TocLBSv1_930076" </w:instrText>
      </w:r>
      <w:r>
        <w:fldChar w:fldCharType="separate"/>
      </w:r>
      <w:r>
        <w:rPr>
          <w:b/>
        </w:rPr>
        <w:t>Part IV — Benchmark Seeds</w:t>
      </w:r>
      <w:r>
        <w:t>	</w:t>
      </w:r>
      <w:r>
        <w:instrText> PAGEREF _TocLBSv1_930076 \h </w:instrText>
      </w:r>
      <w:r>
        <w:t>1</w:t>
      </w:r>
      <w:r>
        <w:fldChar w:fldCharType="end"/>
      </w:r>
    </w:p>
    <w:p>
      <w:pPr>
        <w:pStyle w:val="TOC2"/>
        <w:tabs>
          <w:tab w:val="right" w:leader="dot" w:pos="8640"/>
        </w:tabs>
      </w:pPr>
      <w:r>
        <w:fldChar w:fldCharType="begin"/>
      </w:r>
      <w:r>
        <w:instrText xml:space="preserve"> HYPERLINK \l "_TocLBSv1_930077" </w:instrText>
      </w:r>
      <w:r>
        <w:fldChar w:fldCharType="separate"/>
      </w:r>
      <w:r>
        <w:t>Scenario definitions</w:t>
      </w:r>
      <w:r>
        <w:t>	</w:t>
      </w:r>
      <w:r>
        <w:instrText> PAGEREF _TocLBSv1_930077 \h </w:instrText>
      </w:r>
      <w:r>
        <w:t>1</w:t>
      </w:r>
      <w:r>
        <w:fldChar w:fldCharType="end"/>
      </w:r>
    </w:p>
    <w:p>
      <w:pPr>
        <w:pStyle w:val="TOC3"/>
        <w:tabs>
          <w:tab w:val="right" w:leader="dot" w:pos="8640"/>
        </w:tabs>
      </w:pPr>
      <w:r>
        <w:fldChar w:fldCharType="begin"/>
      </w:r>
      <w:r>
        <w:instrText xml:space="preserve"> HYPERLINK \l "_TocLBSv1_930078" </w:instrText>
      </w:r>
      <w:r>
        <w:fldChar w:fldCharType="separate"/>
      </w:r>
      <w:r>
        <w:t>Excellent scenario</w:t>
      </w:r>
      <w:r>
        <w:t>	</w:t>
      </w:r>
      <w:r>
        <w:instrText> PAGEREF _TocLBSv1_930078 \h </w:instrText>
      </w:r>
      <w:r>
        <w:t>1</w:t>
      </w:r>
      <w:r>
        <w:fldChar w:fldCharType="end"/>
      </w:r>
    </w:p>
    <w:p>
      <w:pPr>
        <w:pStyle w:val="TOC3"/>
        <w:tabs>
          <w:tab w:val="right" w:leader="dot" w:pos="8640"/>
        </w:tabs>
      </w:pPr>
      <w:r>
        <w:fldChar w:fldCharType="begin"/>
      </w:r>
      <w:r>
        <w:instrText xml:space="preserve"> HYPERLINK \l "_TocLBSv1_930079" </w:instrText>
      </w:r>
      <w:r>
        <w:fldChar w:fldCharType="separate"/>
      </w:r>
      <w:r>
        <w:t>Good scenario</w:t>
      </w:r>
      <w:r>
        <w:t>	</w:t>
      </w:r>
      <w:r>
        <w:instrText> PAGEREF _TocLBSv1_930079 \h </w:instrText>
      </w:r>
      <w:r>
        <w:t>1</w:t>
      </w:r>
      <w:r>
        <w:fldChar w:fldCharType="end"/>
      </w:r>
    </w:p>
    <w:p>
      <w:pPr>
        <w:pStyle w:val="TOC3"/>
        <w:tabs>
          <w:tab w:val="right" w:leader="dot" w:pos="8640"/>
        </w:tabs>
      </w:pPr>
      <w:r>
        <w:fldChar w:fldCharType="begin"/>
      </w:r>
      <w:r>
        <w:instrText xml:space="preserve"> HYPERLINK \l "_TocLBSv1_930080" </w:instrText>
      </w:r>
      <w:r>
        <w:fldChar w:fldCharType="separate"/>
      </w:r>
      <w:r>
        <w:t>Average scenario</w:t>
      </w:r>
      <w:r>
        <w:t>	</w:t>
      </w:r>
      <w:r>
        <w:instrText> PAGEREF _TocLBSv1_930080 \h </w:instrText>
      </w:r>
      <w:r>
        <w:t>1</w:t>
      </w:r>
      <w:r>
        <w:fldChar w:fldCharType="end"/>
      </w:r>
    </w:p>
    <w:p>
      <w:pPr>
        <w:pStyle w:val="TOC3"/>
        <w:tabs>
          <w:tab w:val="right" w:leader="dot" w:pos="8640"/>
        </w:tabs>
      </w:pPr>
      <w:r>
        <w:fldChar w:fldCharType="begin"/>
      </w:r>
      <w:r>
        <w:instrText xml:space="preserve"> HYPERLINK \l "_TocLBSv1_930081" </w:instrText>
      </w:r>
      <w:r>
        <w:fldChar w:fldCharType="separate"/>
      </w:r>
      <w:r>
        <w:t>Poor scenario</w:t>
      </w:r>
      <w:r>
        <w:t>	</w:t>
      </w:r>
      <w:r>
        <w:instrText> PAGEREF _TocLBSv1_930081 \h </w:instrText>
      </w:r>
      <w:r>
        <w:t>1</w:t>
      </w:r>
      <w:r>
        <w:fldChar w:fldCharType="end"/>
      </w:r>
    </w:p>
    <w:p>
      <w:pPr>
        <w:pStyle w:val="TOC2"/>
        <w:tabs>
          <w:tab w:val="right" w:leader="dot" w:pos="8640"/>
        </w:tabs>
      </w:pPr>
      <w:r>
        <w:fldChar w:fldCharType="begin"/>
      </w:r>
      <w:r>
        <w:instrText xml:space="preserve"> HYPERLINK \l "_TocLBSv1_930082" </w:instrText>
      </w:r>
      <w:r>
        <w:fldChar w:fldCharType="separate"/>
      </w:r>
      <w:r>
        <w:t>Commodity-specific scenario summaries</w:t>
      </w:r>
      <w:r>
        <w:t>	</w:t>
      </w:r>
      <w:r>
        <w:instrText> PAGEREF _TocLBSv1_930082 \h </w:instrText>
      </w:r>
      <w:r>
        <w:t>1</w:t>
      </w:r>
      <w:r>
        <w:fldChar w:fldCharType="end"/>
      </w:r>
    </w:p>
    <w:p>
      <w:pPr>
        <w:pStyle w:val="TOC3"/>
        <w:tabs>
          <w:tab w:val="right" w:leader="dot" w:pos="8640"/>
        </w:tabs>
      </w:pPr>
      <w:r>
        <w:fldChar w:fldCharType="begin"/>
      </w:r>
      <w:r>
        <w:instrText xml:space="preserve"> HYPERLINK \l "_TocLBSv1_930083" </w:instrText>
      </w:r>
      <w:r>
        <w:fldChar w:fldCharType="separate"/>
      </w:r>
      <w:r>
        <w:t>Bingham West — Copper (illustrative ranges)</w:t>
      </w:r>
      <w:r>
        <w:t>	</w:t>
      </w:r>
      <w:r>
        <w:instrText> PAGEREF _TocLBSv1_930083 \h </w:instrText>
      </w:r>
      <w:r>
        <w:t>1</w:t>
      </w:r>
      <w:r>
        <w:fldChar w:fldCharType="end"/>
      </w:r>
    </w:p>
    <w:p>
      <w:pPr>
        <w:pStyle w:val="TOC3"/>
        <w:tabs>
          <w:tab w:val="right" w:leader="dot" w:pos="8640"/>
        </w:tabs>
      </w:pPr>
      <w:r>
        <w:fldChar w:fldCharType="begin"/>
      </w:r>
      <w:r>
        <w:instrText xml:space="preserve"> HYPERLINK \l "_TocLBSv1_930084" </w:instrText>
      </w:r>
      <w:r>
        <w:fldChar w:fldCharType="separate"/>
      </w:r>
      <w:r>
        <w:t>Black Diamond — Coal (illustrative ranges)</w:t>
      </w:r>
      <w:r>
        <w:t>	</w:t>
      </w:r>
      <w:r>
        <w:instrText> PAGEREF _TocLBSv1_930084 \h </w:instrText>
      </w:r>
      <w:r>
        <w:t>1</w:t>
      </w:r>
      <w:r>
        <w:fldChar w:fldCharType="end"/>
      </w:r>
    </w:p>
    <w:p>
      <w:pPr>
        <w:pStyle w:val="TOC3"/>
        <w:tabs>
          <w:tab w:val="right" w:leader="dot" w:pos="8640"/>
        </w:tabs>
      </w:pPr>
      <w:r>
        <w:fldChar w:fldCharType="begin"/>
      </w:r>
      <w:r>
        <w:instrText xml:space="preserve"> HYPERLINK \l "_TocLBSv1_930085" </w:instrText>
      </w:r>
      <w:r>
        <w:fldChar w:fldCharType="separate"/>
      </w:r>
      <w:r>
        <w:t>Aurora Gold — Gold (illustrative ranges)</w:t>
      </w:r>
      <w:r>
        <w:t>	</w:t>
      </w:r>
      <w:r>
        <w:instrText> PAGEREF _TocLBSv1_930085 \h </w:instrText>
      </w:r>
      <w:r>
        <w:t>1</w:t>
      </w:r>
      <w:r>
        <w:fldChar w:fldCharType="end"/>
      </w:r>
    </w:p>
    <w:p>
      <w:pPr>
        <w:pStyle w:val="TOC3"/>
        <w:tabs>
          <w:tab w:val="right" w:leader="dot" w:pos="8640"/>
        </w:tabs>
      </w:pPr>
      <w:r>
        <w:fldChar w:fldCharType="begin"/>
      </w:r>
      <w:r>
        <w:instrText xml:space="preserve"> HYPERLINK \l "_TocLBSv1_930086" </w:instrText>
      </w:r>
      <w:r>
        <w:fldChar w:fldCharType="separate"/>
      </w:r>
      <w:r>
        <w:t>Green Valley — Lithium (illustrative ranges)</w:t>
      </w:r>
      <w:r>
        <w:t>	</w:t>
      </w:r>
      <w:r>
        <w:instrText> PAGEREF _TocLBSv1_930086 \h </w:instrText>
      </w:r>
      <w:r>
        <w:t>1</w:t>
      </w:r>
      <w:r>
        <w:fldChar w:fldCharType="end"/>
      </w:r>
    </w:p>
    <w:p>
      <w:pPr>
        <w:pStyle w:val="TOC1"/>
        <w:tabs>
          <w:tab w:val="right" w:leader="dot" w:pos="8640"/>
        </w:tabs>
      </w:pPr>
      <w:r>
        <w:fldChar w:fldCharType="begin"/>
      </w:r>
      <w:r>
        <w:instrText xml:space="preserve"> HYPERLINK \l "_TocLBSv1_930087" </w:instrText>
      </w:r>
      <w:r>
        <w:fldChar w:fldCharType="separate"/>
      </w:r>
      <w:r>
        <w:rPr>
          <w:b/>
        </w:rPr>
        <w:t>Part V — Visualization Gallery</w:t>
      </w:r>
      <w:r>
        <w:t>	</w:t>
      </w:r>
      <w:r>
        <w:instrText> PAGEREF _TocLBSv1_930087 \h </w:instrText>
      </w:r>
      <w:r>
        <w:t>1</w:t>
      </w:r>
      <w:r>
        <w:fldChar w:fldCharType="end"/>
      </w:r>
    </w:p>
    <w:p>
      <w:pPr>
        <w:pStyle w:val="TOC2"/>
        <w:tabs>
          <w:tab w:val="right" w:leader="dot" w:pos="8640"/>
        </w:tabs>
      </w:pPr>
      <w:r>
        <w:fldChar w:fldCharType="begin"/>
      </w:r>
      <w:r>
        <w:instrText xml:space="preserve"> HYPERLINK \l "_TocLBSv1_930088" </w:instrText>
      </w:r>
      <w:r>
        <w:fldChar w:fldCharType="separate"/>
      </w:r>
      <w:r>
        <w:t>Chart types and their KPI matches</w:t>
      </w:r>
      <w:r>
        <w:t>	</w:t>
      </w:r>
      <w:r>
        <w:instrText> PAGEREF _TocLBSv1_930088 \h </w:instrText>
      </w:r>
      <w:r>
        <w:t>1</w:t>
      </w:r>
      <w:r>
        <w:fldChar w:fldCharType="end"/>
      </w:r>
    </w:p>
    <w:p>
      <w:pPr>
        <w:pStyle w:val="TOC3"/>
        <w:tabs>
          <w:tab w:val="right" w:leader="dot" w:pos="8640"/>
        </w:tabs>
      </w:pPr>
      <w:r>
        <w:fldChar w:fldCharType="begin"/>
      </w:r>
      <w:r>
        <w:instrText xml:space="preserve"> HYPERLINK \l "_TocLBSv1_930089" </w:instrText>
      </w:r>
      <w:r>
        <w:fldChar w:fldCharType="separate"/>
      </w:r>
      <w:r>
        <w:t>KPI Cards</w:t>
      </w:r>
      <w:r>
        <w:t>	</w:t>
      </w:r>
      <w:r>
        <w:instrText> PAGEREF _TocLBSv1_930089 \h </w:instrText>
      </w:r>
      <w:r>
        <w:t>1</w:t>
      </w:r>
      <w:r>
        <w:fldChar w:fldCharType="end"/>
      </w:r>
    </w:p>
    <w:p>
      <w:pPr>
        <w:pStyle w:val="TOC3"/>
        <w:tabs>
          <w:tab w:val="right" w:leader="dot" w:pos="8640"/>
        </w:tabs>
      </w:pPr>
      <w:r>
        <w:fldChar w:fldCharType="begin"/>
      </w:r>
      <w:r>
        <w:instrText xml:space="preserve"> HYPERLINK \l "_TocLBSv1_930090" </w:instrText>
      </w:r>
      <w:r>
        <w:fldChar w:fldCharType="separate"/>
      </w:r>
      <w:r>
        <w:t>Time Series</w:t>
      </w:r>
      <w:r>
        <w:t>	</w:t>
      </w:r>
      <w:r>
        <w:instrText> PAGEREF _TocLBSv1_930090 \h </w:instrText>
      </w:r>
      <w:r>
        <w:t>1</w:t>
      </w:r>
      <w:r>
        <w:fldChar w:fldCharType="end"/>
      </w:r>
    </w:p>
    <w:p>
      <w:pPr>
        <w:pStyle w:val="TOC3"/>
        <w:tabs>
          <w:tab w:val="right" w:leader="dot" w:pos="8640"/>
        </w:tabs>
      </w:pPr>
      <w:r>
        <w:fldChar w:fldCharType="begin"/>
      </w:r>
      <w:r>
        <w:instrText xml:space="preserve"> HYPERLINK \l "_TocLBSv1_930091" </w:instrText>
      </w:r>
      <w:r>
        <w:fldChar w:fldCharType="separate"/>
      </w:r>
      <w:r>
        <w:t>Pareto</w:t>
      </w:r>
      <w:r>
        <w:t>	</w:t>
      </w:r>
      <w:r>
        <w:instrText> PAGEREF _TocLBSv1_930091 \h </w:instrText>
      </w:r>
      <w:r>
        <w:t>1</w:t>
      </w:r>
      <w:r>
        <w:fldChar w:fldCharType="end"/>
      </w:r>
    </w:p>
    <w:p>
      <w:pPr>
        <w:pStyle w:val="TOC3"/>
        <w:tabs>
          <w:tab w:val="right" w:leader="dot" w:pos="8640"/>
        </w:tabs>
      </w:pPr>
      <w:r>
        <w:fldChar w:fldCharType="begin"/>
      </w:r>
      <w:r>
        <w:instrText xml:space="preserve"> HYPERLINK \l "_TocLBSv1_930092" </w:instrText>
      </w:r>
      <w:r>
        <w:fldChar w:fldCharType="separate"/>
      </w:r>
      <w:r>
        <w:t>Waterfall</w:t>
      </w:r>
      <w:r>
        <w:t>	</w:t>
      </w:r>
      <w:r>
        <w:instrText> PAGEREF _TocLBSv1_930092 \h </w:instrText>
      </w:r>
      <w:r>
        <w:t>1</w:t>
      </w:r>
      <w:r>
        <w:fldChar w:fldCharType="end"/>
      </w:r>
    </w:p>
    <w:p>
      <w:pPr>
        <w:pStyle w:val="TOC3"/>
        <w:tabs>
          <w:tab w:val="right" w:leader="dot" w:pos="8640"/>
        </w:tabs>
      </w:pPr>
      <w:r>
        <w:fldChar w:fldCharType="begin"/>
      </w:r>
      <w:r>
        <w:instrText xml:space="preserve"> HYPERLINK \l "_TocLBSv1_930093" </w:instrText>
      </w:r>
      <w:r>
        <w:fldChar w:fldCharType="separate"/>
      </w:r>
      <w:r>
        <w:t>Sankey Diagram</w:t>
      </w:r>
      <w:r>
        <w:t>	</w:t>
      </w:r>
      <w:r>
        <w:instrText> PAGEREF _TocLBSv1_930093 \h </w:instrText>
      </w:r>
      <w:r>
        <w:t>1</w:t>
      </w:r>
      <w:r>
        <w:fldChar w:fldCharType="end"/>
      </w:r>
    </w:p>
    <w:p>
      <w:pPr>
        <w:pStyle w:val="TOC3"/>
        <w:tabs>
          <w:tab w:val="right" w:leader="dot" w:pos="8640"/>
        </w:tabs>
      </w:pPr>
      <w:r>
        <w:fldChar w:fldCharType="begin"/>
      </w:r>
      <w:r>
        <w:instrText xml:space="preserve"> HYPERLINK \l "_TocLBSv1_930094" </w:instrText>
      </w:r>
      <w:r>
        <w:fldChar w:fldCharType="separate"/>
      </w:r>
      <w:r>
        <w:t>Scatter Plot</w:t>
      </w:r>
      <w:r>
        <w:t>	</w:t>
      </w:r>
      <w:r>
        <w:instrText> PAGEREF _TocLBSv1_930094 \h </w:instrText>
      </w:r>
      <w:r>
        <w:t>1</w:t>
      </w:r>
      <w:r>
        <w:fldChar w:fldCharType="end"/>
      </w:r>
    </w:p>
    <w:p>
      <w:pPr>
        <w:pStyle w:val="TOC3"/>
        <w:tabs>
          <w:tab w:val="right" w:leader="dot" w:pos="8640"/>
        </w:tabs>
      </w:pPr>
      <w:r>
        <w:fldChar w:fldCharType="begin"/>
      </w:r>
      <w:r>
        <w:instrText xml:space="preserve"> HYPERLINK \l "_TocLBSv1_930095" </w:instrText>
      </w:r>
      <w:r>
        <w:fldChar w:fldCharType="separate"/>
      </w:r>
      <w:r>
        <w:t>Histogram</w:t>
      </w:r>
      <w:r>
        <w:t>	</w:t>
      </w:r>
      <w:r>
        <w:instrText> PAGEREF _TocLBSv1_930095 \h </w:instrText>
      </w:r>
      <w:r>
        <w:t>1</w:t>
      </w:r>
      <w:r>
        <w:fldChar w:fldCharType="end"/>
      </w:r>
    </w:p>
    <w:p>
      <w:pPr>
        <w:pStyle w:val="TOC3"/>
        <w:tabs>
          <w:tab w:val="right" w:leader="dot" w:pos="8640"/>
        </w:tabs>
      </w:pPr>
      <w:r>
        <w:fldChar w:fldCharType="begin"/>
      </w:r>
      <w:r>
        <w:instrText xml:space="preserve"> HYPERLINK \l "_TocLBSv1_930096" </w:instrText>
      </w:r>
      <w:r>
        <w:fldChar w:fldCharType="separate"/>
      </w:r>
      <w:r>
        <w:t>Control Chart (Shewhart)</w:t>
      </w:r>
      <w:r>
        <w:t>	</w:t>
      </w:r>
      <w:r>
        <w:instrText> PAGEREF _TocLBSv1_930096 \h </w:instrText>
      </w:r>
      <w:r>
        <w:t>1</w:t>
      </w:r>
      <w:r>
        <w:fldChar w:fldCharType="end"/>
      </w:r>
    </w:p>
    <w:p>
      <w:pPr>
        <w:pStyle w:val="TOC3"/>
        <w:tabs>
          <w:tab w:val="right" w:leader="dot" w:pos="8640"/>
        </w:tabs>
      </w:pPr>
      <w:r>
        <w:fldChar w:fldCharType="begin"/>
      </w:r>
      <w:r>
        <w:instrText xml:space="preserve"> HYPERLINK \l "_TocLBSv1_930097" </w:instrText>
      </w:r>
      <w:r>
        <w:fldChar w:fldCharType="separate"/>
      </w:r>
      <w:r>
        <w:t>Heatmap</w:t>
      </w:r>
      <w:r>
        <w:t>	</w:t>
      </w:r>
      <w:r>
        <w:instrText> PAGEREF _TocLBSv1_930097 \h </w:instrText>
      </w:r>
      <w:r>
        <w:t>1</w:t>
      </w:r>
      <w:r>
        <w:fldChar w:fldCharType="end"/>
      </w:r>
    </w:p>
    <w:p>
      <w:pPr>
        <w:pStyle w:val="TOC3"/>
        <w:tabs>
          <w:tab w:val="right" w:leader="dot" w:pos="8640"/>
        </w:tabs>
      </w:pPr>
      <w:r>
        <w:fldChar w:fldCharType="begin"/>
      </w:r>
      <w:r>
        <w:instrText xml:space="preserve"> HYPERLINK \l "_TocLBSv1_930098" </w:instrText>
      </w:r>
      <w:r>
        <w:fldChar w:fldCharType="separate"/>
      </w:r>
      <w:r>
        <w:t>Fleet Map</w:t>
      </w:r>
      <w:r>
        <w:t>	</w:t>
      </w:r>
      <w:r>
        <w:instrText> PAGEREF _TocLBSv1_930098 \h </w:instrText>
      </w:r>
      <w:r>
        <w:t>1</w:t>
      </w:r>
      <w:r>
        <w:fldChar w:fldCharType="end"/>
      </w:r>
    </w:p>
    <w:p>
      <w:pPr>
        <w:pStyle w:val="TOC3"/>
        <w:tabs>
          <w:tab w:val="right" w:leader="dot" w:pos="8640"/>
        </w:tabs>
      </w:pPr>
      <w:r>
        <w:fldChar w:fldCharType="begin"/>
      </w:r>
      <w:r>
        <w:instrText xml:space="preserve"> HYPERLINK \l "_TocLBSv1_930099" </w:instrText>
      </w:r>
      <w:r>
        <w:fldChar w:fldCharType="separate"/>
      </w:r>
      <w:r>
        <w:t>Bubble Chart</w:t>
      </w:r>
      <w:r>
        <w:t>	</w:t>
      </w:r>
      <w:r>
        <w:instrText> PAGEREF _TocLBSv1_930099 \h </w:instrText>
      </w:r>
      <w:r>
        <w:t>1</w:t>
      </w:r>
      <w:r>
        <w:fldChar w:fldCharType="end"/>
      </w:r>
    </w:p>
    <w:p>
      <w:pPr>
        <w:pStyle w:val="TOC3"/>
        <w:tabs>
          <w:tab w:val="right" w:leader="dot" w:pos="8640"/>
        </w:tabs>
      </w:pPr>
      <w:r>
        <w:fldChar w:fldCharType="begin"/>
      </w:r>
      <w:r>
        <w:instrText xml:space="preserve"> HYPERLINK \l "_TocLBSv1_930100" </w:instrText>
      </w:r>
      <w:r>
        <w:fldChar w:fldCharType="separate"/>
      </w:r>
      <w:r>
        <w:t>Timeline / Gantt</w:t>
      </w:r>
      <w:r>
        <w:t>	</w:t>
      </w:r>
      <w:r>
        <w:instrText> PAGEREF _TocLBSv1_930100 \h </w:instrText>
      </w:r>
      <w:r>
        <w:t>1</w:t>
      </w:r>
      <w:r>
        <w:fldChar w:fldCharType="end"/>
      </w:r>
    </w:p>
    <w:p>
      <w:pPr>
        <w:pStyle w:val="TOC3"/>
        <w:tabs>
          <w:tab w:val="right" w:leader="dot" w:pos="8640"/>
        </w:tabs>
      </w:pPr>
      <w:r>
        <w:fldChar w:fldCharType="begin"/>
      </w:r>
      <w:r>
        <w:instrText xml:space="preserve"> HYPERLINK \l "_TocLBSv1_930101" </w:instrText>
      </w:r>
      <w:r>
        <w:fldChar w:fldCharType="separate"/>
      </w:r>
      <w:r>
        <w:t>Dual-Axis Line Chart</w:t>
      </w:r>
      <w:r>
        <w:t>	</w:t>
      </w:r>
      <w:r>
        <w:instrText> PAGEREF _TocLBSv1_930101 \h </w:instrText>
      </w:r>
      <w:r>
        <w:t>1</w:t>
      </w:r>
      <w:r>
        <w:fldChar w:fldCharType="end"/>
      </w:r>
    </w:p>
    <w:p>
      <w:pPr>
        <w:pStyle w:val="TOC2"/>
        <w:tabs>
          <w:tab w:val="right" w:leader="dot" w:pos="8640"/>
        </w:tabs>
      </w:pPr>
      <w:r>
        <w:fldChar w:fldCharType="begin"/>
      </w:r>
      <w:r>
        <w:instrText xml:space="preserve"> HYPERLINK \l "_TocLBSv1_930102" </w:instrText>
      </w:r>
      <w:r>
        <w:fldChar w:fldCharType="separate"/>
      </w:r>
      <w:r>
        <w:t>Worst-practice patterns to avoid</w:t>
      </w:r>
      <w:r>
        <w:t>	</w:t>
      </w:r>
      <w:r>
        <w:instrText> PAGEREF _TocLBSv1_930102 \h </w:instrText>
      </w:r>
      <w:r>
        <w:t>1</w:t>
      </w:r>
      <w:r>
        <w:fldChar w:fldCharType="end"/>
      </w:r>
    </w:p>
    <w:p>
      <w:pPr>
        <w:pStyle w:val="TOC1"/>
        <w:tabs>
          <w:tab w:val="right" w:leader="dot" w:pos="8640"/>
        </w:tabs>
      </w:pPr>
      <w:r>
        <w:fldChar w:fldCharType="begin"/>
      </w:r>
      <w:r>
        <w:instrText xml:space="preserve"> HYPERLINK \l "_TocLBSv1_930103" </w:instrText>
      </w:r>
      <w:r>
        <w:fldChar w:fldCharType="separate"/>
      </w:r>
      <w:r>
        <w:rPr>
          <w:b/>
        </w:rPr>
        <w:t>Part VI — AI Demonstration Gallery</w:t>
      </w:r>
      <w:r>
        <w:t>	</w:t>
      </w:r>
      <w:r>
        <w:instrText> PAGEREF _TocLBSv1_930103 \h </w:instrText>
      </w:r>
      <w:r>
        <w:t>1</w:t>
      </w:r>
      <w:r>
        <w:fldChar w:fldCharType="end"/>
      </w:r>
    </w:p>
    <w:p>
      <w:pPr>
        <w:pStyle w:val="TOC2"/>
        <w:tabs>
          <w:tab w:val="right" w:leader="dot" w:pos="8640"/>
        </w:tabs>
      </w:pPr>
      <w:r>
        <w:fldChar w:fldCharType="begin"/>
      </w:r>
      <w:r>
        <w:instrText xml:space="preserve"> HYPERLINK \l "_TocLBSv1_930104" </w:instrText>
      </w:r>
      <w:r>
        <w:fldChar w:fldCharType="separate"/>
      </w:r>
      <w:r>
        <w:t>Demo structure — standard template</w:t>
      </w:r>
      <w:r>
        <w:t>	</w:t>
      </w:r>
      <w:r>
        <w:instrText> PAGEREF _TocLBSv1_930104 \h </w:instrText>
      </w:r>
      <w:r>
        <w:t>1</w:t>
      </w:r>
      <w:r>
        <w:fldChar w:fldCharType="end"/>
      </w:r>
    </w:p>
    <w:p>
      <w:pPr>
        <w:pStyle w:val="TOC2"/>
        <w:tabs>
          <w:tab w:val="right" w:leader="dot" w:pos="8640"/>
        </w:tabs>
      </w:pPr>
      <w:r>
        <w:fldChar w:fldCharType="begin"/>
      </w:r>
      <w:r>
        <w:instrText xml:space="preserve"> HYPERLINK \l "_TocLBSv1_930105" </w:instrText>
      </w:r>
      <w:r>
        <w:fldChar w:fldCharType="separate"/>
      </w:r>
      <w:r>
        <w:t>Demo 01 — Root Cause Analysis</w:t>
      </w:r>
      <w:r>
        <w:t>	</w:t>
      </w:r>
      <w:r>
        <w:instrText> PAGEREF _TocLBSv1_930105 \h </w:instrText>
      </w:r>
      <w:r>
        <w:t>1</w:t>
      </w:r>
      <w:r>
        <w:fldChar w:fldCharType="end"/>
      </w:r>
    </w:p>
    <w:p>
      <w:pPr>
        <w:pStyle w:val="TOC2"/>
        <w:tabs>
          <w:tab w:val="right" w:leader="dot" w:pos="8640"/>
        </w:tabs>
      </w:pPr>
      <w:r>
        <w:fldChar w:fldCharType="begin"/>
      </w:r>
      <w:r>
        <w:instrText xml:space="preserve"> HYPERLINK \l "_TocLBSv1_930106" </w:instrText>
      </w:r>
      <w:r>
        <w:fldChar w:fldCharType="separate"/>
      </w:r>
      <w:r>
        <w:t>Demo 02 — KPI Explanation</w:t>
      </w:r>
      <w:r>
        <w:t>	</w:t>
      </w:r>
      <w:r>
        <w:instrText> PAGEREF _TocLBSv1_930106 \h </w:instrText>
      </w:r>
      <w:r>
        <w:t>1</w:t>
      </w:r>
      <w:r>
        <w:fldChar w:fldCharType="end"/>
      </w:r>
    </w:p>
    <w:p>
      <w:pPr>
        <w:pStyle w:val="TOC2"/>
        <w:tabs>
          <w:tab w:val="right" w:leader="dot" w:pos="8640"/>
        </w:tabs>
      </w:pPr>
      <w:r>
        <w:fldChar w:fldCharType="begin"/>
      </w:r>
      <w:r>
        <w:instrText xml:space="preserve"> HYPERLINK \l "_TocLBSv1_930107" </w:instrText>
      </w:r>
      <w:r>
        <w:fldChar w:fldCharType="separate"/>
      </w:r>
      <w:r>
        <w:t>Demo 03 — Delay Investigation</w:t>
      </w:r>
      <w:r>
        <w:t>	</w:t>
      </w:r>
      <w:r>
        <w:instrText> PAGEREF _TocLBSv1_930107 \h </w:instrText>
      </w:r>
      <w:r>
        <w:t>1</w:t>
      </w:r>
      <w:r>
        <w:fldChar w:fldCharType="end"/>
      </w:r>
    </w:p>
    <w:p>
      <w:pPr>
        <w:pStyle w:val="TOC2"/>
        <w:tabs>
          <w:tab w:val="right" w:leader="dot" w:pos="8640"/>
        </w:tabs>
      </w:pPr>
      <w:r>
        <w:fldChar w:fldCharType="begin"/>
      </w:r>
      <w:r>
        <w:instrText xml:space="preserve"> HYPERLINK \l "_TocLBSv1_930108" </w:instrText>
      </w:r>
      <w:r>
        <w:fldChar w:fldCharType="separate"/>
      </w:r>
      <w:r>
        <w:t>Demo 04 — Shift Summary Generation</w:t>
      </w:r>
      <w:r>
        <w:t>	</w:t>
      </w:r>
      <w:r>
        <w:instrText> PAGEREF _TocLBSv1_930108 \h </w:instrText>
      </w:r>
      <w:r>
        <w:t>1</w:t>
      </w:r>
      <w:r>
        <w:fldChar w:fldCharType="end"/>
      </w:r>
    </w:p>
    <w:p>
      <w:pPr>
        <w:pStyle w:val="TOC2"/>
        <w:tabs>
          <w:tab w:val="right" w:leader="dot" w:pos="8640"/>
        </w:tabs>
      </w:pPr>
      <w:r>
        <w:fldChar w:fldCharType="begin"/>
      </w:r>
      <w:r>
        <w:instrText xml:space="preserve"> HYPERLINK \l "_TocLBSv1_930109" </w:instrText>
      </w:r>
      <w:r>
        <w:fldChar w:fldCharType="separate"/>
      </w:r>
      <w:r>
        <w:t>Demo 05 — Productivity Recommendations</w:t>
      </w:r>
      <w:r>
        <w:t>	</w:t>
      </w:r>
      <w:r>
        <w:instrText> PAGEREF _TocLBSv1_930109 \h </w:instrText>
      </w:r>
      <w:r>
        <w:t>1</w:t>
      </w:r>
      <w:r>
        <w:fldChar w:fldCharType="end"/>
      </w:r>
    </w:p>
    <w:p>
      <w:pPr>
        <w:pStyle w:val="TOC2"/>
        <w:tabs>
          <w:tab w:val="right" w:leader="dot" w:pos="8640"/>
        </w:tabs>
      </w:pPr>
      <w:r>
        <w:fldChar w:fldCharType="begin"/>
      </w:r>
      <w:r>
        <w:instrText xml:space="preserve"> HYPERLINK \l "_TocLBSv1_930110" </w:instrText>
      </w:r>
      <w:r>
        <w:fldChar w:fldCharType="separate"/>
      </w:r>
      <w:r>
        <w:t>Demo 06 — Fleet Optimisation</w:t>
      </w:r>
      <w:r>
        <w:t>	</w:t>
      </w:r>
      <w:r>
        <w:instrText> PAGEREF _TocLBSv1_930110 \h </w:instrText>
      </w:r>
      <w:r>
        <w:t>1</w:t>
      </w:r>
      <w:r>
        <w:fldChar w:fldCharType="end"/>
      </w:r>
    </w:p>
    <w:p>
      <w:pPr>
        <w:pStyle w:val="TOC2"/>
        <w:tabs>
          <w:tab w:val="right" w:leader="dot" w:pos="8640"/>
        </w:tabs>
      </w:pPr>
      <w:r>
        <w:fldChar w:fldCharType="begin"/>
      </w:r>
      <w:r>
        <w:instrText xml:space="preserve"> HYPERLINK \l "_TocLBSv1_930111" </w:instrText>
      </w:r>
      <w:r>
        <w:fldChar w:fldCharType="separate"/>
      </w:r>
      <w:r>
        <w:t>Demo 07 — Digital Twin Querying</w:t>
      </w:r>
      <w:r>
        <w:t>	</w:t>
      </w:r>
      <w:r>
        <w:instrText> PAGEREF _TocLBSv1_930111 \h </w:instrText>
      </w:r>
      <w:r>
        <w:t>1</w:t>
      </w:r>
      <w:r>
        <w:fldChar w:fldCharType="end"/>
      </w:r>
    </w:p>
    <w:p>
      <w:pPr>
        <w:pStyle w:val="TOC2"/>
        <w:tabs>
          <w:tab w:val="right" w:leader="dot" w:pos="8640"/>
        </w:tabs>
      </w:pPr>
      <w:r>
        <w:fldChar w:fldCharType="begin"/>
      </w:r>
      <w:r>
        <w:instrText xml:space="preserve"> HYPERLINK \l "_TocLBSv1_930112" </w:instrText>
      </w:r>
      <w:r>
        <w:fldChar w:fldCharType="separate"/>
      </w:r>
      <w:r>
        <w:t>Demo 08 — Ontology Exploration</w:t>
      </w:r>
      <w:r>
        <w:t>	</w:t>
      </w:r>
      <w:r>
        <w:instrText> PAGEREF _TocLBSv1_930112 \h </w:instrText>
      </w:r>
      <w:r>
        <w:t>1</w:t>
      </w:r>
      <w:r>
        <w:fldChar w:fldCharType="end"/>
      </w:r>
    </w:p>
    <w:p>
      <w:pPr>
        <w:pStyle w:val="TOC2"/>
        <w:tabs>
          <w:tab w:val="right" w:leader="dot" w:pos="8640"/>
        </w:tabs>
      </w:pPr>
      <w:r>
        <w:fldChar w:fldCharType="begin"/>
      </w:r>
      <w:r>
        <w:instrText xml:space="preserve"> HYPERLINK \l "_TocLBSv1_930113" </w:instrText>
      </w:r>
      <w:r>
        <w:fldChar w:fldCharType="separate"/>
      </w:r>
      <w:r>
        <w:t>Demo 09 — Benchmark Comparison</w:t>
      </w:r>
      <w:r>
        <w:t>	</w:t>
      </w:r>
      <w:r>
        <w:instrText> PAGEREF _TocLBSv1_930113 \h </w:instrText>
      </w:r>
      <w:r>
        <w:t>1</w:t>
      </w:r>
      <w:r>
        <w:fldChar w:fldCharType="end"/>
      </w:r>
    </w:p>
    <w:p>
      <w:pPr>
        <w:pStyle w:val="TOC1"/>
        <w:tabs>
          <w:tab w:val="right" w:leader="dot" w:pos="8640"/>
        </w:tabs>
      </w:pPr>
      <w:r>
        <w:fldChar w:fldCharType="begin"/>
      </w:r>
      <w:r>
        <w:instrText xml:space="preserve"> HYPERLINK \l "_TocLBSv1_930114" </w:instrText>
      </w:r>
      <w:r>
        <w:fldChar w:fldCharType="separate"/>
      </w:r>
      <w:r>
        <w:rPr>
          <w:b/>
        </w:rPr>
        <w:t>Part VII — Certification Assets</w:t>
      </w:r>
      <w:r>
        <w:t>	</w:t>
      </w:r>
      <w:r>
        <w:instrText> PAGEREF _TocLBSv1_930114 \h </w:instrText>
      </w:r>
      <w:r>
        <w:t>1</w:t>
      </w:r>
      <w:r>
        <w:fldChar w:fldCharType="end"/>
      </w:r>
    </w:p>
    <w:p>
      <w:pPr>
        <w:pStyle w:val="TOC2"/>
        <w:tabs>
          <w:tab w:val="right" w:leader="dot" w:pos="8640"/>
        </w:tabs>
      </w:pPr>
      <w:r>
        <w:fldChar w:fldCharType="begin"/>
      </w:r>
      <w:r>
        <w:instrText xml:space="preserve"> HYPERLINK \l "_TocLBSv1_930115" </w:instrText>
      </w:r>
      <w:r>
        <w:fldChar w:fldCharType="separate"/>
      </w:r>
      <w:r>
        <w:t>Purpose</w:t>
      </w:r>
      <w:r>
        <w:t>	</w:t>
      </w:r>
      <w:r>
        <w:instrText> PAGEREF _TocLBSv1_930115 \h </w:instrText>
      </w:r>
      <w:r>
        <w:t>1</w:t>
      </w:r>
      <w:r>
        <w:fldChar w:fldCharType="end"/>
      </w:r>
    </w:p>
    <w:p>
      <w:pPr>
        <w:pStyle w:val="TOC2"/>
        <w:tabs>
          <w:tab w:val="right" w:leader="dot" w:pos="8640"/>
        </w:tabs>
      </w:pPr>
      <w:r>
        <w:fldChar w:fldCharType="begin"/>
      </w:r>
      <w:r>
        <w:instrText xml:space="preserve"> HYPERLINK \l "_TocLBSv1_930116" </w:instrText>
      </w:r>
      <w:r>
        <w:fldChar w:fldCharType="separate"/>
      </w:r>
      <w:r>
        <w:t>Asset categories</w:t>
      </w:r>
      <w:r>
        <w:t>	</w:t>
      </w:r>
      <w:r>
        <w:instrText> PAGEREF _TocLBSv1_930116 \h </w:instrText>
      </w:r>
      <w:r>
        <w:t>1</w:t>
      </w:r>
      <w:r>
        <w:fldChar w:fldCharType="end"/>
      </w:r>
    </w:p>
    <w:p>
      <w:pPr>
        <w:pStyle w:val="TOC3"/>
        <w:tabs>
          <w:tab w:val="right" w:leader="dot" w:pos="8640"/>
        </w:tabs>
      </w:pPr>
      <w:r>
        <w:fldChar w:fldCharType="begin"/>
      </w:r>
      <w:r>
        <w:instrText xml:space="preserve"> HYPERLINK \l "_TocLBSv1_930117" </w:instrText>
      </w:r>
      <w:r>
        <w:fldChar w:fldCharType="separate"/>
      </w:r>
      <w:r>
        <w:t>Category A — Golden datasets</w:t>
      </w:r>
      <w:r>
        <w:t>	</w:t>
      </w:r>
      <w:r>
        <w:instrText> PAGEREF _TocLBSv1_930117 \h </w:instrText>
      </w:r>
      <w:r>
        <w:t>1</w:t>
      </w:r>
      <w:r>
        <w:fldChar w:fldCharType="end"/>
      </w:r>
    </w:p>
    <w:p>
      <w:pPr>
        <w:pStyle w:val="TOC3"/>
        <w:tabs>
          <w:tab w:val="right" w:leader="dot" w:pos="8640"/>
        </w:tabs>
      </w:pPr>
      <w:r>
        <w:fldChar w:fldCharType="begin"/>
      </w:r>
      <w:r>
        <w:instrText xml:space="preserve"> HYPERLINK \l "_TocLBSv1_930118" </w:instrText>
      </w:r>
      <w:r>
        <w:fldChar w:fldCharType="separate"/>
      </w:r>
      <w:r>
        <w:t>Category B — Integration test datasets</w:t>
      </w:r>
      <w:r>
        <w:t>	</w:t>
      </w:r>
      <w:r>
        <w:instrText> PAGEREF _TocLBSv1_930118 \h </w:instrText>
      </w:r>
      <w:r>
        <w:t>1</w:t>
      </w:r>
      <w:r>
        <w:fldChar w:fldCharType="end"/>
      </w:r>
    </w:p>
    <w:p>
      <w:pPr>
        <w:pStyle w:val="TOC3"/>
        <w:tabs>
          <w:tab w:val="right" w:leader="dot" w:pos="8640"/>
        </w:tabs>
      </w:pPr>
      <w:r>
        <w:fldChar w:fldCharType="begin"/>
      </w:r>
      <w:r>
        <w:instrText xml:space="preserve"> HYPERLINK \l "_TocLBSv1_930119" </w:instrText>
      </w:r>
      <w:r>
        <w:fldChar w:fldCharType="separate"/>
      </w:r>
      <w:r>
        <w:t>Category C — Edge-case datasets</w:t>
      </w:r>
      <w:r>
        <w:t>	</w:t>
      </w:r>
      <w:r>
        <w:instrText> PAGEREF _TocLBSv1_930119 \h </w:instrText>
      </w:r>
      <w:r>
        <w:t>1</w:t>
      </w:r>
      <w:r>
        <w:fldChar w:fldCharType="end"/>
      </w:r>
    </w:p>
    <w:p>
      <w:pPr>
        <w:pStyle w:val="TOC3"/>
        <w:tabs>
          <w:tab w:val="right" w:leader="dot" w:pos="8640"/>
        </w:tabs>
      </w:pPr>
      <w:r>
        <w:fldChar w:fldCharType="begin"/>
      </w:r>
      <w:r>
        <w:instrText xml:space="preserve"> HYPERLINK \l "_TocLBSv1_930120" </w:instrText>
      </w:r>
      <w:r>
        <w:fldChar w:fldCharType="separate"/>
      </w:r>
      <w:r>
        <w:t>Category D — Corrupted datasets</w:t>
      </w:r>
      <w:r>
        <w:t>	</w:t>
      </w:r>
      <w:r>
        <w:instrText> PAGEREF _TocLBSv1_930120 \h </w:instrText>
      </w:r>
      <w:r>
        <w:t>1</w:t>
      </w:r>
      <w:r>
        <w:fldChar w:fldCharType="end"/>
      </w:r>
    </w:p>
    <w:p>
      <w:pPr>
        <w:pStyle w:val="TOC3"/>
        <w:tabs>
          <w:tab w:val="right" w:leader="dot" w:pos="8640"/>
        </w:tabs>
      </w:pPr>
      <w:r>
        <w:fldChar w:fldCharType="begin"/>
      </w:r>
      <w:r>
        <w:instrText xml:space="preserve"> HYPERLINK \l "_TocLBSv1_930121" </w:instrText>
      </w:r>
      <w:r>
        <w:fldChar w:fldCharType="separate"/>
      </w:r>
      <w:r>
        <w:t>Category E — Missing-data scenarios</w:t>
      </w:r>
      <w:r>
        <w:t>	</w:t>
      </w:r>
      <w:r>
        <w:instrText> PAGEREF _TocLBSv1_930121 \h </w:instrText>
      </w:r>
      <w:r>
        <w:t>1</w:t>
      </w:r>
      <w:r>
        <w:fldChar w:fldCharType="end"/>
      </w:r>
    </w:p>
    <w:p>
      <w:pPr>
        <w:pStyle w:val="TOC3"/>
        <w:tabs>
          <w:tab w:val="right" w:leader="dot" w:pos="8640"/>
        </w:tabs>
      </w:pPr>
      <w:r>
        <w:fldChar w:fldCharType="begin"/>
      </w:r>
      <w:r>
        <w:instrText xml:space="preserve"> HYPERLINK \l "_TocLBSv1_930122" </w:instrText>
      </w:r>
      <w:r>
        <w:fldChar w:fldCharType="separate"/>
      </w:r>
      <w:r>
        <w:t>Category F — Timezone scenarios</w:t>
      </w:r>
      <w:r>
        <w:t>	</w:t>
      </w:r>
      <w:r>
        <w:instrText> PAGEREF _TocLBSv1_930122 \h </w:instrText>
      </w:r>
      <w:r>
        <w:t>1</w:t>
      </w:r>
      <w:r>
        <w:fldChar w:fldCharType="end"/>
      </w:r>
    </w:p>
    <w:p>
      <w:pPr>
        <w:pStyle w:val="TOC3"/>
        <w:tabs>
          <w:tab w:val="right" w:leader="dot" w:pos="8640"/>
        </w:tabs>
      </w:pPr>
      <w:r>
        <w:fldChar w:fldCharType="begin"/>
      </w:r>
      <w:r>
        <w:instrText xml:space="preserve"> HYPERLINK \l "_TocLBSv1_930123" </w:instrText>
      </w:r>
      <w:r>
        <w:fldChar w:fldCharType="separate"/>
      </w:r>
      <w:r>
        <w:t>Category G — Multi-mine scenarios</w:t>
      </w:r>
      <w:r>
        <w:t>	</w:t>
      </w:r>
      <w:r>
        <w:instrText> PAGEREF _TocLBSv1_930123 \h </w:instrText>
      </w:r>
      <w:r>
        <w:t>1</w:t>
      </w:r>
      <w:r>
        <w:fldChar w:fldCharType="end"/>
      </w:r>
    </w:p>
    <w:p>
      <w:pPr>
        <w:pStyle w:val="TOC3"/>
        <w:tabs>
          <w:tab w:val="right" w:leader="dot" w:pos="8640"/>
        </w:tabs>
      </w:pPr>
      <w:r>
        <w:fldChar w:fldCharType="begin"/>
      </w:r>
      <w:r>
        <w:instrText xml:space="preserve"> HYPERLINK \l "_TocLBSv1_930124" </w:instrText>
      </w:r>
      <w:r>
        <w:fldChar w:fldCharType="separate"/>
      </w:r>
      <w:r>
        <w:t>Category H — Multi-commodity scenarios</w:t>
      </w:r>
      <w:r>
        <w:t>	</w:t>
      </w:r>
      <w:r>
        <w:instrText> PAGEREF _TocLBSv1_930124 \h </w:instrText>
      </w:r>
      <w:r>
        <w:t>1</w:t>
      </w:r>
      <w:r>
        <w:fldChar w:fldCharType="end"/>
      </w:r>
    </w:p>
    <w:p>
      <w:pPr>
        <w:pStyle w:val="TOC2"/>
        <w:tabs>
          <w:tab w:val="right" w:leader="dot" w:pos="8640"/>
        </w:tabs>
      </w:pPr>
      <w:r>
        <w:fldChar w:fldCharType="begin"/>
      </w:r>
      <w:r>
        <w:instrText xml:space="preserve"> HYPERLINK \l "_TocLBSv1_930125" </w:instrText>
      </w:r>
      <w:r>
        <w:fldChar w:fldCharType="separate"/>
      </w:r>
      <w:r>
        <w:t>Certification checklist</w:t>
      </w:r>
      <w:r>
        <w:t>	</w:t>
      </w:r>
      <w:r>
        <w:instrText> PAGEREF _TocLBSv1_930125 \h </w:instrText>
      </w:r>
      <w:r>
        <w:t>1</w:t>
      </w:r>
      <w:r>
        <w:fldChar w:fldCharType="end"/>
      </w:r>
    </w:p>
    <w:p>
      <w:pPr>
        <w:pStyle w:val="TOC1"/>
        <w:tabs>
          <w:tab w:val="right" w:leader="dot" w:pos="8640"/>
        </w:tabs>
      </w:pPr>
      <w:r>
        <w:fldChar w:fldCharType="begin"/>
      </w:r>
      <w:r>
        <w:instrText xml:space="preserve"> HYPERLINK \l "_TocLBSv1_930126" </w:instrText>
      </w:r>
      <w:r>
        <w:fldChar w:fldCharType="separate"/>
      </w:r>
      <w:r>
        <w:rPr>
          <w:b/>
        </w:rPr>
        <w:t>Closing — The Suite as a Living System</w:t>
      </w:r>
      <w:r>
        <w:t>	</w:t>
      </w:r>
      <w:r>
        <w:instrText> PAGEREF _TocLBSv1_930126 \h </w:instrText>
      </w:r>
      <w:r>
        <w:t>1</w:t>
      </w:r>
      <w:r>
        <w:fldChar w:fldCharType="end"/>
      </w:r>
    </w:p>
    <w:p>
      <w:pPr>
        <w:pStyle w:val="TOC2"/>
        <w:tabs>
          <w:tab w:val="right" w:leader="dot" w:pos="8640"/>
        </w:tabs>
      </w:pPr>
      <w:r>
        <w:fldChar w:fldCharType="begin"/>
      </w:r>
      <w:r>
        <w:instrText xml:space="preserve"> HYPERLINK \l "_TocLBSv1_930127" </w:instrText>
      </w:r>
      <w:r>
        <w:fldChar w:fldCharType="separate"/>
      </w:r>
      <w:r>
        <w:t>Documentation Governance Rules</w:t>
      </w:r>
      <w:r>
        <w:t>	</w:t>
      </w:r>
      <w:r>
        <w:instrText> PAGEREF _TocLBSv1_930127 \h </w:instrText>
      </w:r>
      <w:r>
        <w:t>1</w:t>
      </w:r>
      <w:r>
        <w:fldChar w:fldCharType="end"/>
      </w:r>
    </w:p>
    <w:p>
      <w:pPr>
        <w:pStyle w:val="TOC3"/>
        <w:tabs>
          <w:tab w:val="right" w:leader="dot" w:pos="8640"/>
        </w:tabs>
      </w:pPr>
      <w:r>
        <w:fldChar w:fldCharType="begin"/>
      </w:r>
      <w:r>
        <w:instrText xml:space="preserve"> HYPERLINK \l "_TocLBSv1_930128" </w:instrText>
      </w:r>
      <w:r>
        <w:fldChar w:fldCharType="separate"/>
      </w:r>
      <w:r>
        <w:t>Documentation Governance Rule #006 — Artifact Versioning &amp; Traceability</w:t>
      </w:r>
      <w:r>
        <w:t>	</w:t>
      </w:r>
      <w:r>
        <w:instrText> PAGEREF _TocLBSv1_930128 \h </w:instrText>
      </w:r>
      <w:r>
        <w:t>1</w:t>
      </w:r>
      <w:r>
        <w:fldChar w:fldCharType="end"/>
      </w:r>
    </w:p>
    <w:p>
      <w:pPr>
        <w:pStyle w:val="TOC3"/>
        <w:tabs>
          <w:tab w:val="right" w:leader="dot" w:pos="8640"/>
        </w:tabs>
      </w:pPr>
      <w:r>
        <w:fldChar w:fldCharType="begin"/>
      </w:r>
      <w:r>
        <w:instrText xml:space="preserve"> HYPERLINK \l "_TocLBSv1_930129" </w:instrText>
      </w:r>
      <w:r>
        <w:fldChar w:fldCharType="separate"/>
      </w:r>
      <w:r>
        <w:t>Documentation Governance Rule #007 — Architecture Freeze &amp; Implementation Priority</w:t>
      </w:r>
      <w:r>
        <w:t>	</w:t>
      </w:r>
      <w:r>
        <w:instrText> PAGEREF _TocLBSv1_930129 \h </w:instrText>
      </w:r>
      <w:r>
        <w:t>1</w:t>
      </w:r>
      <w:r>
        <w:fldChar w:fldCharType="end"/>
      </w:r>
    </w:p>
    <w:p>
      <w:r>
        <w:br w:type="page"/>
      </w:r>
    </w:p>
    <w:bookmarkEnd w:id="20"/>
    <w:bookmarkStart w:id="26" w:name="introduction"/>
    <w:p>
      <w:pPr>
        <w:pStyle w:val="Heading1"/>
      </w:pPr>
      <w:bookmarkStart w:id="930001" w:name="_TocLBSv1_930001"/>
      <w:r>
        <w:t xml:space="preserve">Introduction</w:t>
      </w:r>
      <w:bookmarkEnd w:id="930001"/>
    </w:p>
    <w:p>
      <w:pPr>
        <w:pStyle w:val="LearningObjectives"/>
      </w:pPr>
      <w:r>
        <w:rPr>
          <w:bCs/>
          <w:b/>
        </w:rPr>
        <w:t xml:space="preserve">Purpose of this document.</w:t>
      </w:r>
      <w:r>
        <w:t xml:space="preserve"> The Learning &amp; Benchmark Suite (LBS) is the executable, reproducible, and testable layer beneath the MineProductivity documentation ecosystem. Where the Master Architecture Handbook defines </w:t>
      </w:r>
      <w:r>
        <w:rPr>
          <w:iCs/>
          <w:i/>
        </w:rPr>
        <w:t xml:space="preserve">what</w:t>
      </w:r>
      <w:r>
        <w:t xml:space="preserve"> the system is and the Developer &amp; Cookbook Guide Parts I–III define </w:t>
      </w:r>
      <w:r>
        <w:rPr>
          <w:iCs/>
          <w:i/>
        </w:rPr>
        <w:t xml:space="preserve">how to implement</w:t>
      </w:r>
      <w:r>
        <w:t xml:space="preserve"> every KPI, the LBS defines </w:t>
      </w:r>
      <w:r>
        <w:rPr>
          <w:iCs/>
          <w:i/>
        </w:rPr>
        <w:t xml:space="preserve">how to demonstrate, validate, teach, and certify</w:t>
      </w:r>
      <w:r>
        <w:t xml:space="preserve"> those implementations against realistic mining data. Every artifact in this suite — every dataset row, expected output, notebook cell, and benchmark seed — is either generated from the five canonical reference mines or derived from those generators, so the complete suite can be reproduced from scratch.</w:t>
      </w:r>
    </w:p>
    <w:p>
      <w:pPr>
        <w:pStyle w:val="CaptionedFigure"/>
      </w:pPr>
      <w:r>
        <w:drawing>
          <wp:inline>
            <wp:extent cx="5334000" cy="2900643"/>
            <wp:effectExtent b="0" l="0" r="0" t="0"/>
            <wp:docPr descr="The MineProductivity Learning &amp; Benchmark Suite: six learning tracks (Beginner to Research), seven deliverable parts (Dataset Library, Notebook Gallery, Expected Outputs, Benchmark Seeds, Viz Gallery, AI Demo Gallery, Certification Assets), five reference mines, and the principle that every artifact is executable and reproducible." title="" id="22" name="Picture"/>
            <a:graphic>
              <a:graphicData uri="http://schemas.openxmlformats.org/drawingml/2006/picture">
                <pic:pic>
                  <pic:nvPicPr>
                    <pic:cNvPr descr="/home/claude/lbs_figs/lbs_overview.png" id="23" name="Picture"/>
                    <pic:cNvPicPr>
                      <a:picLocks noChangeArrowheads="1" noChangeAspect="1"/>
                    </pic:cNvPicPr>
                  </pic:nvPicPr>
                  <pic:blipFill>
                    <a:blip r:embed="rId21"/>
                    <a:stretch>
                      <a:fillRect/>
                    </a:stretch>
                  </pic:blipFill>
                  <pic:spPr bwMode="auto">
                    <a:xfrm>
                      <a:off x="0" y="0"/>
                      <a:ext cx="5334000" cy="2900643"/>
                    </a:xfrm>
                    <a:prstGeom prst="rect">
                      <a:avLst/>
                    </a:prstGeom>
                    <a:noFill/>
                    <a:ln w="9525">
                      <a:noFill/>
                      <a:headEnd/>
                      <a:tailEnd/>
                    </a:ln>
                  </pic:spPr>
                </pic:pic>
              </a:graphicData>
            </a:graphic>
          </wp:inline>
        </w:drawing>
      </w:r>
    </w:p>
    <w:p>
      <w:pPr>
        <w:pStyle w:val="ImageCaption"/>
      </w:pPr>
      <w:r>
        <w:t xml:space="preserve">The MineProductivity Learning &amp; Benchmark Suite: six learning tracks (Beginner to Research), seven deliverable parts (Dataset Library, Notebook Gallery, Expected Outputs, Benchmark Seeds, Viz Gallery, AI Demo Gallery, Certification Assets), five reference mines, and the principle that every artifact is executable and reproducible.</w:t>
      </w:r>
    </w:p>
    <w:bookmarkStart w:id="24" w:name="design-principles"/>
    <w:p>
      <w:pPr>
        <w:pStyle w:val="Heading2"/>
      </w:pPr>
      <w:bookmarkStart w:id="930002" w:name="_TocLBSv1_930002"/>
      <w:r>
        <w:t xml:space="preserve">Design principles</w:t>
      </w:r>
      <w:bookmarkEnd w:id="930002"/>
    </w:p>
    <w:p>
      <w:pPr>
        <w:pStyle w:val="FirstParagraph"/>
      </w:pPr>
      <w:r>
        <w:rPr>
          <w:bCs/>
          <w:b/>
        </w:rPr>
        <w:t xml:space="preserve">Executable first.</w:t>
      </w:r>
      <w:r>
        <w:t xml:space="preserve"> Every dataset is a </w:t>
      </w:r>
      <w:r>
        <w:rPr>
          <w:rStyle w:val="VerbatimChar"/>
        </w:rPr>
        <w:t xml:space="preserve">.csv</w:t>
      </w:r>
      <w:r>
        <w:t xml:space="preserve"> file (or programmatically generated equivalent) with a defined schema and a data generator. Every notebook runs end-to-end. Every expected output is a number that can be checked by code, not a prose description. If a result cannot be reproduced, it is not in the suite.</w:t>
      </w:r>
    </w:p>
    <w:p>
      <w:pPr>
        <w:pStyle w:val="BodyText"/>
      </w:pPr>
      <w:r>
        <w:rPr>
          <w:bCs/>
          <w:b/>
        </w:rPr>
        <w:t xml:space="preserve">Grounded in the SSOT.</w:t>
      </w:r>
      <w:r>
        <w:t xml:space="preserve"> Every KPI example uses the canonical formula, the canonical events, and the canonical ontology from Parts I–III. Every reference to “availability” means </w:t>
      </w:r>
      <w:r>
        <w:rPr>
          <w:rStyle w:val="VerbatimChar"/>
        </w:rPr>
        <w:t xml:space="preserve">UTIL.PA</w:t>
      </w:r>
      <w:r>
        <w:t xml:space="preserve"> (Part III, Canonical Semantics). No alternative definitions enter through the examples.</w:t>
      </w:r>
    </w:p>
    <w:p>
      <w:pPr>
        <w:pStyle w:val="BodyText"/>
      </w:pPr>
      <w:r>
        <w:rPr>
          <w:bCs/>
          <w:b/>
        </w:rPr>
        <w:t xml:space="preserve">Honest about educational vs normative.</w:t>
      </w:r>
      <w:r>
        <w:t xml:space="preserve"> Benchmark seeds are </w:t>
      </w:r>
      <w:r>
        <w:rPr>
          <w:iCs/>
          <w:i/>
        </w:rPr>
        <w:t xml:space="preserve">illustrative scenarios</w:t>
      </w:r>
      <w:r>
        <w:t xml:space="preserve"> — they teach what an Excellent/Good/Average/Poor operation </w:t>
      </w:r>
      <w:r>
        <w:rPr>
          <w:iCs/>
          <w:i/>
        </w:rPr>
        <w:t xml:space="preserve">looks like</w:t>
      </w:r>
      <w:r>
        <w:t xml:space="preserve"> in data. They are deliberately labelled, and they are not validated industry benchmarks. Future certification thresholds are a separate governed deliverable.</w:t>
      </w:r>
    </w:p>
    <w:p>
      <w:pPr>
        <w:pStyle w:val="BodyText"/>
      </w:pPr>
      <w:r>
        <w:rPr>
          <w:bCs/>
          <w:b/>
        </w:rPr>
        <w:t xml:space="preserve">Progressive difficulty.</w:t>
      </w:r>
      <w:r>
        <w:t xml:space="preserve"> Notebooks sequence from a five-line installation check through multi-mine streaming Digital Twin exercises. A learner who completes all 100 notebooks has validated every KPI in the Standard Library against realistic data and built every pattern in the Handbook.</w:t>
      </w:r>
    </w:p>
    <w:p>
      <w:pPr>
        <w:pStyle w:val="BodyText"/>
      </w:pPr>
      <w:r>
        <w:rPr>
          <w:bCs/>
          <w:b/>
        </w:rPr>
        <w:t xml:space="preserve">Five mines, one consistent world.</w:t>
      </w:r>
      <w:r>
        <w:t xml:space="preserve"> Pilbara Ridge (Iron Ore), Bingham West (Copper), Black Diamond (Coal), Aurora Gold (Gold), and Green Valley Lithium are the same fictional operations throughout — same ontology keys, same equipment registries, same shift calendars, consistent haul geometries. A join between a Pilbara Ridge </w:t>
      </w:r>
      <w:r>
        <w:rPr>
          <w:rStyle w:val="VerbatimChar"/>
        </w:rPr>
        <w:t xml:space="preserve">cycle_events.csv</w:t>
      </w:r>
      <w:r>
        <w:t xml:space="preserve"> and the Pilbara Ridge </w:t>
      </w:r>
      <w:r>
        <w:rPr>
          <w:rStyle w:val="VerbatimChar"/>
        </w:rPr>
        <w:t xml:space="preserve">equipment.csv</w:t>
      </w:r>
      <w:r>
        <w:t xml:space="preserve"> always works.</w:t>
      </w:r>
    </w:p>
    <w:bookmarkEnd w:id="24"/>
    <w:bookmarkStart w:id="25" w:name="how-to-use-this-document"/>
    <w:p>
      <w:pPr>
        <w:pStyle w:val="Heading2"/>
      </w:pPr>
      <w:bookmarkStart w:id="930003" w:name="_TocLBSv1_930003"/>
      <w:r>
        <w:t xml:space="preserve">How to use this document</w:t>
      </w:r>
      <w:bookmarkEnd w:id="930003"/>
    </w:p>
    <w:p>
      <w:pPr>
        <w:pStyle w:val="FirstParagraph"/>
      </w:pPr>
      <w:r>
        <w:t xml:space="preserve">Read Parts I–III of the Developer &amp; Cookbook Guide first. Then use this document as a laboratory manual: Part I (Dataset Library) tells you what data is available and how it is structured; Part II (Notebook Curriculum) tells you what to build with it; Part III (Expected Outputs) tells you whether your implementation is correct; Part IV (Benchmark Seeds) provides the four operational scenarios for each commodity; Part V (Visualization Gallery) tells you how to present your results; Part VI (AI Demo Gallery) shows you how to integrate the Claude API; and Part VII (Certification Assets) provides the validation datasets for formal testing.</w:t>
      </w:r>
    </w:p>
    <w:p>
      <w:r>
        <w:br w:type="page"/>
      </w:r>
    </w:p>
    <w:bookmarkEnd w:id="25"/>
    <w:bookmarkEnd w:id="26"/>
    <w:bookmarkStart w:id="73" w:name="part-i-dataset-library"/>
    <w:p>
      <w:pPr>
        <w:pStyle w:val="Heading1"/>
      </w:pPr>
      <w:bookmarkStart w:id="930004" w:name="_TocLBSv1_930004"/>
      <w:r>
        <w:t xml:space="preserve">Part I — Dataset Library</w:t>
      </w:r>
      <w:bookmarkEnd w:id="930004"/>
    </w:p>
    <w:p>
      <w:pPr>
        <w:pStyle w:val="LearningObjectives"/>
      </w:pPr>
      <w:r>
        <w:rPr>
          <w:bCs/>
          <w:b/>
        </w:rPr>
        <w:t xml:space="preserve">Learning Objectives.</w:t>
      </w:r>
      <w:r>
        <w:t xml:space="preserve"> After reading this part you will be able to: navigate the dataset directory structure; understand the schema of every core table; join tables correctly using the defined primary and foreign keys; and generate synthetic datasets from the provided generators.</w:t>
      </w:r>
    </w:p>
    <w:bookmarkStart w:id="27" w:name="design-principles-1"/>
    <w:p>
      <w:pPr>
        <w:pStyle w:val="Heading2"/>
      </w:pPr>
      <w:bookmarkStart w:id="930005" w:name="_TocLBSv1_930005"/>
      <w:r>
        <w:t xml:space="preserve">Design principles</w:t>
      </w:r>
      <w:bookmarkEnd w:id="930005"/>
    </w:p>
    <w:p>
      <w:pPr>
        <w:pStyle w:val="FirstParagraph"/>
      </w:pPr>
      <w:r>
        <w:t xml:space="preserve">Every dataset in the library follows these rules, which derive directly from the KPI Standard Library (Part III) and the Master Architecture Handbook:</w:t>
      </w:r>
    </w:p>
    <w:p>
      <w:pPr>
        <w:numPr>
          <w:ilvl w:val="0"/>
          <w:numId w:val="1001"/>
        </w:numPr>
        <w:pStyle w:val="Compact"/>
      </w:pPr>
      <w:r>
        <w:rPr>
          <w:bCs/>
          <w:b/>
        </w:rPr>
        <w:t xml:space="preserve">Referential integrity</w:t>
      </w:r>
      <w:r>
        <w:t xml:space="preserve"> — every foreign key in an event table points to a valid row in its reference table. </w:t>
      </w:r>
      <w:r>
        <w:rPr>
          <w:rStyle w:val="VerbatimChar"/>
        </w:rPr>
        <w:t xml:space="preserve">equipment_id</w:t>
      </w:r>
      <w:r>
        <w:t xml:space="preserve"> in </w:t>
      </w:r>
      <w:r>
        <w:rPr>
          <w:rStyle w:val="VerbatimChar"/>
        </w:rPr>
        <w:t xml:space="preserve">cycle_events.csv</w:t>
      </w:r>
      <w:r>
        <w:t xml:space="preserve"> is always in </w:t>
      </w:r>
      <w:r>
        <w:rPr>
          <w:rStyle w:val="VerbatimChar"/>
        </w:rPr>
        <w:t xml:space="preserve">equipment.csv</w:t>
      </w:r>
      <w:r>
        <w:t xml:space="preserve">.</w:t>
      </w:r>
    </w:p>
    <w:p>
      <w:pPr>
        <w:numPr>
          <w:ilvl w:val="0"/>
          <w:numId w:val="1001"/>
        </w:numPr>
        <w:pStyle w:val="Compact"/>
      </w:pPr>
      <w:r>
        <w:rPr>
          <w:bCs/>
          <w:b/>
        </w:rPr>
        <w:t xml:space="preserve">Ontology alignment</w:t>
      </w:r>
      <w:r>
        <w:t xml:space="preserve"> — column names and enumerated values use the ontology vocabulary from Part II, Chapter 16–17 (Equipment, Shift, DelayCategory, FailureMode, Material, Destination).</w:t>
      </w:r>
    </w:p>
    <w:p>
      <w:pPr>
        <w:numPr>
          <w:ilvl w:val="0"/>
          <w:numId w:val="1001"/>
        </w:numPr>
        <w:pStyle w:val="Compact"/>
      </w:pPr>
      <w:r>
        <w:rPr>
          <w:bCs/>
          <w:b/>
        </w:rPr>
        <w:t xml:space="preserve">Event-model alignment</w:t>
      </w:r>
      <w:r>
        <w:t xml:space="preserve"> — every row in an event table corresponds to exactly one event type from the canonical model (CycleEvent, DelayEvent, MaintenanceEvent, ProductionEvent, ConsumptionEvent, SafetyEvent).</w:t>
      </w:r>
    </w:p>
    <w:p>
      <w:pPr>
        <w:numPr>
          <w:ilvl w:val="0"/>
          <w:numId w:val="1001"/>
        </w:numPr>
        <w:pStyle w:val="Compact"/>
      </w:pPr>
      <w:r>
        <w:rPr>
          <w:bCs/>
          <w:b/>
        </w:rPr>
        <w:t xml:space="preserve">Multi-dimensional</w:t>
      </w:r>
      <w:r>
        <w:t xml:space="preserve"> — every dataset supports slicing by shift, equipment, operator, material, and destination — the standard KPI dimensions from Part III.</w:t>
      </w:r>
    </w:p>
    <w:p>
      <w:pPr>
        <w:numPr>
          <w:ilvl w:val="0"/>
          <w:numId w:val="1001"/>
        </w:numPr>
        <w:pStyle w:val="Compact"/>
      </w:pPr>
      <w:r>
        <w:rPr>
          <w:bCs/>
          <w:b/>
        </w:rPr>
        <w:t xml:space="preserve">Realistic magnitudes</w:t>
      </w:r>
      <w:r>
        <w:t xml:space="preserve"> — values are drawn from the operational ranges used in Parts II–III, calibrated to the commodity and method.</w:t>
      </w:r>
    </w:p>
    <w:p>
      <w:pPr>
        <w:numPr>
          <w:ilvl w:val="0"/>
          <w:numId w:val="1001"/>
        </w:numPr>
        <w:pStyle w:val="Compact"/>
      </w:pPr>
      <w:r>
        <w:rPr>
          <w:bCs/>
          <w:b/>
        </w:rPr>
        <w:t xml:space="preserve">Temporal consistency</w:t>
      </w:r>
      <w:r>
        <w:t xml:space="preserve"> — event timestamps use ISO 8601 UTC; shift boundaries are in the shared </w:t>
      </w:r>
      <w:r>
        <w:rPr>
          <w:rStyle w:val="VerbatimChar"/>
        </w:rPr>
        <w:t xml:space="preserve">shift_calendar.csv</w:t>
      </w:r>
      <w:r>
        <w:t xml:space="preserve">; all five mines observe the same canonical 12-hour day/night shift structure (06:00–18:00 / 18:00–06:00).</w:t>
      </w:r>
    </w:p>
    <w:bookmarkEnd w:id="27"/>
    <w:bookmarkStart w:id="31" w:name="directory-structure"/>
    <w:p>
      <w:pPr>
        <w:pStyle w:val="Heading2"/>
      </w:pPr>
      <w:bookmarkStart w:id="930006" w:name="_TocLBSv1_930006"/>
      <w:r>
        <w:t xml:space="preserve">Directory structure</w:t>
      </w:r>
      <w:bookmarkEnd w:id="930006"/>
    </w:p>
    <w:p>
      <w:pPr>
        <w:pStyle w:val="SourceCode"/>
      </w:pPr>
      <w:r>
        <w:rPr>
          <w:rStyle w:val="VerbatimChar"/>
        </w:rPr>
        <w:t xml:space="preserve">datasets/</w:t>
      </w:r>
      <w:r>
        <w:br/>
      </w:r>
      <w:r>
        <w:rPr>
          <w:rStyle w:val="VerbatimChar"/>
        </w:rPr>
        <w:t xml:space="preserve">├── shared/</w:t>
      </w:r>
      <w:r>
        <w:br/>
      </w:r>
      <w:r>
        <w:rPr>
          <w:rStyle w:val="VerbatimChar"/>
        </w:rPr>
        <w:t xml:space="preserve">│   ├── shift_calendar.csv          # canonical 12h day/night shifts, all mines</w:t>
      </w:r>
      <w:r>
        <w:br/>
      </w:r>
      <w:r>
        <w:rPr>
          <w:rStyle w:val="VerbatimChar"/>
        </w:rPr>
        <w:t xml:space="preserve">│   ├── weather_codes.csv           # weather condition reference table</w:t>
      </w:r>
      <w:r>
        <w:br/>
      </w:r>
      <w:r>
        <w:rPr>
          <w:rStyle w:val="VerbatimChar"/>
        </w:rPr>
        <w:t xml:space="preserve">│   └── README.md</w:t>
      </w:r>
      <w:r>
        <w:br/>
      </w:r>
      <w:r>
        <w:rPr>
          <w:rStyle w:val="VerbatimChar"/>
        </w:rPr>
        <w:t xml:space="preserve">│</w:t>
      </w:r>
      <w:r>
        <w:br/>
      </w:r>
      <w:r>
        <w:rPr>
          <w:rStyle w:val="VerbatimChar"/>
        </w:rPr>
        <w:t xml:space="preserve">├── iron_ore/                       # Pilbara Ridge Mine</w:t>
      </w:r>
      <w:r>
        <w:br/>
      </w:r>
      <w:r>
        <w:rPr>
          <w:rStyle w:val="VerbatimChar"/>
        </w:rPr>
        <w:t xml:space="preserve">│   ├── equipment.csv</w:t>
      </w:r>
      <w:r>
        <w:br/>
      </w:r>
      <w:r>
        <w:rPr>
          <w:rStyle w:val="VerbatimChar"/>
        </w:rPr>
        <w:t xml:space="preserve">│   ├── operators.csv</w:t>
      </w:r>
      <w:r>
        <w:br/>
      </w:r>
      <w:r>
        <w:rPr>
          <w:rStyle w:val="VerbatimChar"/>
        </w:rPr>
        <w:t xml:space="preserve">│   ├── haul_routes.csv</w:t>
      </w:r>
      <w:r>
        <w:br/>
      </w:r>
      <w:r>
        <w:rPr>
          <w:rStyle w:val="VerbatimChar"/>
        </w:rPr>
        <w:t xml:space="preserve">│   ├── cycle_events.csv</w:t>
      </w:r>
      <w:r>
        <w:br/>
      </w:r>
      <w:r>
        <w:rPr>
          <w:rStyle w:val="VerbatimChar"/>
        </w:rPr>
        <w:t xml:space="preserve">│   ├── delay_events.csv</w:t>
      </w:r>
      <w:r>
        <w:br/>
      </w:r>
      <w:r>
        <w:rPr>
          <w:rStyle w:val="VerbatimChar"/>
        </w:rPr>
        <w:t xml:space="preserve">│   ├── maintenance_events.csv</w:t>
      </w:r>
      <w:r>
        <w:br/>
      </w:r>
      <w:r>
        <w:rPr>
          <w:rStyle w:val="VerbatimChar"/>
        </w:rPr>
        <w:t xml:space="preserve">│   ├── fuel_events.csv</w:t>
      </w:r>
      <w:r>
        <w:br/>
      </w:r>
      <w:r>
        <w:rPr>
          <w:rStyle w:val="VerbatimChar"/>
        </w:rPr>
        <w:t xml:space="preserve">│   ├── production.csv</w:t>
      </w:r>
      <w:r>
        <w:br/>
      </w:r>
      <w:r>
        <w:rPr>
          <w:rStyle w:val="VerbatimChar"/>
        </w:rPr>
        <w:t xml:space="preserve">│   ├── bench_geometry.csv</w:t>
      </w:r>
      <w:r>
        <w:br/>
      </w:r>
      <w:r>
        <w:rPr>
          <w:rStyle w:val="VerbatimChar"/>
        </w:rPr>
        <w:t xml:space="preserve">│   ├── planning.csv</w:t>
      </w:r>
      <w:r>
        <w:br/>
      </w:r>
      <w:r>
        <w:rPr>
          <w:rStyle w:val="VerbatimChar"/>
        </w:rPr>
        <w:t xml:space="preserve">│   ├── crusher.csv</w:t>
      </w:r>
      <w:r>
        <w:br/>
      </w:r>
      <w:r>
        <w:rPr>
          <w:rStyle w:val="VerbatimChar"/>
        </w:rPr>
        <w:t xml:space="preserve">│   ├── stockpiles.csv</w:t>
      </w:r>
      <w:r>
        <w:br/>
      </w:r>
      <w:r>
        <w:rPr>
          <w:rStyle w:val="VerbatimChar"/>
        </w:rPr>
        <w:t xml:space="preserve">│   ├── weather.csv</w:t>
      </w:r>
      <w:r>
        <w:br/>
      </w:r>
      <w:r>
        <w:rPr>
          <w:rStyle w:val="VerbatimChar"/>
        </w:rPr>
        <w:t xml:space="preserve">│   └── README.md</w:t>
      </w:r>
      <w:r>
        <w:br/>
      </w:r>
      <w:r>
        <w:rPr>
          <w:rStyle w:val="VerbatimChar"/>
        </w:rPr>
        <w:t xml:space="preserve">│</w:t>
      </w:r>
      <w:r>
        <w:br/>
      </w:r>
      <w:r>
        <w:rPr>
          <w:rStyle w:val="VerbatimChar"/>
        </w:rPr>
        <w:t xml:space="preserve">├── copper/                         # Bingham West Mine</w:t>
      </w:r>
      <w:r>
        <w:br/>
      </w:r>
      <w:r>
        <w:rPr>
          <w:rStyle w:val="VerbatimChar"/>
        </w:rPr>
        <w:t xml:space="preserve">│   ├── (same core tables as iron_ore)</w:t>
      </w:r>
      <w:r>
        <w:br/>
      </w:r>
      <w:r>
        <w:rPr>
          <w:rStyle w:val="VerbatimChar"/>
        </w:rPr>
        <w:t xml:space="preserve">│   ├── assay_events.csv            # ore/conc/tail grades per shift</w:t>
      </w:r>
      <w:r>
        <w:br/>
      </w:r>
      <w:r>
        <w:rPr>
          <w:rStyle w:val="VerbatimChar"/>
        </w:rPr>
        <w:t xml:space="preserve">│   └── README.md</w:t>
      </w:r>
      <w:r>
        <w:br/>
      </w:r>
      <w:r>
        <w:rPr>
          <w:rStyle w:val="VerbatimChar"/>
        </w:rPr>
        <w:t xml:space="preserve">│</w:t>
      </w:r>
      <w:r>
        <w:br/>
      </w:r>
      <w:r>
        <w:rPr>
          <w:rStyle w:val="VerbatimChar"/>
        </w:rPr>
        <w:t xml:space="preserve">├── coal/                           # Black Diamond Mine</w:t>
      </w:r>
      <w:r>
        <w:br/>
      </w:r>
      <w:r>
        <w:rPr>
          <w:rStyle w:val="VerbatimChar"/>
        </w:rPr>
        <w:t xml:space="preserve">│   ├── (same core tables)</w:t>
      </w:r>
      <w:r>
        <w:br/>
      </w:r>
      <w:r>
        <w:rPr>
          <w:rStyle w:val="VerbatimChar"/>
        </w:rPr>
        <w:t xml:space="preserve">│   ├── development_events.csv      # longwall advance per cut</w:t>
      </w:r>
      <w:r>
        <w:br/>
      </w:r>
      <w:r>
        <w:rPr>
          <w:rStyle w:val="VerbatimChar"/>
        </w:rPr>
        <w:t xml:space="preserve">│   └── README.md</w:t>
      </w:r>
      <w:r>
        <w:br/>
      </w:r>
      <w:r>
        <w:rPr>
          <w:rStyle w:val="VerbatimChar"/>
        </w:rPr>
        <w:t xml:space="preserve">│</w:t>
      </w:r>
      <w:r>
        <w:br/>
      </w:r>
      <w:r>
        <w:rPr>
          <w:rStyle w:val="VerbatimChar"/>
        </w:rPr>
        <w:t xml:space="preserve">├── gold/                           # Aurora Gold Mine</w:t>
      </w:r>
      <w:r>
        <w:br/>
      </w:r>
      <w:r>
        <w:rPr>
          <w:rStyle w:val="VerbatimChar"/>
        </w:rPr>
        <w:t xml:space="preserve">│   ├── (same core tables)</w:t>
      </w:r>
      <w:r>
        <w:br/>
      </w:r>
      <w:r>
        <w:rPr>
          <w:rStyle w:val="VerbatimChar"/>
        </w:rPr>
        <w:t xml:space="preserve">│   ├── assay_events.csv</w:t>
      </w:r>
      <w:r>
        <w:br/>
      </w:r>
      <w:r>
        <w:rPr>
          <w:rStyle w:val="VerbatimChar"/>
        </w:rPr>
        <w:t xml:space="preserve">│   └── README.md</w:t>
      </w:r>
      <w:r>
        <w:br/>
      </w:r>
      <w:r>
        <w:rPr>
          <w:rStyle w:val="VerbatimChar"/>
        </w:rPr>
        <w:t xml:space="preserve">│</w:t>
      </w:r>
      <w:r>
        <w:br/>
      </w:r>
      <w:r>
        <w:rPr>
          <w:rStyle w:val="VerbatimChar"/>
        </w:rPr>
        <w:t xml:space="preserve">├── lithium/                        # Green Valley Lithium</w:t>
      </w:r>
      <w:r>
        <w:br/>
      </w:r>
      <w:r>
        <w:rPr>
          <w:rStyle w:val="VerbatimChar"/>
        </w:rPr>
        <w:t xml:space="preserve">│   ├── (same core tables)</w:t>
      </w:r>
      <w:r>
        <w:br/>
      </w:r>
      <w:r>
        <w:rPr>
          <w:rStyle w:val="VerbatimChar"/>
        </w:rPr>
        <w:t xml:space="preserve">│   ├── assay_events.csv</w:t>
      </w:r>
      <w:r>
        <w:br/>
      </w:r>
      <w:r>
        <w:rPr>
          <w:rStyle w:val="VerbatimChar"/>
        </w:rPr>
        <w:t xml:space="preserve">│   └── README.md</w:t>
      </w:r>
      <w:r>
        <w:br/>
      </w:r>
      <w:r>
        <w:rPr>
          <w:rStyle w:val="VerbatimChar"/>
        </w:rPr>
        <w:t xml:space="preserve">│</w:t>
      </w:r>
      <w:r>
        <w:br/>
      </w:r>
      <w:r>
        <w:rPr>
          <w:rStyle w:val="VerbatimChar"/>
        </w:rPr>
        <w:t xml:space="preserve">├── bauxite/                        # generic open-cut, no named mine</w:t>
      </w:r>
      <w:r>
        <w:br/>
      </w:r>
      <w:r>
        <w:rPr>
          <w:rStyle w:val="VerbatimChar"/>
        </w:rPr>
        <w:t xml:space="preserve">│   └── (core tables)</w:t>
      </w:r>
      <w:r>
        <w:br/>
      </w:r>
      <w:r>
        <w:rPr>
          <w:rStyle w:val="VerbatimChar"/>
        </w:rPr>
        <w:t xml:space="preserve">│</w:t>
      </w:r>
      <w:r>
        <w:br/>
      </w:r>
      <w:r>
        <w:rPr>
          <w:rStyle w:val="VerbatimChar"/>
        </w:rPr>
        <w:t xml:space="preserve">└── limestone/                      # generic open-cut, no named mine</w:t>
      </w:r>
      <w:r>
        <w:br/>
      </w:r>
      <w:r>
        <w:rPr>
          <w:rStyle w:val="VerbatimChar"/>
        </w:rPr>
        <w:t xml:space="preserve">    └── (core tables)</w:t>
      </w:r>
    </w:p>
    <w:p>
      <w:pPr>
        <w:pStyle w:val="CaptionedFigure"/>
      </w:pPr>
      <w:r>
        <w:drawing>
          <wp:inline>
            <wp:extent cx="5334000" cy="3101404"/>
            <wp:effectExtent b="0" l="0" r="0" t="0"/>
            <wp:docPr descr="Dataset Library directory structure and entity-relationship diagram: each commodity dataset contains the same core tables (equipment, operators, haul_routes, cycle_events, delay_events, maintenance_events, fuel_events, production); event tables reference equipment, operators, and shifts via foreign keys; the ERD shows how CycleEvent is the hub joined by Equipment, Operator, Shift, Route, and Material." title="" id="29" name="Picture"/>
            <a:graphic>
              <a:graphicData uri="http://schemas.openxmlformats.org/drawingml/2006/picture">
                <pic:pic>
                  <pic:nvPicPr>
                    <pic:cNvPr descr="/home/claude/lbs_figs/lbs_dataset_structure.png" id="30" name="Picture"/>
                    <pic:cNvPicPr>
                      <a:picLocks noChangeArrowheads="1" noChangeAspect="1"/>
                    </pic:cNvPicPr>
                  </pic:nvPicPr>
                  <pic:blipFill>
                    <a:blip r:embed="rId28"/>
                    <a:stretch>
                      <a:fillRect/>
                    </a:stretch>
                  </pic:blipFill>
                  <pic:spPr bwMode="auto">
                    <a:xfrm>
                      <a:off x="0" y="0"/>
                      <a:ext cx="5334000" cy="3101404"/>
                    </a:xfrm>
                    <a:prstGeom prst="rect">
                      <a:avLst/>
                    </a:prstGeom>
                    <a:noFill/>
                    <a:ln w="9525">
                      <a:noFill/>
                      <a:headEnd/>
                      <a:tailEnd/>
                    </a:ln>
                  </pic:spPr>
                </pic:pic>
              </a:graphicData>
            </a:graphic>
          </wp:inline>
        </w:drawing>
      </w:r>
    </w:p>
    <w:p>
      <w:pPr>
        <w:pStyle w:val="ImageCaption"/>
      </w:pPr>
      <w:r>
        <w:t xml:space="preserve">Dataset Library directory structure and entity-relationship diagram: each commodity dataset contains the same core tables (equipment, operators, haul_routes, cycle_events, delay_events, maintenance_events, fuel_events, production); event tables reference equipment, operators, and shifts via foreign keys; the ERD shows how CycleEvent is the hub joined by Equipment, Operator, Shift, Route, and Material.</w:t>
      </w:r>
    </w:p>
    <w:bookmarkEnd w:id="31"/>
    <w:bookmarkStart w:id="35" w:name="enhancement-7-refined-dataset-hierarchy"/>
    <w:p>
      <w:pPr>
        <w:pStyle w:val="Heading2"/>
      </w:pPr>
      <w:bookmarkStart w:id="930007" w:name="_TocLBSv1_930007"/>
      <w:r>
        <w:t xml:space="preserve">Enhancement 7 — Refined Dataset Hierarchy</w:t>
      </w:r>
      <w:bookmarkEnd w:id="930007"/>
    </w:p>
    <w:p>
      <w:pPr>
        <w:pStyle w:val="FirstParagraph"/>
      </w:pPr>
      <w:r>
        <w:t xml:space="preserve">The v1.0 dataset directory is extended to make the lifecycle and provenance of every dataset explicit. The refined hierarchy separates datasets by </w:t>
      </w:r>
      <w:r>
        <w:rPr>
          <w:iCs/>
          <w:i/>
        </w:rPr>
        <w:t xml:space="preserve">how they were created</w:t>
      </w:r>
      <w:r>
        <w:t xml:space="preserve"> and </w:t>
      </w:r>
      <w:r>
        <w:rPr>
          <w:iCs/>
          <w:i/>
        </w:rPr>
        <w:t xml:space="preserve">what governance applies to them</w:t>
      </w:r>
      <w:r>
        <w:t xml:space="preserve">.</w:t>
      </w:r>
    </w:p>
    <w:p>
      <w:pPr>
        <w:pStyle w:val="CaptionedFigure"/>
      </w:pPr>
      <w:r>
        <w:drawing>
          <wp:inline>
            <wp:extent cx="5334000" cy="2699883"/>
            <wp:effectExtent b="0" l="0" r="0" t="0"/>
            <wp:docPr descr="Refined Dataset Hierarchy: canonical (never changes), golden (certification references), generated (reproducible from seed), benchmark (illustrative scenarios), edge_cases (robustness validation), synthetic (large-scale ML), raw (pre-connector), processed (ontology-aligned)." title="" id="33" name="Picture"/>
            <a:graphic>
              <a:graphicData uri="http://schemas.openxmlformats.org/drawingml/2006/picture">
                <pic:pic>
                  <pic:nvPicPr>
                    <pic:cNvPr descr="/home/claude/lbs_figs/lbs_dataset_hierarchy.png" id="34" name="Picture"/>
                    <pic:cNvPicPr>
                      <a:picLocks noChangeArrowheads="1" noChangeAspect="1"/>
                    </pic:cNvPicPr>
                  </pic:nvPicPr>
                  <pic:blipFill>
                    <a:blip r:embed="rId32"/>
                    <a:stretch>
                      <a:fillRect/>
                    </a:stretch>
                  </pic:blipFill>
                  <pic:spPr bwMode="auto">
                    <a:xfrm>
                      <a:off x="0" y="0"/>
                      <a:ext cx="5334000" cy="2699883"/>
                    </a:xfrm>
                    <a:prstGeom prst="rect">
                      <a:avLst/>
                    </a:prstGeom>
                    <a:noFill/>
                    <a:ln w="9525">
                      <a:noFill/>
                      <a:headEnd/>
                      <a:tailEnd/>
                    </a:ln>
                  </pic:spPr>
                </pic:pic>
              </a:graphicData>
            </a:graphic>
          </wp:inline>
        </w:drawing>
      </w:r>
    </w:p>
    <w:p>
      <w:pPr>
        <w:pStyle w:val="ImageCaption"/>
      </w:pPr>
      <w:r>
        <w:t xml:space="preserve">Refined Dataset Hierarchy: canonical (never changes), golden (certification references), generated (reproducible from seed), benchmark (illustrative scenarios), edge_cases (robustness validation), synthetic (large-scale ML), raw (pre-connector), processed (ontology-aligned).</w:t>
      </w:r>
    </w:p>
    <w:p>
      <w:pPr>
        <w:pStyle w:val="SourceCode"/>
      </w:pPr>
      <w:r>
        <w:rPr>
          <w:rStyle w:val="VerbatimChar"/>
        </w:rPr>
        <w:t xml:space="preserve">datasets/</w:t>
      </w:r>
      <w:r>
        <w:br/>
      </w:r>
      <w:r>
        <w:rPr>
          <w:rStyle w:val="VerbatimChar"/>
        </w:rPr>
        <w:t xml:space="preserve">├── canonical/          # Fixed forever. Hand-validated. Version-controlled in git.</w:t>
      </w:r>
      <w:r>
        <w:br/>
      </w:r>
      <w:r>
        <w:rPr>
          <w:rStyle w:val="VerbatimChar"/>
        </w:rPr>
        <w:t xml:space="preserve">├── golden/             # Certification references. Produced by pinned generator version.</w:t>
      </w:r>
      <w:r>
        <w:br/>
      </w:r>
      <w:r>
        <w:rPr>
          <w:rStyle w:val="VerbatimChar"/>
        </w:rPr>
        <w:t xml:space="preserve">├── generated/          # Reproducible from seed. CI-produced. Stamped with metadata.yaml.</w:t>
      </w:r>
      <w:r>
        <w:br/>
      </w:r>
      <w:r>
        <w:rPr>
          <w:rStyle w:val="VerbatimChar"/>
        </w:rPr>
        <w:t xml:space="preserve">├── benchmark/          # Illustrative Excellent/Good/Average/Poor scenarios (Part IV).</w:t>
      </w:r>
      <w:r>
        <w:br/>
      </w:r>
      <w:r>
        <w:rPr>
          <w:rStyle w:val="VerbatimChar"/>
        </w:rPr>
        <w:t xml:space="preserve">├── edge_cases/         # Boundary and adversarial datasets (Part VII, Category C-D-E).</w:t>
      </w:r>
      <w:r>
        <w:br/>
      </w:r>
      <w:r>
        <w:rPr>
          <w:rStyle w:val="VerbatimChar"/>
        </w:rPr>
        <w:t xml:space="preserve">├── synthetic/          # Large-scale AI/ML training. No field-data dependency.</w:t>
      </w:r>
      <w:r>
        <w:br/>
      </w:r>
      <w:r>
        <w:rPr>
          <w:rStyle w:val="VerbatimChar"/>
        </w:rPr>
        <w:t xml:space="preserve">├── raw/                # Unvalidated ingest. Pre-connector.</w:t>
      </w:r>
      <w:r>
        <w:br/>
      </w:r>
      <w:r>
        <w:rPr>
          <w:rStyle w:val="VerbatimChar"/>
        </w:rPr>
        <w:t xml:space="preserve">└── processed/          # Post-connector. Ontology-aligned. Ready for KPI engine.</w:t>
      </w:r>
    </w:p>
    <w:p>
      <w:pPr>
        <w:pStyle w:val="FirstParagraph"/>
      </w:pPr>
      <w:r>
        <w:rPr>
          <w:bCs/>
          <w:b/>
        </w:rPr>
        <w:t xml:space="preserve">Governance rules.</w:t>
      </w:r>
      <w:r>
        <w:t xml:space="preserve"> </w:t>
      </w:r>
      <w:r>
        <w:rPr>
          <w:rStyle w:val="VerbatimChar"/>
        </w:rPr>
        <w:t xml:space="preserve">canonical/</w:t>
      </w:r>
      <w:r>
        <w:t xml:space="preserve"> datasets are version-controlled in git and never regenerated — their checksums in </w:t>
      </w:r>
      <w:r>
        <w:rPr>
          <w:rStyle w:val="VerbatimChar"/>
        </w:rPr>
        <w:t xml:space="preserve">metadata.yaml</w:t>
      </w:r>
      <w:r>
        <w:t xml:space="preserve"> are verified by CI. </w:t>
      </w:r>
      <w:r>
        <w:rPr>
          <w:rStyle w:val="VerbatimChar"/>
        </w:rPr>
        <w:t xml:space="preserve">golden/</w:t>
      </w:r>
      <w:r>
        <w:t xml:space="preserve"> datasets are produced by a pinned generator version and are the certification reference (Part VII, Check C-01). </w:t>
      </w:r>
      <w:r>
        <w:rPr>
          <w:rStyle w:val="VerbatimChar"/>
        </w:rPr>
        <w:t xml:space="preserve">generated/</w:t>
      </w:r>
      <w:r>
        <w:t xml:space="preserve"> datasets are reproducible from a </w:t>
      </w:r>
      <w:r>
        <w:rPr>
          <w:rStyle w:val="VerbatimChar"/>
        </w:rPr>
        <w:t xml:space="preserve">random_seed</w:t>
      </w:r>
      <w:r>
        <w:t xml:space="preserve"> and a generator version. </w:t>
      </w:r>
      <w:r>
        <w:rPr>
          <w:rStyle w:val="VerbatimChar"/>
        </w:rPr>
        <w:t xml:space="preserve">benchmark/</w:t>
      </w:r>
      <w:r>
        <w:t xml:space="preserve"> datasets are </w:t>
      </w:r>
      <w:r>
        <w:rPr>
          <w:rStyle w:val="VerbatimChar"/>
        </w:rPr>
        <w:t xml:space="preserve">generated/</w:t>
      </w:r>
      <w:r>
        <w:t xml:space="preserve"> datasets with named operational profiles (the four scenarios in Part IV). </w:t>
      </w:r>
      <w:r>
        <w:rPr>
          <w:rStyle w:val="VerbatimChar"/>
        </w:rPr>
        <w:t xml:space="preserve">edge_cases/</w:t>
      </w:r>
      <w:r>
        <w:t xml:space="preserve"> datasets may be hand-crafted or generator-produced adversarial inputs; those used for certification must also appear in </w:t>
      </w:r>
      <w:r>
        <w:rPr>
          <w:rStyle w:val="VerbatimChar"/>
        </w:rPr>
        <w:t xml:space="preserve">golden/</w:t>
      </w:r>
      <w:r>
        <w:t xml:space="preserve">. </w:t>
      </w:r>
      <w:r>
        <w:rPr>
          <w:rStyle w:val="VerbatimChar"/>
        </w:rPr>
        <w:t xml:space="preserve">synthetic/</w:t>
      </w:r>
      <w:r>
        <w:t xml:space="preserve"> datasets may be very large and are not tracked in git — they are regenerated as needed. </w:t>
      </w:r>
      <w:r>
        <w:rPr>
          <w:rStyle w:val="VerbatimChar"/>
        </w:rPr>
        <w:t xml:space="preserve">raw/</w:t>
      </w:r>
      <w:r>
        <w:t xml:space="preserve"> and </w:t>
      </w:r>
      <w:r>
        <w:rPr>
          <w:rStyle w:val="VerbatimChar"/>
        </w:rPr>
        <w:t xml:space="preserve">processed/</w:t>
      </w:r>
      <w:r>
        <w:t xml:space="preserve"> follow the connector lifecycle from Part I.</w:t>
      </w:r>
    </w:p>
    <w:bookmarkEnd w:id="35"/>
    <w:bookmarkStart w:id="39" w:name="X9736a9d6a535fc0e3398bed9c44778324f68e53"/>
    <w:p>
      <w:pPr>
        <w:pStyle w:val="Heading2"/>
      </w:pPr>
      <w:bookmarkStart w:id="930008" w:name="_TocLBSv1_930008"/>
      <w:r>
        <w:t xml:space="preserve">Enhancement 1 — Dataset Versioning Architecture</w:t>
      </w:r>
      <w:bookmarkEnd w:id="930008"/>
    </w:p>
    <w:p>
      <w:pPr>
        <w:pStyle w:val="FirstParagraph"/>
      </w:pPr>
      <w:r>
        <w:t xml:space="preserve">Every dataset has an independent version. Dataset evolution is governed by semantic versioning rules that guarantee no historical notebook result is ever silently invalidated.</w:t>
      </w:r>
    </w:p>
    <w:bookmarkStart w:id="36" w:name="dataset-version-fields"/>
    <w:p>
      <w:pPr>
        <w:pStyle w:val="Heading3"/>
      </w:pPr>
      <w:bookmarkStart w:id="930009" w:name="_TocLBSv1_930009"/>
      <w:r>
        <w:t xml:space="preserve">Dataset version fields</w:t>
      </w:r>
      <w:bookmarkEnd w:id="930009"/>
    </w:p>
    <w:p>
      <w:pPr>
        <w:pStyle w:val="FirstParagraph"/>
      </w:pPr>
      <w:r>
        <w:t xml:space="preserve">Every dataset’s </w:t>
      </w:r>
      <w:r>
        <w:rPr>
          <w:rStyle w:val="VerbatimChar"/>
        </w:rPr>
        <w:t xml:space="preserve">metadata.yaml</w:t>
      </w:r>
      <w:r>
        <w:t xml:space="preserve"> carries six version fields:</w:t>
      </w:r>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Field</w:t>
            </w:r>
          </w:p>
        </w:tc>
        <w:tc>
          <w:tcPr/>
          <w:p>
            <w:pPr>
              <w:pStyle w:val="Compact"/>
              <w:jc w:val="left"/>
            </w:pPr>
            <w:r>
              <w:t xml:space="preserve">Meaning</w:t>
            </w:r>
          </w:p>
        </w:tc>
        <w:tc>
          <w:tcPr/>
          <w:p>
            <w:pPr>
              <w:pStyle w:val="Compact"/>
              <w:jc w:val="left"/>
            </w:pPr>
            <w:r>
              <w:t xml:space="preserve">Example</w:t>
            </w:r>
          </w:p>
        </w:tc>
      </w:tr>
      <w:tr>
        <w:tc>
          <w:tcPr/>
          <w:p>
            <w:pPr>
              <w:pStyle w:val="Compact"/>
              <w:jc w:val="left"/>
            </w:pPr>
            <w:r>
              <w:rPr>
                <w:rStyle w:val="VerbatimChar"/>
              </w:rPr>
              <w:t xml:space="preserve">dataset_version</w:t>
            </w:r>
          </w:p>
        </w:tc>
        <w:tc>
          <w:tcPr/>
          <w:p>
            <w:pPr>
              <w:pStyle w:val="Compact"/>
              <w:jc w:val="left"/>
            </w:pPr>
            <w:r>
              <w:t xml:space="preserve">The dataset’s own version</w:t>
            </w:r>
          </w:p>
        </w:tc>
        <w:tc>
          <w:tcPr/>
          <w:p>
            <w:pPr>
              <w:pStyle w:val="Compact"/>
              <w:jc w:val="left"/>
            </w:pPr>
            <w:r>
              <w:rPr>
                <w:rStyle w:val="VerbatimChar"/>
              </w:rPr>
              <w:t xml:space="preserve">1.2.0</w:t>
            </w:r>
          </w:p>
        </w:tc>
      </w:tr>
      <w:tr>
        <w:tc>
          <w:tcPr/>
          <w:p>
            <w:pPr>
              <w:pStyle w:val="Compact"/>
              <w:jc w:val="left"/>
            </w:pPr>
            <w:r>
              <w:rPr>
                <w:rStyle w:val="VerbatimChar"/>
              </w:rPr>
              <w:t xml:space="preserve">schema_version</w:t>
            </w:r>
          </w:p>
        </w:tc>
        <w:tc>
          <w:tcPr/>
          <w:p>
            <w:pPr>
              <w:pStyle w:val="Compact"/>
              <w:jc w:val="left"/>
            </w:pPr>
            <w:r>
              <w:t xml:space="preserve">The CSV column schema version</w:t>
            </w:r>
          </w:p>
        </w:tc>
        <w:tc>
          <w:tcPr/>
          <w:p>
            <w:pPr>
              <w:pStyle w:val="Compact"/>
              <w:jc w:val="left"/>
            </w:pPr>
            <w:r>
              <w:rPr>
                <w:rStyle w:val="VerbatimChar"/>
              </w:rPr>
              <w:t xml:space="preserve">1.0.0</w:t>
            </w:r>
          </w:p>
        </w:tc>
      </w:tr>
      <w:tr>
        <w:tc>
          <w:tcPr/>
          <w:p>
            <w:pPr>
              <w:pStyle w:val="Compact"/>
              <w:jc w:val="left"/>
            </w:pPr>
            <w:r>
              <w:rPr>
                <w:rStyle w:val="VerbatimChar"/>
              </w:rPr>
              <w:t xml:space="preserve">generator_version</w:t>
            </w:r>
          </w:p>
        </w:tc>
        <w:tc>
          <w:tcPr/>
          <w:p>
            <w:pPr>
              <w:pStyle w:val="Compact"/>
              <w:jc w:val="left"/>
            </w:pPr>
            <w:r>
              <w:t xml:space="preserve">The generator that produced it</w:t>
            </w:r>
          </w:p>
        </w:tc>
        <w:tc>
          <w:tcPr/>
          <w:p>
            <w:pPr>
              <w:pStyle w:val="Compact"/>
              <w:jc w:val="left"/>
            </w:pPr>
            <w:r>
              <w:rPr>
                <w:rStyle w:val="VerbatimChar"/>
              </w:rPr>
              <w:t xml:space="preserve">1.0.0</w:t>
            </w:r>
          </w:p>
        </w:tc>
      </w:tr>
      <w:tr>
        <w:tc>
          <w:tcPr/>
          <w:p>
            <w:pPr>
              <w:pStyle w:val="Compact"/>
              <w:jc w:val="left"/>
            </w:pPr>
            <w:r>
              <w:rPr>
                <w:rStyle w:val="VerbatimChar"/>
              </w:rPr>
              <w:t xml:space="preserve">ontology_version</w:t>
            </w:r>
          </w:p>
        </w:tc>
        <w:tc>
          <w:tcPr/>
          <w:p>
            <w:pPr>
              <w:pStyle w:val="Compact"/>
              <w:jc w:val="left"/>
            </w:pPr>
            <w:r>
              <w:t xml:space="preserve">Ontology version it conforms to</w:t>
            </w:r>
          </w:p>
        </w:tc>
        <w:tc>
          <w:tcPr/>
          <w:p>
            <w:pPr>
              <w:pStyle w:val="Compact"/>
              <w:jc w:val="left"/>
            </w:pPr>
            <w:r>
              <w:rPr>
                <w:rStyle w:val="VerbatimChar"/>
              </w:rPr>
              <w:t xml:space="preserve">1.0.0</w:t>
            </w:r>
          </w:p>
        </w:tc>
      </w:tr>
      <w:tr>
        <w:tc>
          <w:tcPr/>
          <w:p>
            <w:pPr>
              <w:pStyle w:val="Compact"/>
              <w:jc w:val="left"/>
            </w:pPr>
            <w:r>
              <w:rPr>
                <w:rStyle w:val="VerbatimChar"/>
              </w:rPr>
              <w:t xml:space="preserve">handbook_version</w:t>
            </w:r>
          </w:p>
        </w:tc>
        <w:tc>
          <w:tcPr/>
          <w:p>
            <w:pPr>
              <w:pStyle w:val="Compact"/>
              <w:jc w:val="left"/>
            </w:pPr>
            <w:r>
              <w:t xml:space="preserve">Architecture Handbook version</w:t>
            </w:r>
          </w:p>
        </w:tc>
        <w:tc>
          <w:tcPr/>
          <w:p>
            <w:pPr>
              <w:pStyle w:val="Compact"/>
              <w:jc w:val="left"/>
            </w:pPr>
            <w:r>
              <w:rPr>
                <w:rStyle w:val="VerbatimChar"/>
              </w:rPr>
              <w:t xml:space="preserve">1.0.0</w:t>
            </w:r>
          </w:p>
        </w:tc>
      </w:tr>
      <w:tr>
        <w:tc>
          <w:tcPr/>
          <w:p>
            <w:pPr>
              <w:pStyle w:val="Compact"/>
              <w:jc w:val="left"/>
            </w:pPr>
            <w:r>
              <w:rPr>
                <w:rStyle w:val="VerbatimChar"/>
              </w:rPr>
              <w:t xml:space="preserve">package_version</w:t>
            </w:r>
          </w:p>
        </w:tc>
        <w:tc>
          <w:tcPr/>
          <w:p>
            <w:pPr>
              <w:pStyle w:val="Compact"/>
              <w:jc w:val="left"/>
            </w:pPr>
            <w:r>
              <w:t xml:space="preserve">mineproductivity package version</w:t>
            </w:r>
          </w:p>
        </w:tc>
        <w:tc>
          <w:tcPr/>
          <w:p>
            <w:pPr>
              <w:pStyle w:val="Compact"/>
              <w:jc w:val="left"/>
            </w:pPr>
            <w:r>
              <w:rPr>
                <w:rStyle w:val="VerbatimChar"/>
              </w:rPr>
              <w:t xml:space="preserve">1.0.0</w:t>
            </w:r>
          </w:p>
        </w:tc>
      </w:tr>
    </w:tbl>
    <w:bookmarkEnd w:id="36"/>
    <w:bookmarkStart w:id="37" w:name="semantic-versioning-rules"/>
    <w:p>
      <w:pPr>
        <w:pStyle w:val="Heading3"/>
      </w:pPr>
      <w:bookmarkStart w:id="930010" w:name="_TocLBSv1_930010"/>
      <w:r>
        <w:t xml:space="preserve">Semantic versioning rules</w:t>
      </w:r>
      <w:bookmarkEnd w:id="930010"/>
    </w:p>
    <w:p>
      <w:pPr>
        <w:pStyle w:val="FirstParagraph"/>
      </w:pPr>
      <w:r>
        <w:t xml:space="preserve">Dataset versions follow </w:t>
      </w:r>
      <w:r>
        <w:rPr>
          <w:rStyle w:val="VerbatimChar"/>
        </w:rPr>
        <w:t xml:space="preserve">MAJOR.MINOR.PATCH</w:t>
      </w:r>
      <w:r>
        <w:t xml:space="preserve">. A </w:t>
      </w:r>
      <w:r>
        <w:rPr>
          <w:bCs/>
          <w:b/>
        </w:rPr>
        <w:t xml:space="preserve">MAJOR</w:t>
      </w:r>
      <w:r>
        <w:t xml:space="preserve"> change (column removed or renamed, FK relationship altered, mandatory column added) breaks existing notebooks — the CI pipeline detects mismatches and flags notebooks for review before the MAJOR version is published. A </w:t>
      </w:r>
      <w:r>
        <w:rPr>
          <w:bCs/>
          <w:b/>
        </w:rPr>
        <w:t xml:space="preserve">MINOR</w:t>
      </w:r>
      <w:r>
        <w:t xml:space="preserve"> change (optional column or table added) is backward compatible. A </w:t>
      </w:r>
      <w:r>
        <w:rPr>
          <w:bCs/>
          <w:b/>
        </w:rPr>
        <w:t xml:space="preserve">PATCH</w:t>
      </w:r>
      <w:r>
        <w:t xml:space="preserve"> change (data corrections, new rows) requires no notebook changes. A notebook declaring </w:t>
      </w:r>
      <w:r>
        <w:rPr>
          <w:rStyle w:val="VerbatimChar"/>
        </w:rPr>
        <w:t xml:space="preserve">dataset_version: "1.0.0"</w:t>
      </w:r>
      <w:r>
        <w:t xml:space="preserve"> continues to work against </w:t>
      </w:r>
      <w:r>
        <w:rPr>
          <w:rStyle w:val="VerbatimChar"/>
        </w:rPr>
        <w:t xml:space="preserve">1.y.z</w:t>
      </w:r>
      <w:r>
        <w:t xml:space="preserve">; it fails against </w:t>
      </w:r>
      <w:r>
        <w:rPr>
          <w:rStyle w:val="VerbatimChar"/>
        </w:rPr>
        <w:t xml:space="preserve">2.0.0</w:t>
      </w:r>
      <w:r>
        <w:t xml:space="preserve"> with a detected, actionable error rather than a silent wrong answer.</w:t>
      </w:r>
    </w:p>
    <w:bookmarkEnd w:id="37"/>
    <w:bookmarkStart w:id="38" w:name="schema-evolution"/>
    <w:p>
      <w:pPr>
        <w:pStyle w:val="Heading3"/>
      </w:pPr>
      <w:bookmarkStart w:id="930011" w:name="_TocLBSv1_930011"/>
      <w:r>
        <w:t xml:space="preserve">Schema evolution</w:t>
      </w:r>
      <w:bookmarkEnd w:id="930011"/>
    </w:p>
    <w:p>
      <w:pPr>
        <w:pStyle w:val="FirstParagraph"/>
      </w:pPr>
      <w:r>
        <w:t xml:space="preserve">When a schema MAJOR version is published, the old schema version is retained in </w:t>
      </w:r>
      <w:r>
        <w:rPr>
          <w:rStyle w:val="VerbatimChar"/>
        </w:rPr>
        <w:t xml:space="preserve">canonical/</w:t>
      </w:r>
      <w:r>
        <w:t xml:space="preserve"> indefinitely. A </w:t>
      </w:r>
      <w:r>
        <w:rPr>
          <w:rStyle w:val="VerbatimChar"/>
        </w:rPr>
        <w:t xml:space="preserve">migrate_v1_to_v2.py</w:t>
      </w:r>
      <w:r>
        <w:t xml:space="preserve"> script converts v1 datasets to v2, shipped as part of the generator release.</w:t>
      </w:r>
    </w:p>
    <w:p>
      <w:pPr>
        <w:pStyle w:val="ArchitectureInsight"/>
      </w:pPr>
      <w:r>
        <w:rPr>
          <w:bCs/>
          <w:b/>
        </w:rPr>
        <w:t xml:space="preserve">Architecture Insight — why datasets need their own versioning.</w:t>
      </w:r>
      <w:r>
        <w:t xml:space="preserve"> The KPI Standard Library (Part III) uses semantic versioning for KPI formulas. The ontology uses it for entity definitions. The Learning &amp; Benchmark Suite applies the same discipline to datasets — because a dataset is a contract between the generator, the notebooks, the expected outputs, and the certification tests. Breaking that contract silently is how a working notebook becomes a misleading one.</w:t>
      </w:r>
    </w:p>
    <w:bookmarkEnd w:id="38"/>
    <w:bookmarkEnd w:id="39"/>
    <w:bookmarkStart w:id="41" w:name="enhancement-2-dataset-metadata-standard"/>
    <w:p>
      <w:pPr>
        <w:pStyle w:val="Heading2"/>
      </w:pPr>
      <w:bookmarkStart w:id="930012" w:name="_TocLBSv1_930012"/>
      <w:r>
        <w:t xml:space="preserve">Enhancement 2 — Dataset Metadata Standard</w:t>
      </w:r>
      <w:bookmarkEnd w:id="930012"/>
    </w:p>
    <w:p>
      <w:pPr>
        <w:pStyle w:val="FirstParagraph"/>
      </w:pPr>
      <w:r>
        <w:t xml:space="preserve">Every dataset directory contains a </w:t>
      </w:r>
      <w:r>
        <w:rPr>
          <w:rStyle w:val="VerbatimChar"/>
        </w:rPr>
        <w:t xml:space="preserve">metadata.yaml</w:t>
      </w:r>
      <w:r>
        <w:t xml:space="preserve"> file that makes the dataset self-describing, machine-readable, and AI-navigable.</w:t>
      </w:r>
    </w:p>
    <w:bookmarkStart w:id="40" w:name="the-canonical-metadata.yaml"/>
    <w:p>
      <w:pPr>
        <w:pStyle w:val="Heading3"/>
      </w:pPr>
      <w:bookmarkStart w:id="930013" w:name="_TocLBSv1_930013"/>
      <w:r>
        <w:t xml:space="preserve">The canonical metadata.yaml</w:t>
      </w:r>
      <w:bookmarkEnd w:id="930013"/>
    </w:p>
    <w:p>
      <w:pPr>
        <w:pStyle w:val="SourceCode"/>
      </w:pPr>
      <w:r>
        <w:rPr>
          <w:rStyle w:val="CommentTok"/>
        </w:rPr>
        <w:t xml:space="preserve"># datasets/canonical/iron_ore/metadata.yaml</w:t>
      </w:r>
      <w:r>
        <w:br/>
      </w:r>
      <w:r>
        <w:rPr>
          <w:rStyle w:val="FunctionTok"/>
        </w:rPr>
        <w:t xml:space="preserve">dataset_id</w:t>
      </w:r>
      <w:r>
        <w:rPr>
          <w:rStyle w:val="KeywordTok"/>
        </w:rPr>
        <w:t xml:space="preserve">:</w:t>
      </w:r>
      <w:r>
        <w:rPr>
          <w:rStyle w:val="AttributeTok"/>
        </w:rPr>
        <w:t xml:space="preserve"> </w:t>
      </w:r>
      <w:r>
        <w:rPr>
          <w:rStyle w:val="StringTok"/>
        </w:rPr>
        <w:t xml:space="preserve">"iron_ore_canonical"</w:t>
      </w:r>
      <w:r>
        <w:br/>
      </w:r>
      <w:r>
        <w:rPr>
          <w:rStyle w:val="FunctionTok"/>
        </w:rPr>
        <w:t xml:space="preserve">dataset_name</w:t>
      </w:r>
      <w:r>
        <w:rPr>
          <w:rStyle w:val="KeywordTok"/>
        </w:rPr>
        <w:t xml:space="preserve">:</w:t>
      </w:r>
      <w:r>
        <w:rPr>
          <w:rStyle w:val="AttributeTok"/>
        </w:rPr>
        <w:t xml:space="preserve"> </w:t>
      </w:r>
      <w:r>
        <w:rPr>
          <w:rStyle w:val="StringTok"/>
        </w:rPr>
        <w:t xml:space="preserve">"Pilbara Ridge Iron Ore — Canonical Reference Dataset"</w:t>
      </w:r>
      <w:r>
        <w:br/>
      </w:r>
      <w:r>
        <w:rPr>
          <w:rStyle w:val="FunctionTok"/>
        </w:rPr>
        <w:t xml:space="preserve">commodity</w:t>
      </w:r>
      <w:r>
        <w:rPr>
          <w:rStyle w:val="KeywordTok"/>
        </w:rPr>
        <w:t xml:space="preserve">:</w:t>
      </w:r>
      <w:r>
        <w:rPr>
          <w:rStyle w:val="AttributeTok"/>
        </w:rPr>
        <w:t xml:space="preserve"> </w:t>
      </w:r>
      <w:r>
        <w:rPr>
          <w:rStyle w:val="StringTok"/>
        </w:rPr>
        <w:t xml:space="preserve">"iron_ore"</w:t>
      </w:r>
      <w:r>
        <w:br/>
      </w:r>
      <w:r>
        <w:rPr>
          <w:rStyle w:val="FunctionTok"/>
        </w:rPr>
        <w:t xml:space="preserve">mine</w:t>
      </w:r>
      <w:r>
        <w:rPr>
          <w:rStyle w:val="KeywordTok"/>
        </w:rPr>
        <w:t xml:space="preserve">:</w:t>
      </w:r>
      <w:r>
        <w:rPr>
          <w:rStyle w:val="AttributeTok"/>
        </w:rPr>
        <w:t xml:space="preserve"> </w:t>
      </w:r>
      <w:r>
        <w:rPr>
          <w:rStyle w:val="StringTok"/>
        </w:rPr>
        <w:t xml:space="preserve">"Pilbara Ridge"</w:t>
      </w:r>
      <w:r>
        <w:br/>
      </w:r>
      <w:r>
        <w:rPr>
          <w:rStyle w:val="FunctionTok"/>
        </w:rPr>
        <w:t xml:space="preserve">mine_code</w:t>
      </w:r>
      <w:r>
        <w:rPr>
          <w:rStyle w:val="KeywordTok"/>
        </w:rPr>
        <w:t xml:space="preserve">:</w:t>
      </w:r>
      <w:r>
        <w:rPr>
          <w:rStyle w:val="AttributeTok"/>
        </w:rPr>
        <w:t xml:space="preserve"> </w:t>
      </w:r>
      <w:r>
        <w:rPr>
          <w:rStyle w:val="StringTok"/>
        </w:rPr>
        <w:t xml:space="preserve">"PIL"</w:t>
      </w:r>
      <w:r>
        <w:br/>
      </w:r>
      <w:r>
        <w:rPr>
          <w:rStyle w:val="FunctionTok"/>
        </w:rPr>
        <w:t xml:space="preserve">version</w:t>
      </w:r>
      <w:r>
        <w:rPr>
          <w:rStyle w:val="KeywordTok"/>
        </w:rPr>
        <w:t xml:space="preserve">:</w:t>
      </w:r>
      <w:r>
        <w:rPr>
          <w:rStyle w:val="AttributeTok"/>
        </w:rPr>
        <w:t xml:space="preserve"> </w:t>
      </w:r>
      <w:r>
        <w:rPr>
          <w:rStyle w:val="StringTok"/>
        </w:rPr>
        <w:t xml:space="preserve">"1.0.0"</w:t>
      </w:r>
      <w:r>
        <w:br/>
      </w:r>
      <w:r>
        <w:rPr>
          <w:rStyle w:val="FunctionTok"/>
        </w:rPr>
        <w:t xml:space="preserve">schema_version</w:t>
      </w:r>
      <w:r>
        <w:rPr>
          <w:rStyle w:val="KeywordTok"/>
        </w:rPr>
        <w:t xml:space="preserve">:</w:t>
      </w:r>
      <w:r>
        <w:rPr>
          <w:rStyle w:val="AttributeTok"/>
        </w:rPr>
        <w:t xml:space="preserve"> </w:t>
      </w:r>
      <w:r>
        <w:rPr>
          <w:rStyle w:val="StringTok"/>
        </w:rPr>
        <w:t xml:space="preserve">"1.0.0"</w:t>
      </w:r>
      <w:r>
        <w:br/>
      </w:r>
      <w:r>
        <w:rPr>
          <w:rStyle w:val="FunctionTok"/>
        </w:rPr>
        <w:t xml:space="preserve">generator</w:t>
      </w:r>
      <w:r>
        <w:rPr>
          <w:rStyle w:val="KeywordTok"/>
        </w:rPr>
        <w:t xml:space="preserve">:</w:t>
      </w:r>
      <w:r>
        <w:rPr>
          <w:rStyle w:val="AttributeTok"/>
        </w:rPr>
        <w:t xml:space="preserve"> </w:t>
      </w:r>
      <w:r>
        <w:rPr>
          <w:rStyle w:val="StringTok"/>
        </w:rPr>
        <w:t xml:space="preserve">"mineproductivity.datasets.generators.IronOreGenerator"</w:t>
      </w:r>
      <w:r>
        <w:br/>
      </w:r>
      <w:r>
        <w:rPr>
          <w:rStyle w:val="FunctionTok"/>
        </w:rPr>
        <w:t xml:space="preserve">generator_version</w:t>
      </w:r>
      <w:r>
        <w:rPr>
          <w:rStyle w:val="KeywordTok"/>
        </w:rPr>
        <w:t xml:space="preserve">:</w:t>
      </w:r>
      <w:r>
        <w:rPr>
          <w:rStyle w:val="AttributeTok"/>
        </w:rPr>
        <w:t xml:space="preserve"> </w:t>
      </w:r>
      <w:r>
        <w:rPr>
          <w:rStyle w:val="StringTok"/>
        </w:rPr>
        <w:t xml:space="preserve">"1.0.0"</w:t>
      </w:r>
      <w:r>
        <w:br/>
      </w:r>
      <w:r>
        <w:rPr>
          <w:rStyle w:val="FunctionTok"/>
        </w:rPr>
        <w:t xml:space="preserve">ontology_version</w:t>
      </w:r>
      <w:r>
        <w:rPr>
          <w:rStyle w:val="KeywordTok"/>
        </w:rPr>
        <w:t xml:space="preserve">:</w:t>
      </w:r>
      <w:r>
        <w:rPr>
          <w:rStyle w:val="AttributeTok"/>
        </w:rPr>
        <w:t xml:space="preserve"> </w:t>
      </w:r>
      <w:r>
        <w:rPr>
          <w:rStyle w:val="StringTok"/>
        </w:rPr>
        <w:t xml:space="preserve">"1.0.0"</w:t>
      </w:r>
      <w:r>
        <w:br/>
      </w:r>
      <w:r>
        <w:rPr>
          <w:rStyle w:val="FunctionTok"/>
        </w:rPr>
        <w:t xml:space="preserve">package_version</w:t>
      </w:r>
      <w:r>
        <w:rPr>
          <w:rStyle w:val="KeywordTok"/>
        </w:rPr>
        <w:t xml:space="preserve">:</w:t>
      </w:r>
      <w:r>
        <w:rPr>
          <w:rStyle w:val="AttributeTok"/>
        </w:rPr>
        <w:t xml:space="preserve"> </w:t>
      </w:r>
      <w:r>
        <w:rPr>
          <w:rStyle w:val="StringTok"/>
        </w:rPr>
        <w:t xml:space="preserve">"1.0.0"</w:t>
      </w:r>
      <w:r>
        <w:br/>
      </w:r>
      <w:r>
        <w:rPr>
          <w:rStyle w:val="FunctionTok"/>
        </w:rPr>
        <w:t xml:space="preserve">handbook_version</w:t>
      </w:r>
      <w:r>
        <w:rPr>
          <w:rStyle w:val="KeywordTok"/>
        </w:rPr>
        <w:t xml:space="preserve">:</w:t>
      </w:r>
      <w:r>
        <w:rPr>
          <w:rStyle w:val="AttributeTok"/>
        </w:rPr>
        <w:t xml:space="preserve"> </w:t>
      </w:r>
      <w:r>
        <w:rPr>
          <w:rStyle w:val="StringTok"/>
        </w:rPr>
        <w:t xml:space="preserve">"1.0.0"</w:t>
      </w:r>
      <w:r>
        <w:br/>
      </w:r>
      <w:r>
        <w:rPr>
          <w:rStyle w:val="FunctionTok"/>
        </w:rPr>
        <w:t xml:space="preserve">creator</w:t>
      </w:r>
      <w:r>
        <w:rPr>
          <w:rStyle w:val="KeywordTok"/>
        </w:rPr>
        <w:t xml:space="preserve">:</w:t>
      </w:r>
      <w:r>
        <w:rPr>
          <w:rStyle w:val="AttributeTok"/>
        </w:rPr>
        <w:t xml:space="preserve"> </w:t>
      </w:r>
      <w:r>
        <w:rPr>
          <w:rStyle w:val="StringTok"/>
        </w:rPr>
        <w:t xml:space="preserve">"MineProductivity Dataset Team"</w:t>
      </w:r>
      <w:r>
        <w:br/>
      </w:r>
      <w:r>
        <w:rPr>
          <w:rStyle w:val="FunctionTok"/>
        </w:rPr>
        <w:t xml:space="preserve">created_date</w:t>
      </w:r>
      <w:r>
        <w:rPr>
          <w:rStyle w:val="KeywordTok"/>
        </w:rPr>
        <w:t xml:space="preserve">:</w:t>
      </w:r>
      <w:r>
        <w:rPr>
          <w:rStyle w:val="AttributeTok"/>
        </w:rPr>
        <w:t xml:space="preserve"> </w:t>
      </w:r>
      <w:r>
        <w:rPr>
          <w:rStyle w:val="StringTok"/>
        </w:rPr>
        <w:t xml:space="preserve">"2026-06-01"</w:t>
      </w:r>
      <w:r>
        <w:br/>
      </w:r>
      <w:r>
        <w:rPr>
          <w:rStyle w:val="FunctionTok"/>
        </w:rPr>
        <w:t xml:space="preserve">last_modified</w:t>
      </w:r>
      <w:r>
        <w:rPr>
          <w:rStyle w:val="KeywordTok"/>
        </w:rPr>
        <w:t xml:space="preserve">:</w:t>
      </w:r>
      <w:r>
        <w:rPr>
          <w:rStyle w:val="AttributeTok"/>
        </w:rPr>
        <w:t xml:space="preserve"> </w:t>
      </w:r>
      <w:r>
        <w:rPr>
          <w:rStyle w:val="StringTok"/>
        </w:rPr>
        <w:t xml:space="preserve">"2026-06-01"</w:t>
      </w:r>
      <w:r>
        <w:br/>
      </w:r>
      <w:r>
        <w:rPr>
          <w:rStyle w:val="FunctionTok"/>
        </w:rPr>
        <w:t xml:space="preserve">status</w:t>
      </w:r>
      <w:r>
        <w:rPr>
          <w:rStyle w:val="KeywordTok"/>
        </w:rPr>
        <w:t xml:space="preserve">:</w:t>
      </w:r>
      <w:r>
        <w:rPr>
          <w:rStyle w:val="AttributeTok"/>
        </w:rPr>
        <w:t xml:space="preserve"> </w:t>
      </w:r>
      <w:r>
        <w:rPr>
          <w:rStyle w:val="StringTok"/>
        </w:rPr>
        <w:t xml:space="preserve">"Canonical"</w:t>
      </w:r>
      <w:r>
        <w:rPr>
          <w:rStyle w:val="CommentTok"/>
        </w:rPr>
        <w:t xml:space="preserve">       # Experimental | Canonical | Deprecated</w:t>
      </w:r>
      <w:r>
        <w:br/>
      </w:r>
      <w:r>
        <w:rPr>
          <w:rStyle w:val="FunctionTok"/>
        </w:rPr>
        <w:t xml:space="preserve">license</w:t>
      </w:r>
      <w:r>
        <w:rPr>
          <w:rStyle w:val="KeywordTok"/>
        </w:rPr>
        <w:t xml:space="preserve">:</w:t>
      </w:r>
      <w:r>
        <w:rPr>
          <w:rStyle w:val="AttributeTok"/>
        </w:rPr>
        <w:t xml:space="preserve"> </w:t>
      </w:r>
      <w:r>
        <w:rPr>
          <w:rStyle w:val="StringTok"/>
        </w:rPr>
        <w:t xml:space="preserve">"CC BY 4.0"</w:t>
      </w:r>
      <w:r>
        <w:br/>
      </w:r>
      <w:r>
        <w:rPr>
          <w:rStyle w:val="FunctionTok"/>
        </w:rPr>
        <w:t xml:space="preserve">checksum_sha256</w:t>
      </w:r>
      <w:r>
        <w:rPr>
          <w:rStyle w:val="KeywordTok"/>
        </w:rPr>
        <w:t xml:space="preserve">:</w:t>
      </w:r>
      <w:r>
        <w:br/>
      </w:r>
      <w:r>
        <w:rPr>
          <w:rStyle w:val="AttributeTok"/>
        </w:rPr>
        <w:t xml:space="preserve">  </w:t>
      </w:r>
      <w:r>
        <w:rPr>
          <w:rStyle w:val="FunctionTok"/>
        </w:rPr>
        <w:t xml:space="preserve">cycle_events.csv</w:t>
      </w:r>
      <w:r>
        <w:rPr>
          <w:rStyle w:val="KeywordTok"/>
        </w:rPr>
        <w:t xml:space="preserve">:</w:t>
      </w:r>
      <w:r>
        <w:rPr>
          <w:rStyle w:val="AttributeTok"/>
        </w:rPr>
        <w:t xml:space="preserve"> </w:t>
      </w:r>
      <w:r>
        <w:rPr>
          <w:rStyle w:val="StringTok"/>
        </w:rPr>
        <w:t xml:space="preserve">"a3f8c..."</w:t>
      </w:r>
      <w:r>
        <w:br/>
      </w:r>
      <w:r>
        <w:rPr>
          <w:rStyle w:val="AttributeTok"/>
        </w:rPr>
        <w:t xml:space="preserve">  </w:t>
      </w:r>
      <w:r>
        <w:rPr>
          <w:rStyle w:val="FunctionTok"/>
        </w:rPr>
        <w:t xml:space="preserve">delay_events.csv</w:t>
      </w:r>
      <w:r>
        <w:rPr>
          <w:rStyle w:val="KeywordTok"/>
        </w:rPr>
        <w:t xml:space="preserve">:</w:t>
      </w:r>
      <w:r>
        <w:rPr>
          <w:rStyle w:val="AttributeTok"/>
        </w:rPr>
        <w:t xml:space="preserve"> </w:t>
      </w:r>
      <w:r>
        <w:rPr>
          <w:rStyle w:val="StringTok"/>
        </w:rPr>
        <w:t xml:space="preserve">"b91d4..."</w:t>
      </w:r>
      <w:r>
        <w:br/>
      </w:r>
      <w:r>
        <w:rPr>
          <w:rStyle w:val="AttributeTok"/>
        </w:rPr>
        <w:t xml:space="preserve">  </w:t>
      </w:r>
      <w:r>
        <w:rPr>
          <w:rStyle w:val="FunctionTok"/>
        </w:rPr>
        <w:t xml:space="preserve">equipment.csv</w:t>
      </w:r>
      <w:r>
        <w:rPr>
          <w:rStyle w:val="KeywordTok"/>
        </w:rPr>
        <w:t xml:space="preserve">:</w:t>
      </w:r>
      <w:r>
        <w:rPr>
          <w:rStyle w:val="AttributeTok"/>
        </w:rPr>
        <w:t xml:space="preserve"> </w:t>
      </w:r>
      <w:r>
        <w:rPr>
          <w:rStyle w:val="StringTok"/>
        </w:rPr>
        <w:t xml:space="preserve">"c2e77..."</w:t>
      </w:r>
      <w:r>
        <w:br/>
      </w:r>
      <w:r>
        <w:rPr>
          <w:rStyle w:val="FunctionTok"/>
        </w:rPr>
        <w:t xml:space="preserve">row_counts</w:t>
      </w:r>
      <w:r>
        <w:rPr>
          <w:rStyle w:val="KeywordTok"/>
        </w:rPr>
        <w:t xml:space="preserve">:</w:t>
      </w:r>
      <w:r>
        <w:br/>
      </w:r>
      <w:r>
        <w:rPr>
          <w:rStyle w:val="AttributeTok"/>
        </w:rPr>
        <w:t xml:space="preserve">  </w:t>
      </w:r>
      <w:r>
        <w:rPr>
          <w:rStyle w:val="FunctionTok"/>
        </w:rPr>
        <w:t xml:space="preserve">cycle_events</w:t>
      </w:r>
      <w:r>
        <w:rPr>
          <w:rStyle w:val="KeywordTok"/>
        </w:rPr>
        <w:t xml:space="preserve">:</w:t>
      </w:r>
      <w:r>
        <w:rPr>
          <w:rStyle w:val="AttributeTok"/>
        </w:rPr>
        <w:t xml:space="preserve"> </w:t>
      </w:r>
      <w:r>
        <w:rPr>
          <w:rStyle w:val="DecValTok"/>
        </w:rPr>
        <w:t xml:space="preserve">48720</w:t>
      </w:r>
      <w:r>
        <w:br/>
      </w:r>
      <w:r>
        <w:rPr>
          <w:rStyle w:val="AttributeTok"/>
        </w:rPr>
        <w:t xml:space="preserve">  </w:t>
      </w:r>
      <w:r>
        <w:rPr>
          <w:rStyle w:val="FunctionTok"/>
        </w:rPr>
        <w:t xml:space="preserve">delay_events</w:t>
      </w:r>
      <w:r>
        <w:rPr>
          <w:rStyle w:val="KeywordTok"/>
        </w:rPr>
        <w:t xml:space="preserve">:</w:t>
      </w:r>
      <w:r>
        <w:rPr>
          <w:rStyle w:val="AttributeTok"/>
        </w:rPr>
        <w:t xml:space="preserve"> </w:t>
      </w:r>
      <w:r>
        <w:rPr>
          <w:rStyle w:val="DecValTok"/>
        </w:rPr>
        <w:t xml:space="preserve">3136</w:t>
      </w:r>
      <w:r>
        <w:br/>
      </w:r>
      <w:r>
        <w:rPr>
          <w:rStyle w:val="AttributeTok"/>
        </w:rPr>
        <w:t xml:space="preserve">  </w:t>
      </w:r>
      <w:r>
        <w:rPr>
          <w:rStyle w:val="FunctionTok"/>
        </w:rPr>
        <w:t xml:space="preserve">equipment</w:t>
      </w:r>
      <w:r>
        <w:rPr>
          <w:rStyle w:val="KeywordTok"/>
        </w:rPr>
        <w:t xml:space="preserve">:</w:t>
      </w:r>
      <w:r>
        <w:rPr>
          <w:rStyle w:val="AttributeTok"/>
        </w:rPr>
        <w:t xml:space="preserve"> </w:t>
      </w:r>
      <w:r>
        <w:rPr>
          <w:rStyle w:val="DecValTok"/>
        </w:rPr>
        <w:t xml:space="preserve">25</w:t>
      </w:r>
      <w:r>
        <w:br/>
      </w:r>
      <w:r>
        <w:rPr>
          <w:rStyle w:val="FunctionTok"/>
        </w:rPr>
        <w:t xml:space="preserve">update_frequency</w:t>
      </w:r>
      <w:r>
        <w:rPr>
          <w:rStyle w:val="KeywordTok"/>
        </w:rPr>
        <w:t xml:space="preserve">:</w:t>
      </w:r>
      <w:r>
        <w:rPr>
          <w:rStyle w:val="AttributeTok"/>
        </w:rPr>
        <w:t xml:space="preserve"> </w:t>
      </w:r>
      <w:r>
        <w:rPr>
          <w:rStyle w:val="StringTok"/>
        </w:rPr>
        <w:t xml:space="preserve">"Static"</w:t>
      </w:r>
      <w:r>
        <w:br/>
      </w:r>
      <w:r>
        <w:rPr>
          <w:rStyle w:val="FunctionTok"/>
        </w:rPr>
        <w:t xml:space="preserve">tags</w:t>
      </w:r>
      <w:r>
        <w:rPr>
          <w:rStyle w:val="KeywordTok"/>
        </w:rPr>
        <w:t xml:space="preserve">:</w:t>
      </w:r>
      <w:r>
        <w:rPr>
          <w:rStyle w:val="AttributeTok"/>
        </w:rPr>
        <w:t xml:space="preserve"> </w:t>
      </w:r>
      <w:r>
        <w:rPr>
          <w:rStyle w:val="KeywordTok"/>
        </w:rPr>
        <w:t xml:space="preserve">[</w:t>
      </w:r>
      <w:r>
        <w:rPr>
          <w:rStyle w:val="StringTok"/>
        </w:rPr>
        <w:t xml:space="preserve">"iron_ore"</w:t>
      </w:r>
      <w:r>
        <w:rPr>
          <w:rStyle w:val="KeywordTok"/>
        </w:rPr>
        <w:t xml:space="preserve">,</w:t>
      </w:r>
      <w:r>
        <w:rPr>
          <w:rStyle w:val="AttributeTok"/>
        </w:rPr>
        <w:t xml:space="preserve"> </w:t>
      </w:r>
      <w:r>
        <w:rPr>
          <w:rStyle w:val="StringTok"/>
        </w:rPr>
        <w:t xml:space="preserve">"canonical"</w:t>
      </w:r>
      <w:r>
        <w:rPr>
          <w:rStyle w:val="KeywordTok"/>
        </w:rPr>
        <w:t xml:space="preserve">,</w:t>
      </w:r>
      <w:r>
        <w:rPr>
          <w:rStyle w:val="AttributeTok"/>
        </w:rPr>
        <w:t xml:space="preserve"> </w:t>
      </w:r>
      <w:r>
        <w:rPr>
          <w:rStyle w:val="StringTok"/>
        </w:rPr>
        <w:t xml:space="preserve">"pilbara_ridge"</w:t>
      </w:r>
      <w:r>
        <w:rPr>
          <w:rStyle w:val="KeywordTok"/>
        </w:rPr>
        <w:t xml:space="preserve">,</w:t>
      </w:r>
      <w:r>
        <w:rPr>
          <w:rStyle w:val="AttributeTok"/>
        </w:rPr>
        <w:t xml:space="preserve"> </w:t>
      </w:r>
      <w:r>
        <w:rPr>
          <w:rStyle w:val="StringTok"/>
        </w:rPr>
        <w:t xml:space="preserve">"certification"</w:t>
      </w:r>
      <w:r>
        <w:rPr>
          <w:rStyle w:val="KeywordTok"/>
        </w:rPr>
        <w:t xml:space="preserve">]</w:t>
      </w:r>
      <w:r>
        <w:br/>
      </w:r>
      <w:r>
        <w:rPr>
          <w:rStyle w:val="FunctionTok"/>
        </w:rPr>
        <w:t xml:space="preserve">kpi_coverage</w:t>
      </w:r>
      <w:r>
        <w:rPr>
          <w:rStyle w:val="KeywordTok"/>
        </w:rPr>
        <w:t xml:space="preserve">:</w:t>
      </w:r>
      <w:r>
        <w:br/>
      </w:r>
      <w:r>
        <w:rPr>
          <w:rStyle w:val="AttributeTok"/>
        </w:rPr>
        <w:t xml:space="preserve">  </w:t>
      </w:r>
      <w:r>
        <w:rPr>
          <w:rStyle w:val="FunctionTok"/>
        </w:rPr>
        <w:t xml:space="preserve">active_kpis_supported</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StringTok"/>
        </w:rPr>
        <w:t xml:space="preserve">"PROD.TPH"</w:t>
      </w:r>
      <w:r>
        <w:br/>
      </w:r>
      <w:r>
        <w:rPr>
          <w:rStyle w:val="AttributeTok"/>
        </w:rPr>
        <w:t xml:space="preserve">    </w:t>
      </w:r>
      <w:r>
        <w:rPr>
          <w:rStyle w:val="KeywordTok"/>
        </w:rPr>
        <w:t xml:space="preserve">-</w:t>
      </w:r>
      <w:r>
        <w:rPr>
          <w:rStyle w:val="AttributeTok"/>
        </w:rPr>
        <w:t xml:space="preserve"> </w:t>
      </w:r>
      <w:r>
        <w:rPr>
          <w:rStyle w:val="StringTok"/>
        </w:rPr>
        <w:t xml:space="preserve">"UTIL.PA"</w:t>
      </w:r>
      <w:r>
        <w:br/>
      </w:r>
      <w:r>
        <w:rPr>
          <w:rStyle w:val="AttributeTok"/>
        </w:rPr>
        <w:t xml:space="preserve">    </w:t>
      </w:r>
      <w:r>
        <w:rPr>
          <w:rStyle w:val="KeywordTok"/>
        </w:rPr>
        <w:t xml:space="preserve">-</w:t>
      </w:r>
      <w:r>
        <w:rPr>
          <w:rStyle w:val="AttributeTok"/>
        </w:rPr>
        <w:t xml:space="preserve"> </w:t>
      </w:r>
      <w:r>
        <w:rPr>
          <w:rStyle w:val="StringTok"/>
        </w:rPr>
        <w:t xml:space="preserve">"UTIL.UA"</w:t>
      </w:r>
      <w:r>
        <w:br/>
      </w:r>
      <w:r>
        <w:rPr>
          <w:rStyle w:val="AttributeTok"/>
        </w:rPr>
        <w:t xml:space="preserve">    </w:t>
      </w:r>
      <w:r>
        <w:rPr>
          <w:rStyle w:val="KeywordTok"/>
        </w:rPr>
        <w:t xml:space="preserve">-</w:t>
      </w:r>
      <w:r>
        <w:rPr>
          <w:rStyle w:val="AttributeTok"/>
        </w:rPr>
        <w:t xml:space="preserve"> </w:t>
      </w:r>
      <w:r>
        <w:rPr>
          <w:rStyle w:val="StringTok"/>
        </w:rPr>
        <w:t xml:space="preserve">"UTIL.EU"</w:t>
      </w:r>
      <w:r>
        <w:br/>
      </w:r>
      <w:r>
        <w:rPr>
          <w:rStyle w:val="AttributeTok"/>
        </w:rPr>
        <w:t xml:space="preserve">    </w:t>
      </w:r>
      <w:r>
        <w:rPr>
          <w:rStyle w:val="KeywordTok"/>
        </w:rPr>
        <w:t xml:space="preserve">-</w:t>
      </w:r>
      <w:r>
        <w:rPr>
          <w:rStyle w:val="AttributeTok"/>
        </w:rPr>
        <w:t xml:space="preserve"> </w:t>
      </w:r>
      <w:r>
        <w:rPr>
          <w:rStyle w:val="StringTok"/>
        </w:rPr>
        <w:t xml:space="preserve">"MAINT.MTBF"</w:t>
      </w:r>
      <w:r>
        <w:br/>
      </w:r>
      <w:r>
        <w:rPr>
          <w:rStyle w:val="AttributeTok"/>
        </w:rPr>
        <w:t xml:space="preserve">    </w:t>
      </w:r>
      <w:r>
        <w:rPr>
          <w:rStyle w:val="KeywordTok"/>
        </w:rPr>
        <w:t xml:space="preserve">-</w:t>
      </w:r>
      <w:r>
        <w:rPr>
          <w:rStyle w:val="AttributeTok"/>
        </w:rPr>
        <w:t xml:space="preserve"> </w:t>
      </w:r>
      <w:r>
        <w:rPr>
          <w:rStyle w:val="StringTok"/>
        </w:rPr>
        <w:t xml:space="preserve">"MAINT.MTTR"</w:t>
      </w:r>
      <w:r>
        <w:br/>
      </w:r>
      <w:r>
        <w:rPr>
          <w:rStyle w:val="AttributeTok"/>
        </w:rPr>
        <w:t xml:space="preserve">    </w:t>
      </w:r>
      <w:r>
        <w:rPr>
          <w:rStyle w:val="KeywordTok"/>
        </w:rPr>
        <w:t xml:space="preserve">-</w:t>
      </w:r>
      <w:r>
        <w:rPr>
          <w:rStyle w:val="AttributeTok"/>
        </w:rPr>
        <w:t xml:space="preserve"> </w:t>
      </w:r>
      <w:r>
        <w:rPr>
          <w:rStyle w:val="StringTok"/>
        </w:rPr>
        <w:t xml:space="preserve">"MAINT.Ai"</w:t>
      </w:r>
      <w:r>
        <w:br/>
      </w:r>
      <w:r>
        <w:rPr>
          <w:rStyle w:val="AttributeTok"/>
        </w:rPr>
        <w:t xml:space="preserve">    </w:t>
      </w:r>
      <w:r>
        <w:rPr>
          <w:rStyle w:val="KeywordTok"/>
        </w:rPr>
        <w:t xml:space="preserve">-</w:t>
      </w:r>
      <w:r>
        <w:rPr>
          <w:rStyle w:val="AttributeTok"/>
        </w:rPr>
        <w:t xml:space="preserve"> </w:t>
      </w:r>
      <w:r>
        <w:rPr>
          <w:rStyle w:val="StringTok"/>
        </w:rPr>
        <w:t xml:space="preserve">"DELAY.Hours"</w:t>
      </w:r>
      <w:r>
        <w:br/>
      </w:r>
      <w:r>
        <w:rPr>
          <w:rStyle w:val="AttributeTok"/>
        </w:rPr>
        <w:t xml:space="preserve">    </w:t>
      </w:r>
      <w:r>
        <w:rPr>
          <w:rStyle w:val="KeywordTok"/>
        </w:rPr>
        <w:t xml:space="preserve">-</w:t>
      </w:r>
      <w:r>
        <w:rPr>
          <w:rStyle w:val="AttributeTok"/>
        </w:rPr>
        <w:t xml:space="preserve"> </w:t>
      </w:r>
      <w:r>
        <w:rPr>
          <w:rStyle w:val="StringTok"/>
        </w:rPr>
        <w:t xml:space="preserve">"ENERGY.FuelPerTonne"</w:t>
      </w:r>
      <w:r>
        <w:br/>
      </w:r>
      <w:r>
        <w:rPr>
          <w:rStyle w:val="AttributeTok"/>
        </w:rPr>
        <w:t xml:space="preserve">    </w:t>
      </w:r>
      <w:r>
        <w:rPr>
          <w:rStyle w:val="KeywordTok"/>
        </w:rPr>
        <w:t xml:space="preserve">-</w:t>
      </w:r>
      <w:r>
        <w:rPr>
          <w:rStyle w:val="AttributeTok"/>
        </w:rPr>
        <w:t xml:space="preserve"> </w:t>
      </w:r>
      <w:r>
        <w:rPr>
          <w:rStyle w:val="StringTok"/>
        </w:rPr>
        <w:t xml:space="preserve">"CARBON.CO2PerTonne"</w:t>
      </w:r>
      <w:r>
        <w:br/>
      </w:r>
      <w:r>
        <w:rPr>
          <w:rStyle w:val="AttributeTok"/>
        </w:rPr>
        <w:t xml:space="preserve">    </w:t>
      </w:r>
      <w:r>
        <w:rPr>
          <w:rStyle w:val="KeywordTok"/>
        </w:rPr>
        <w:t xml:space="preserve">-</w:t>
      </w:r>
      <w:r>
        <w:rPr>
          <w:rStyle w:val="AttributeTok"/>
        </w:rPr>
        <w:t xml:space="preserve"> </w:t>
      </w:r>
      <w:r>
        <w:rPr>
          <w:rStyle w:val="StringTok"/>
        </w:rPr>
        <w:t xml:space="preserve">"COST.CostPerTonne"</w:t>
      </w:r>
      <w:r>
        <w:br/>
      </w:r>
      <w:r>
        <w:rPr>
          <w:rStyle w:val="AttributeTok"/>
        </w:rPr>
        <w:t xml:space="preserve">    </w:t>
      </w:r>
      <w:r>
        <w:rPr>
          <w:rStyle w:val="KeywordTok"/>
        </w:rPr>
        <w:t xml:space="preserve">-</w:t>
      </w:r>
      <w:r>
        <w:rPr>
          <w:rStyle w:val="AttributeTok"/>
        </w:rPr>
        <w:t xml:space="preserve"> </w:t>
      </w:r>
      <w:r>
        <w:rPr>
          <w:rStyle w:val="StringTok"/>
        </w:rPr>
        <w:t xml:space="preserve">"SAFE.SpeedViolationRate"</w:t>
      </w:r>
      <w:r>
        <w:br/>
      </w:r>
      <w:r>
        <w:rPr>
          <w:rStyle w:val="AttributeTok"/>
        </w:rPr>
        <w:t xml:space="preserve">  </w:t>
      </w:r>
      <w:r>
        <w:rPr>
          <w:rStyle w:val="FunctionTok"/>
        </w:rPr>
        <w:t xml:space="preserve">kpi_readiness_score</w:t>
      </w:r>
      <w:r>
        <w:rPr>
          <w:rStyle w:val="KeywordTok"/>
        </w:rPr>
        <w:t xml:space="preserve">:</w:t>
      </w:r>
      <w:r>
        <w:rPr>
          <w:rStyle w:val="AttributeTok"/>
        </w:rPr>
        <w:t xml:space="preserve"> </w:t>
      </w:r>
      <w:r>
        <w:rPr>
          <w:rStyle w:val="FloatTok"/>
        </w:rPr>
        <w:t xml:space="preserve">1.0</w:t>
      </w:r>
      <w:r>
        <w:br/>
      </w:r>
      <w:r>
        <w:rPr>
          <w:rStyle w:val="FunctionTok"/>
        </w:rPr>
        <w:t xml:space="preserve">notebooks_supported</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StringTok"/>
        </w:rPr>
        <w:t xml:space="preserve">"NB-02"</w:t>
      </w:r>
      <w:r>
        <w:br/>
      </w:r>
      <w:r>
        <w:rPr>
          <w:rStyle w:val="AttributeTok"/>
        </w:rPr>
        <w:t xml:space="preserve">  </w:t>
      </w:r>
      <w:r>
        <w:rPr>
          <w:rStyle w:val="KeywordTok"/>
        </w:rPr>
        <w:t xml:space="preserve">-</w:t>
      </w:r>
      <w:r>
        <w:rPr>
          <w:rStyle w:val="AttributeTok"/>
        </w:rPr>
        <w:t xml:space="preserve"> </w:t>
      </w:r>
      <w:r>
        <w:rPr>
          <w:rStyle w:val="StringTok"/>
        </w:rPr>
        <w:t xml:space="preserve">"NB-04"</w:t>
      </w:r>
      <w:r>
        <w:br/>
      </w:r>
      <w:r>
        <w:rPr>
          <w:rStyle w:val="AttributeTok"/>
        </w:rPr>
        <w:t xml:space="preserve">  </w:t>
      </w:r>
      <w:r>
        <w:rPr>
          <w:rStyle w:val="KeywordTok"/>
        </w:rPr>
        <w:t xml:space="preserve">-</w:t>
      </w:r>
      <w:r>
        <w:rPr>
          <w:rStyle w:val="AttributeTok"/>
        </w:rPr>
        <w:t xml:space="preserve"> </w:t>
      </w:r>
      <w:r>
        <w:rPr>
          <w:rStyle w:val="StringTok"/>
        </w:rPr>
        <w:t xml:space="preserve">"NB-06 through NB-10"</w:t>
      </w:r>
      <w:r>
        <w:br/>
      </w:r>
      <w:r>
        <w:rPr>
          <w:rStyle w:val="AttributeTok"/>
        </w:rPr>
        <w:t xml:space="preserve">  </w:t>
      </w:r>
      <w:r>
        <w:rPr>
          <w:rStyle w:val="KeywordTok"/>
        </w:rPr>
        <w:t xml:space="preserve">-</w:t>
      </w:r>
      <w:r>
        <w:rPr>
          <w:rStyle w:val="AttributeTok"/>
        </w:rPr>
        <w:t xml:space="preserve"> </w:t>
      </w:r>
      <w:r>
        <w:rPr>
          <w:rStyle w:val="StringTok"/>
        </w:rPr>
        <w:t xml:space="preserve">"NB-11 through NB-35"</w:t>
      </w:r>
      <w:r>
        <w:br/>
      </w:r>
      <w:r>
        <w:rPr>
          <w:rStyle w:val="AttributeTok"/>
        </w:rPr>
        <w:t xml:space="preserve">  </w:t>
      </w:r>
      <w:r>
        <w:rPr>
          <w:rStyle w:val="KeywordTok"/>
        </w:rPr>
        <w:t xml:space="preserve">-</w:t>
      </w:r>
      <w:r>
        <w:rPr>
          <w:rStyle w:val="AttributeTok"/>
        </w:rPr>
        <w:t xml:space="preserve"> </w:t>
      </w:r>
      <w:r>
        <w:rPr>
          <w:rStyle w:val="StringTok"/>
        </w:rPr>
        <w:t xml:space="preserve">"NB-81 through NB-85"</w:t>
      </w:r>
    </w:p>
    <w:p>
      <w:pPr>
        <w:pStyle w:val="FirstParagraph"/>
      </w:pPr>
      <w:r>
        <w:rPr>
          <w:bCs/>
          <w:b/>
        </w:rPr>
        <w:t xml:space="preserve">Why metadata matters.</w:t>
      </w:r>
      <w:r>
        <w:t xml:space="preserve"> The </w:t>
      </w:r>
      <w:r>
        <w:rPr>
          <w:rStyle w:val="VerbatimChar"/>
        </w:rPr>
        <w:t xml:space="preserve">checksum_sha256</w:t>
      </w:r>
      <w:r>
        <w:t xml:space="preserve"> field lets any consumer verify they have the exact canonical file. An AI agent building a new notebook queries </w:t>
      </w:r>
      <w:r>
        <w:rPr>
          <w:rStyle w:val="VerbatimChar"/>
        </w:rPr>
        <w:t xml:space="preserve">metadata.yaml</w:t>
      </w:r>
      <w:r>
        <w:t xml:space="preserve"> to discover supported KPIs and compatible notebooks without reading code. Two researchers comparing results confirm identical data by matching </w:t>
      </w:r>
      <w:r>
        <w:rPr>
          <w:rStyle w:val="VerbatimChar"/>
        </w:rPr>
        <w:t xml:space="preserve">dataset_id + version + checksum_sha256</w:t>
      </w:r>
      <w:r>
        <w:t xml:space="preserve">. The certification harness reads </w:t>
      </w:r>
      <w:r>
        <w:rPr>
          <w:rStyle w:val="VerbatimChar"/>
        </w:rPr>
        <w:t xml:space="preserve">metadata.yaml</w:t>
      </w:r>
      <w:r>
        <w:t xml:space="preserve"> as its C-00 prerequisite check. </w:t>
      </w:r>
      <w:r>
        <w:rPr>
          <w:rStyle w:val="VerbatimChar"/>
        </w:rPr>
        <w:t xml:space="preserve">status: "Canonical"</w:t>
      </w:r>
      <w:r>
        <w:t xml:space="preserve"> means the dataset is governed — it cannot be modified without a version bump and a change record.</w:t>
      </w:r>
    </w:p>
    <w:bookmarkEnd w:id="40"/>
    <w:bookmarkEnd w:id="41"/>
    <w:bookmarkStart w:id="43" w:name="enhancement-3-dataset-quality-report"/>
    <w:p>
      <w:pPr>
        <w:pStyle w:val="Heading2"/>
      </w:pPr>
      <w:bookmarkStart w:id="930014" w:name="_TocLBSv1_930014"/>
      <w:r>
        <w:t xml:space="preserve">Enhancement 3 — Dataset Quality Report</w:t>
      </w:r>
      <w:bookmarkEnd w:id="930014"/>
    </w:p>
    <w:p>
      <w:pPr>
        <w:pStyle w:val="FirstParagraph"/>
      </w:pPr>
      <w:r>
        <w:t xml:space="preserve">Every </w:t>
      </w:r>
      <w:r>
        <w:rPr>
          <w:rStyle w:val="VerbatimChar"/>
        </w:rPr>
        <w:t xml:space="preserve">generate_all.py</w:t>
      </w:r>
      <w:r>
        <w:t xml:space="preserve"> run and every </w:t>
      </w:r>
      <w:r>
        <w:rPr>
          <w:rStyle w:val="VerbatimChar"/>
        </w:rPr>
        <w:t xml:space="preserve">ScenarioGenerator.generate()</w:t>
      </w:r>
      <w:r>
        <w:t xml:space="preserve"> call automatically produces a </w:t>
      </w:r>
      <w:r>
        <w:rPr>
          <w:rStyle w:val="VerbatimChar"/>
        </w:rPr>
        <w:t xml:space="preserve">quality_report.json</w:t>
      </w:r>
      <w:r>
        <w:t xml:space="preserve"> alongside the CSV files.</w:t>
      </w:r>
    </w:p>
    <w:bookmarkStart w:id="42" w:name="quality-report-structure"/>
    <w:p>
      <w:pPr>
        <w:pStyle w:val="Heading3"/>
      </w:pPr>
      <w:bookmarkStart w:id="930015" w:name="_TocLBSv1_930015"/>
      <w:r>
        <w:t xml:space="preserve">Quality report structure</w:t>
      </w:r>
      <w:bookmarkEnd w:id="930015"/>
    </w:p>
    <w:p>
      <w:pPr>
        <w:pStyle w:val="SourceCode"/>
      </w:pPr>
      <w:r>
        <w:rPr>
          <w:rStyle w:val="FunctionTok"/>
        </w:rPr>
        <w:t xml:space="preserve">{</w:t>
      </w:r>
      <w:r>
        <w:br/>
      </w:r>
      <w:r>
        <w:rPr>
          <w:rStyle w:val="NormalTok"/>
        </w:rPr>
        <w:t xml:space="preserve">  </w:t>
      </w:r>
      <w:r>
        <w:rPr>
          <w:rStyle w:val="DataTypeTok"/>
        </w:rPr>
        <w:t xml:space="preserve">"dataset_id"</w:t>
      </w:r>
      <w:r>
        <w:rPr>
          <w:rStyle w:val="FunctionTok"/>
        </w:rPr>
        <w:t xml:space="preserve">:</w:t>
      </w:r>
      <w:r>
        <w:rPr>
          <w:rStyle w:val="NormalTok"/>
        </w:rPr>
        <w:t xml:space="preserve"> </w:t>
      </w:r>
      <w:r>
        <w:rPr>
          <w:rStyle w:val="StringTok"/>
        </w:rPr>
        <w:t xml:space="preserve">"iron_ore_canonical"</w:t>
      </w:r>
      <w:r>
        <w:rPr>
          <w:rStyle w:val="FunctionTok"/>
        </w:rPr>
        <w:t xml:space="preserve">,</w:t>
      </w:r>
      <w:r>
        <w:br/>
      </w:r>
      <w:r>
        <w:rPr>
          <w:rStyle w:val="NormalTok"/>
        </w:rPr>
        <w:t xml:space="preserve">  </w:t>
      </w:r>
      <w:r>
        <w:rPr>
          <w:rStyle w:val="DataTypeTok"/>
        </w:rPr>
        <w:t xml:space="preserve">"dataset_version"</w:t>
      </w:r>
      <w:r>
        <w:rPr>
          <w:rStyle w:val="FunctionTok"/>
        </w:rPr>
        <w:t xml:space="preserve">:</w:t>
      </w:r>
      <w:r>
        <w:rPr>
          <w:rStyle w:val="NormalTok"/>
        </w:rPr>
        <w:t xml:space="preserve"> </w:t>
      </w:r>
      <w:r>
        <w:rPr>
          <w:rStyle w:val="StringTok"/>
        </w:rPr>
        <w:t xml:space="preserve">"1.0.0"</w:t>
      </w:r>
      <w:r>
        <w:rPr>
          <w:rStyle w:val="FunctionTok"/>
        </w:rPr>
        <w:t xml:space="preserve">,</w:t>
      </w:r>
      <w:r>
        <w:br/>
      </w:r>
      <w:r>
        <w:rPr>
          <w:rStyle w:val="NormalTok"/>
        </w:rPr>
        <w:t xml:space="preserve">  </w:t>
      </w:r>
      <w:r>
        <w:rPr>
          <w:rStyle w:val="DataTypeTok"/>
        </w:rPr>
        <w:t xml:space="preserve">"generated_utc"</w:t>
      </w:r>
      <w:r>
        <w:rPr>
          <w:rStyle w:val="FunctionTok"/>
        </w:rPr>
        <w:t xml:space="preserve">:</w:t>
      </w:r>
      <w:r>
        <w:rPr>
          <w:rStyle w:val="NormalTok"/>
        </w:rPr>
        <w:t xml:space="preserve"> </w:t>
      </w:r>
      <w:r>
        <w:rPr>
          <w:rStyle w:val="StringTok"/>
        </w:rPr>
        <w:t xml:space="preserve">"2026-06-01T10:00:00Z"</w:t>
      </w:r>
      <w:r>
        <w:rPr>
          <w:rStyle w:val="FunctionTok"/>
        </w:rPr>
        <w:t xml:space="preserve">,</w:t>
      </w:r>
      <w:r>
        <w:br/>
      </w:r>
      <w:r>
        <w:rPr>
          <w:rStyle w:val="NormalTok"/>
        </w:rPr>
        <w:t xml:space="preserve">  </w:t>
      </w:r>
      <w:r>
        <w:rPr>
          <w:rStyle w:val="DataTypeTok"/>
        </w:rPr>
        <w:t xml:space="preserve">"schema_validation"</w:t>
      </w:r>
      <w:r>
        <w:rPr>
          <w:rStyle w:val="FunctionTok"/>
        </w:rPr>
        <w:t xml:space="preserve">:</w:t>
      </w:r>
      <w:r>
        <w:rPr>
          <w:rStyle w:val="NormalTok"/>
        </w:rPr>
        <w:t xml:space="preserve">      </w:t>
      </w:r>
      <w:r>
        <w:rPr>
          <w:rStyle w:val="FunctionTok"/>
        </w:rPr>
        <w:t xml:space="preserve">{</w:t>
      </w:r>
      <w:r>
        <w:rPr>
          <w:rStyle w:val="DataTypeTok"/>
        </w:rPr>
        <w:t xml:space="preserve">"status"</w:t>
      </w:r>
      <w:r>
        <w:rPr>
          <w:rStyle w:val="FunctionTok"/>
        </w:rPr>
        <w:t xml:space="preserve">:</w:t>
      </w:r>
      <w:r>
        <w:rPr>
          <w:rStyle w:val="NormalTok"/>
        </w:rPr>
        <w:t xml:space="preserve"> </w:t>
      </w:r>
      <w:r>
        <w:rPr>
          <w:rStyle w:val="StringTok"/>
        </w:rPr>
        <w:t xml:space="preserve">"PASS"</w:t>
      </w:r>
      <w:r>
        <w:rPr>
          <w:rStyle w:val="FunctionTok"/>
        </w:rPr>
        <w:t xml:space="preserve">,</w:t>
      </w:r>
      <w:r>
        <w:rPr>
          <w:rStyle w:val="NormalTok"/>
        </w:rPr>
        <w:t xml:space="preserve"> </w:t>
      </w:r>
      <w:r>
        <w:rPr>
          <w:rStyle w:val="DataTypeTok"/>
        </w:rPr>
        <w:t xml:space="preserve">"violations"</w:t>
      </w:r>
      <w:r>
        <w:rPr>
          <w:rStyle w:val="FunctionTok"/>
        </w:rPr>
        <w:t xml:space="preserve">:</w:t>
      </w:r>
      <w:r>
        <w:rPr>
          <w:rStyle w:val="NormalTok"/>
        </w:rPr>
        <w:t xml:space="preserve"> </w:t>
      </w:r>
      <w:r>
        <w:rPr>
          <w:rStyle w:val="OtherTok"/>
        </w:rPr>
        <w:t xml:space="preserve">[]</w:t>
      </w:r>
      <w:r>
        <w:rPr>
          <w:rStyle w:val="FunctionTok"/>
        </w:rPr>
        <w:t xml:space="preserve">},</w:t>
      </w:r>
      <w:r>
        <w:br/>
      </w:r>
      <w:r>
        <w:rPr>
          <w:rStyle w:val="NormalTok"/>
        </w:rPr>
        <w:t xml:space="preserve">  </w:t>
      </w:r>
      <w:r>
        <w:rPr>
          <w:rStyle w:val="DataTypeTok"/>
        </w:rPr>
        <w:t xml:space="preserve">"missing_values"</w:t>
      </w:r>
      <w:r>
        <w:rPr>
          <w:rStyle w:val="FunctionTok"/>
        </w:rPr>
        <w:t xml:space="preserve">:</w:t>
      </w:r>
      <w:r>
        <w:rPr>
          <w:rStyle w:val="NormalTok"/>
        </w:rPr>
        <w:t xml:space="preserve">         </w:t>
      </w:r>
      <w:r>
        <w:rPr>
          <w:rStyle w:val="FunctionTok"/>
        </w:rPr>
        <w:t xml:space="preserve">{</w:t>
      </w:r>
      <w:r>
        <w:rPr>
          <w:rStyle w:val="DataTypeTok"/>
        </w:rPr>
        <w:t xml:space="preserve">"cycle_events.payload_t"</w:t>
      </w:r>
      <w:r>
        <w:rPr>
          <w:rStyle w:val="FunctionTok"/>
        </w:rPr>
        <w:t xml:space="preserve">:</w:t>
      </w:r>
      <w:r>
        <w:rPr>
          <w:rStyle w:val="NormalTok"/>
        </w:rPr>
        <w:t xml:space="preserve"> </w:t>
      </w:r>
      <w:r>
        <w:rPr>
          <w:rStyle w:val="FunctionTok"/>
        </w:rPr>
        <w:t xml:space="preserve">{</w:t>
      </w:r>
      <w:r>
        <w:rPr>
          <w:rStyle w:val="DataTypeTok"/>
        </w:rPr>
        <w:t xml:space="preserve">"count"</w:t>
      </w:r>
      <w:r>
        <w:rPr>
          <w:rStyle w:val="FunctionTok"/>
        </w:rPr>
        <w:t xml:space="preserve">:</w:t>
      </w:r>
      <w:r>
        <w:rPr>
          <w:rStyle w:val="NormalTok"/>
        </w:rPr>
        <w:t xml:space="preserve"> </w:t>
      </w:r>
      <w:r>
        <w:rPr>
          <w:rStyle w:val="DecValTok"/>
        </w:rPr>
        <w:t xml:space="preserve">0</w:t>
      </w:r>
      <w:r>
        <w:rPr>
          <w:rStyle w:val="FunctionTok"/>
        </w:rPr>
        <w:t xml:space="preserve">,</w:t>
      </w:r>
      <w:r>
        <w:rPr>
          <w:rStyle w:val="NormalTok"/>
        </w:rPr>
        <w:t xml:space="preserve"> </w:t>
      </w:r>
      <w:r>
        <w:rPr>
          <w:rStyle w:val="DataTypeTok"/>
        </w:rPr>
        <w:t xml:space="preserve">"pct"</w:t>
      </w:r>
      <w:r>
        <w:rPr>
          <w:rStyle w:val="FunctionTok"/>
        </w:rPr>
        <w:t xml:space="preserve">:</w:t>
      </w:r>
      <w:r>
        <w:rPr>
          <w:rStyle w:val="NormalTok"/>
        </w:rPr>
        <w:t xml:space="preserve"> </w:t>
      </w:r>
      <w:r>
        <w:rPr>
          <w:rStyle w:val="FloatTok"/>
        </w:rPr>
        <w:t xml:space="preserve">0.0</w:t>
      </w:r>
      <w:r>
        <w:rPr>
          <w:rStyle w:val="FunctionTok"/>
        </w:rPr>
        <w:t xml:space="preserve">}},</w:t>
      </w:r>
      <w:r>
        <w:br/>
      </w:r>
      <w:r>
        <w:rPr>
          <w:rStyle w:val="NormalTok"/>
        </w:rPr>
        <w:t xml:space="preserve">  </w:t>
      </w:r>
      <w:r>
        <w:rPr>
          <w:rStyle w:val="DataTypeTok"/>
        </w:rPr>
        <w:t xml:space="preserve">"duplicate_records"</w:t>
      </w:r>
      <w:r>
        <w:rPr>
          <w:rStyle w:val="FunctionTok"/>
        </w:rPr>
        <w:t xml:space="preserve">:</w:t>
      </w:r>
      <w:r>
        <w:rPr>
          <w:rStyle w:val="NormalTok"/>
        </w:rPr>
        <w:t xml:space="preserve">      </w:t>
      </w:r>
      <w:r>
        <w:rPr>
          <w:rStyle w:val="FunctionTok"/>
        </w:rPr>
        <w:t xml:space="preserve">{</w:t>
      </w:r>
      <w:r>
        <w:rPr>
          <w:rStyle w:val="DataTypeTok"/>
        </w:rPr>
        <w:t xml:space="preserve">"cycle_events"</w:t>
      </w:r>
      <w:r>
        <w:rPr>
          <w:rStyle w:val="FunctionTok"/>
        </w:rPr>
        <w:t xml:space="preserve">:</w:t>
      </w:r>
      <w:r>
        <w:rPr>
          <w:rStyle w:val="NormalTok"/>
        </w:rPr>
        <w:t xml:space="preserve"> </w:t>
      </w:r>
      <w:r>
        <w:rPr>
          <w:rStyle w:val="FunctionTok"/>
        </w:rPr>
        <w:t xml:space="preserve">{</w:t>
      </w:r>
      <w:r>
        <w:rPr>
          <w:rStyle w:val="DataTypeTok"/>
        </w:rPr>
        <w:t xml:space="preserve">"duplicate_cycle_id_count"</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"fk_integrity"</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"cycle_events.equipment_id"</w:t>
      </w:r>
      <w:r>
        <w:rPr>
          <w:rStyle w:val="FunctionTok"/>
        </w:rPr>
        <w:t xml:space="preserve">:</w:t>
      </w:r>
      <w:r>
        <w:rPr>
          <w:rStyle w:val="NormalTok"/>
        </w:rPr>
        <w:t xml:space="preserve"> </w:t>
      </w:r>
      <w:r>
        <w:rPr>
          <w:rStyle w:val="FunctionTok"/>
        </w:rPr>
        <w:t xml:space="preserve">{</w:t>
      </w:r>
      <w:r>
        <w:rPr>
          <w:rStyle w:val="DataTypeTok"/>
        </w:rPr>
        <w:t xml:space="preserve">"orphan_count"</w:t>
      </w:r>
      <w:r>
        <w:rPr>
          <w:rStyle w:val="FunctionTok"/>
        </w:rPr>
        <w:t xml:space="preserve">:</w:t>
      </w:r>
      <w:r>
        <w:rPr>
          <w:rStyle w:val="NormalTok"/>
        </w:rPr>
        <w:t xml:space="preserve"> </w:t>
      </w:r>
      <w:r>
        <w:rPr>
          <w:rStyle w:val="DecValTok"/>
        </w:rPr>
        <w:t xml:space="preserve">0</w:t>
      </w:r>
      <w:r>
        <w:rPr>
          <w:rStyle w:val="FunctionTok"/>
        </w:rPr>
        <w:t xml:space="preserve">,</w:t>
      </w:r>
      <w:r>
        <w:rPr>
          <w:rStyle w:val="NormalTok"/>
        </w:rPr>
        <w:t xml:space="preserve"> </w:t>
      </w:r>
      <w:r>
        <w:rPr>
          <w:rStyle w:val="DataTypeTok"/>
        </w:rPr>
        <w:t xml:space="preserve">"status"</w:t>
      </w:r>
      <w:r>
        <w:rPr>
          <w:rStyle w:val="FunctionTok"/>
        </w:rPr>
        <w:t xml:space="preserve">:</w:t>
      </w:r>
      <w:r>
        <w:rPr>
          <w:rStyle w:val="NormalTok"/>
        </w:rPr>
        <w:t xml:space="preserve"> </w:t>
      </w:r>
      <w:r>
        <w:rPr>
          <w:rStyle w:val="StringTok"/>
        </w:rPr>
        <w:t xml:space="preserve">"PASS"</w:t>
      </w:r>
      <w:r>
        <w:rPr>
          <w:rStyle w:val="FunctionTok"/>
        </w:rPr>
        <w:t xml:space="preserve">},</w:t>
      </w:r>
      <w:r>
        <w:br/>
      </w:r>
      <w:r>
        <w:rPr>
          <w:rStyle w:val="NormalTok"/>
        </w:rPr>
        <w:t xml:space="preserve">    </w:t>
      </w:r>
      <w:r>
        <w:rPr>
          <w:rStyle w:val="DataTypeTok"/>
        </w:rPr>
        <w:t xml:space="preserve">"cycle_events.shift_id"</w:t>
      </w:r>
      <w:r>
        <w:rPr>
          <w:rStyle w:val="FunctionTok"/>
        </w:rPr>
        <w:t xml:space="preserve">:</w:t>
      </w:r>
      <w:r>
        <w:rPr>
          <w:rStyle w:val="NormalTok"/>
        </w:rPr>
        <w:t xml:space="preserve">     </w:t>
      </w:r>
      <w:r>
        <w:rPr>
          <w:rStyle w:val="FunctionTok"/>
        </w:rPr>
        <w:t xml:space="preserve">{</w:t>
      </w:r>
      <w:r>
        <w:rPr>
          <w:rStyle w:val="DataTypeTok"/>
        </w:rPr>
        <w:t xml:space="preserve">"orphan_count"</w:t>
      </w:r>
      <w:r>
        <w:rPr>
          <w:rStyle w:val="FunctionTok"/>
        </w:rPr>
        <w:t xml:space="preserve">:</w:t>
      </w:r>
      <w:r>
        <w:rPr>
          <w:rStyle w:val="NormalTok"/>
        </w:rPr>
        <w:t xml:space="preserve"> </w:t>
      </w:r>
      <w:r>
        <w:rPr>
          <w:rStyle w:val="DecValTok"/>
        </w:rPr>
        <w:t xml:space="preserve">0</w:t>
      </w:r>
      <w:r>
        <w:rPr>
          <w:rStyle w:val="FunctionTok"/>
        </w:rPr>
        <w:t xml:space="preserve">,</w:t>
      </w:r>
      <w:r>
        <w:rPr>
          <w:rStyle w:val="NormalTok"/>
        </w:rPr>
        <w:t xml:space="preserve"> </w:t>
      </w:r>
      <w:r>
        <w:rPr>
          <w:rStyle w:val="DataTypeTok"/>
        </w:rPr>
        <w:t xml:space="preserve">"status"</w:t>
      </w:r>
      <w:r>
        <w:rPr>
          <w:rStyle w:val="FunctionTok"/>
        </w:rPr>
        <w:t xml:space="preserve">:</w:t>
      </w:r>
      <w:r>
        <w:rPr>
          <w:rStyle w:val="NormalTok"/>
        </w:rPr>
        <w:t xml:space="preserve"> </w:t>
      </w:r>
      <w:r>
        <w:rPr>
          <w:rStyle w:val="StringTok"/>
        </w:rPr>
        <w:t xml:space="preserve">"PASS"</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"timestamp_validation"</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"event_time_before_shift_end"</w:t>
      </w:r>
      <w:r>
        <w:rPr>
          <w:rStyle w:val="FunctionTok"/>
        </w:rPr>
        <w:t xml:space="preserve">:</w:t>
      </w:r>
      <w:r>
        <w:rPr>
          <w:rStyle w:val="NormalTok"/>
        </w:rPr>
        <w:t xml:space="preserve">            </w:t>
      </w:r>
      <w:r>
        <w:rPr>
          <w:rStyle w:val="FunctionTok"/>
        </w:rPr>
        <w:t xml:space="preserve">{</w:t>
      </w:r>
      <w:r>
        <w:rPr>
          <w:rStyle w:val="DataTypeTok"/>
        </w:rPr>
        <w:t xml:space="preserve">"violations"</w:t>
      </w:r>
      <w:r>
        <w:rPr>
          <w:rStyle w:val="FunctionTok"/>
        </w:rPr>
        <w:t xml:space="preserve">:</w:t>
      </w:r>
      <w:r>
        <w:rPr>
          <w:rStyle w:val="NormalTok"/>
        </w:rPr>
        <w:t xml:space="preserve"> </w:t>
      </w:r>
      <w:r>
        <w:rPr>
          <w:rStyle w:val="DecValTok"/>
        </w:rPr>
        <w:t xml:space="preserve">0</w:t>
      </w:r>
      <w:r>
        <w:rPr>
          <w:rStyle w:val="FunctionTok"/>
        </w:rPr>
        <w:t xml:space="preserve">,</w:t>
      </w:r>
      <w:r>
        <w:rPr>
          <w:rStyle w:val="NormalTok"/>
        </w:rPr>
        <w:t xml:space="preserve"> </w:t>
      </w:r>
      <w:r>
        <w:rPr>
          <w:rStyle w:val="DataTypeTok"/>
        </w:rPr>
        <w:t xml:space="preserve">"status"</w:t>
      </w:r>
      <w:r>
        <w:rPr>
          <w:rStyle w:val="FunctionTok"/>
        </w:rPr>
        <w:t xml:space="preserve">:</w:t>
      </w:r>
      <w:r>
        <w:rPr>
          <w:rStyle w:val="NormalTok"/>
        </w:rPr>
        <w:t xml:space="preserve"> </w:t>
      </w:r>
      <w:r>
        <w:rPr>
          <w:rStyle w:val="StringTok"/>
        </w:rPr>
        <w:t xml:space="preserve">"PASS"</w:t>
      </w:r>
      <w:r>
        <w:rPr>
          <w:rStyle w:val="FunctionTok"/>
        </w:rPr>
        <w:t xml:space="preserve">},</w:t>
      </w:r>
      <w:r>
        <w:br/>
      </w:r>
      <w:r>
        <w:rPr>
          <w:rStyle w:val="NormalTok"/>
        </w:rPr>
        <w:t xml:space="preserve">    </w:t>
      </w:r>
      <w:r>
        <w:rPr>
          <w:rStyle w:val="DataTypeTok"/>
        </w:rPr>
        <w:t xml:space="preserve">"event_time_ordering_within_cycle"</w:t>
      </w:r>
      <w:r>
        <w:rPr>
          <w:rStyle w:val="FunctionTok"/>
        </w:rPr>
        <w:t xml:space="preserve">:</w:t>
      </w:r>
      <w:r>
        <w:rPr>
          <w:rStyle w:val="NormalTok"/>
        </w:rPr>
        <w:t xml:space="preserve">       </w:t>
      </w:r>
      <w:r>
        <w:rPr>
          <w:rStyle w:val="FunctionTok"/>
        </w:rPr>
        <w:t xml:space="preserve">{</w:t>
      </w:r>
      <w:r>
        <w:rPr>
          <w:rStyle w:val="DataTypeTok"/>
        </w:rPr>
        <w:t xml:space="preserve">"violations"</w:t>
      </w:r>
      <w:r>
        <w:rPr>
          <w:rStyle w:val="FunctionTok"/>
        </w:rPr>
        <w:t xml:space="preserve">:</w:t>
      </w:r>
      <w:r>
        <w:rPr>
          <w:rStyle w:val="NormalTok"/>
        </w:rPr>
        <w:t xml:space="preserve"> </w:t>
      </w:r>
      <w:r>
        <w:rPr>
          <w:rStyle w:val="DecValTok"/>
        </w:rPr>
        <w:t xml:space="preserve">0</w:t>
      </w:r>
      <w:r>
        <w:rPr>
          <w:rStyle w:val="FunctionTok"/>
        </w:rPr>
        <w:t xml:space="preserve">,</w:t>
      </w:r>
      <w:r>
        <w:rPr>
          <w:rStyle w:val="NormalTok"/>
        </w:rPr>
        <w:t xml:space="preserve"> </w:t>
      </w:r>
      <w:r>
        <w:rPr>
          <w:rStyle w:val="DataTypeTok"/>
        </w:rPr>
        <w:t xml:space="preserve">"status"</w:t>
      </w:r>
      <w:r>
        <w:rPr>
          <w:rStyle w:val="FunctionTok"/>
        </w:rPr>
        <w:t xml:space="preserve">:</w:t>
      </w:r>
      <w:r>
        <w:rPr>
          <w:rStyle w:val="NormalTok"/>
        </w:rPr>
        <w:t xml:space="preserve"> </w:t>
      </w:r>
      <w:r>
        <w:rPr>
          <w:rStyle w:val="StringTok"/>
        </w:rPr>
        <w:t xml:space="preserve">"PASS"</w:t>
      </w:r>
      <w:r>
        <w:rPr>
          <w:rStyle w:val="FunctionTok"/>
        </w:rPr>
        <w:t xml:space="preserve">},</w:t>
      </w:r>
      <w:r>
        <w:br/>
      </w:r>
      <w:r>
        <w:rPr>
          <w:rStyle w:val="NormalTok"/>
        </w:rPr>
        <w:t xml:space="preserve">    </w:t>
      </w:r>
      <w:r>
        <w:rPr>
          <w:rStyle w:val="DataTypeTok"/>
        </w:rPr>
        <w:t xml:space="preserve">"ingestion_after_event_time"</w:t>
      </w:r>
      <w:r>
        <w:rPr>
          <w:rStyle w:val="FunctionTok"/>
        </w:rPr>
        <w:t xml:space="preserve">:</w:t>
      </w:r>
      <w:r>
        <w:rPr>
          <w:rStyle w:val="NormalTok"/>
        </w:rPr>
        <w:t xml:space="preserve">             </w:t>
      </w:r>
      <w:r>
        <w:rPr>
          <w:rStyle w:val="FunctionTok"/>
        </w:rPr>
        <w:t xml:space="preserve">{</w:t>
      </w:r>
      <w:r>
        <w:rPr>
          <w:rStyle w:val="DataTypeTok"/>
        </w:rPr>
        <w:t xml:space="preserve">"violations"</w:t>
      </w:r>
      <w:r>
        <w:rPr>
          <w:rStyle w:val="FunctionTok"/>
        </w:rPr>
        <w:t xml:space="preserve">:</w:t>
      </w:r>
      <w:r>
        <w:rPr>
          <w:rStyle w:val="NormalTok"/>
        </w:rPr>
        <w:t xml:space="preserve"> </w:t>
      </w:r>
      <w:r>
        <w:rPr>
          <w:rStyle w:val="DecValTok"/>
        </w:rPr>
        <w:t xml:space="preserve">0</w:t>
      </w:r>
      <w:r>
        <w:rPr>
          <w:rStyle w:val="FunctionTok"/>
        </w:rPr>
        <w:t xml:space="preserve">,</w:t>
      </w:r>
      <w:r>
        <w:rPr>
          <w:rStyle w:val="NormalTok"/>
        </w:rPr>
        <w:t xml:space="preserve"> </w:t>
      </w:r>
      <w:r>
        <w:rPr>
          <w:rStyle w:val="DataTypeTok"/>
        </w:rPr>
        <w:t xml:space="preserve">"status"</w:t>
      </w:r>
      <w:r>
        <w:rPr>
          <w:rStyle w:val="FunctionTok"/>
        </w:rPr>
        <w:t xml:space="preserve">:</w:t>
      </w:r>
      <w:r>
        <w:rPr>
          <w:rStyle w:val="NormalTok"/>
        </w:rPr>
        <w:t xml:space="preserve"> </w:t>
      </w:r>
      <w:r>
        <w:rPr>
          <w:rStyle w:val="StringTok"/>
        </w:rPr>
        <w:t xml:space="preserve">"PASS"</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"outlier_detection"</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"cycle_events.payload_t"</w:t>
      </w:r>
      <w:r>
        <w:rPr>
          <w:rStyle w:val="FunctionTok"/>
        </w:rPr>
        <w:t xml:space="preserve">:</w:t>
      </w:r>
      <w:r>
        <w:rPr>
          <w:rStyle w:val="NormalTok"/>
        </w:rPr>
        <w:t xml:space="preserve">      </w:t>
      </w:r>
      <w:r>
        <w:rPr>
          <w:rStyle w:val="FunctionTok"/>
        </w:rPr>
        <w:t xml:space="preserve">{</w:t>
      </w:r>
      <w:r>
        <w:rPr>
          <w:rStyle w:val="DataTypeTok"/>
        </w:rPr>
        <w:t xml:space="preserve">"q1"</w:t>
      </w:r>
      <w:r>
        <w:rPr>
          <w:rStyle w:val="FunctionTok"/>
        </w:rPr>
        <w:t xml:space="preserve">:</w:t>
      </w:r>
      <w:r>
        <w:rPr>
          <w:rStyle w:val="NormalTok"/>
        </w:rPr>
        <w:t xml:space="preserve"> </w:t>
      </w:r>
      <w:r>
        <w:rPr>
          <w:rStyle w:val="FloatTok"/>
        </w:rPr>
        <w:t xml:space="preserve">283.0</w:t>
      </w:r>
      <w:r>
        <w:rPr>
          <w:rStyle w:val="FunctionTok"/>
        </w:rPr>
        <w:t xml:space="preserve">,</w:t>
      </w:r>
      <w:r>
        <w:rPr>
          <w:rStyle w:val="NormalTok"/>
        </w:rPr>
        <w:t xml:space="preserve"> </w:t>
      </w:r>
      <w:r>
        <w:rPr>
          <w:rStyle w:val="DataTypeTok"/>
        </w:rPr>
        <w:t xml:space="preserve">"median"</w:t>
      </w:r>
      <w:r>
        <w:rPr>
          <w:rStyle w:val="FunctionTok"/>
        </w:rPr>
        <w:t xml:space="preserve">:</w:t>
      </w:r>
      <w:r>
        <w:rPr>
          <w:rStyle w:val="NormalTok"/>
        </w:rPr>
        <w:t xml:space="preserve"> </w:t>
      </w:r>
      <w:r>
        <w:rPr>
          <w:rStyle w:val="FloatTok"/>
        </w:rPr>
        <w:t xml:space="preserve">288.5</w:t>
      </w:r>
      <w:r>
        <w:rPr>
          <w:rStyle w:val="FunctionTok"/>
        </w:rPr>
        <w:t xml:space="preserve">,</w:t>
      </w:r>
      <w:r>
        <w:rPr>
          <w:rStyle w:val="NormalTok"/>
        </w:rPr>
        <w:t xml:space="preserve"> </w:t>
      </w:r>
      <w:r>
        <w:rPr>
          <w:rStyle w:val="DataTypeTok"/>
        </w:rPr>
        <w:t xml:space="preserve">"q3"</w:t>
      </w:r>
      <w:r>
        <w:rPr>
          <w:rStyle w:val="FunctionTok"/>
        </w:rPr>
        <w:t xml:space="preserve">:</w:t>
      </w:r>
      <w:r>
        <w:rPr>
          <w:rStyle w:val="NormalTok"/>
        </w:rPr>
        <w:t xml:space="preserve"> </w:t>
      </w:r>
      <w:r>
        <w:rPr>
          <w:rStyle w:val="FloatTok"/>
        </w:rPr>
        <w:t xml:space="preserve">293.0</w:t>
      </w:r>
      <w:r>
        <w:rPr>
          <w:rStyle w:val="FunctionTok"/>
        </w:rPr>
        <w:t xml:space="preserve">,</w:t>
      </w:r>
      <w:r>
        <w:rPr>
          <w:rStyle w:val="NormalTok"/>
        </w:rPr>
        <w:t xml:space="preserve"> </w:t>
      </w:r>
      <w:r>
        <w:rPr>
          <w:rStyle w:val="DataTypeTok"/>
        </w:rPr>
        <w:t xml:space="preserve">"iqr_outliers"</w:t>
      </w:r>
      <w:r>
        <w:rPr>
          <w:rStyle w:val="FunctionTok"/>
        </w:rPr>
        <w:t xml:space="preserve">:</w:t>
      </w:r>
      <w:r>
        <w:rPr>
          <w:rStyle w:val="NormalTok"/>
        </w:rPr>
        <w:t xml:space="preserve"> </w:t>
      </w:r>
      <w:r>
        <w:rPr>
          <w:rStyle w:val="DecValTok"/>
        </w:rPr>
        <w:t xml:space="preserve">4</w:t>
      </w:r>
      <w:r>
        <w:rPr>
          <w:rStyle w:val="FunctionTok"/>
        </w:rPr>
        <w:t xml:space="preserve">},</w:t>
      </w:r>
      <w:r>
        <w:br/>
      </w:r>
      <w:r>
        <w:rPr>
          <w:rStyle w:val="NormalTok"/>
        </w:rPr>
        <w:t xml:space="preserve">    </w:t>
      </w:r>
      <w:r>
        <w:rPr>
          <w:rStyle w:val="DataTypeTok"/>
        </w:rPr>
        <w:t xml:space="preserve">"cycle_events.cycle_total_min"</w:t>
      </w:r>
      <w:r>
        <w:rPr>
          <w:rStyle w:val="FunctionTok"/>
        </w:rPr>
        <w:t xml:space="preserve">:{</w:t>
      </w:r>
      <w:r>
        <w:rPr>
          <w:rStyle w:val="DataTypeTok"/>
        </w:rPr>
        <w:t xml:space="preserve">"q1"</w:t>
      </w:r>
      <w:r>
        <w:rPr>
          <w:rStyle w:val="FunctionTok"/>
        </w:rPr>
        <w:t xml:space="preserve">:</w:t>
      </w:r>
      <w:r>
        <w:rPr>
          <w:rStyle w:val="NormalTok"/>
        </w:rPr>
        <w:t xml:space="preserve"> </w:t>
      </w:r>
      <w:r>
        <w:rPr>
          <w:rStyle w:val="FloatTok"/>
        </w:rPr>
        <w:t xml:space="preserve">18.9</w:t>
      </w:r>
      <w:r>
        <w:rPr>
          <w:rStyle w:val="FunctionTok"/>
        </w:rPr>
        <w:t xml:space="preserve">,</w:t>
      </w:r>
      <w:r>
        <w:rPr>
          <w:rStyle w:val="NormalTok"/>
        </w:rPr>
        <w:t xml:space="preserve">  </w:t>
      </w:r>
      <w:r>
        <w:rPr>
          <w:rStyle w:val="DataTypeTok"/>
        </w:rPr>
        <w:t xml:space="preserve">"median"</w:t>
      </w:r>
      <w:r>
        <w:rPr>
          <w:rStyle w:val="FunctionTok"/>
        </w:rPr>
        <w:t xml:space="preserve">:</w:t>
      </w:r>
      <w:r>
        <w:rPr>
          <w:rStyle w:val="NormalTok"/>
        </w:rPr>
        <w:t xml:space="preserve"> </w:t>
      </w:r>
      <w:r>
        <w:rPr>
          <w:rStyle w:val="FloatTok"/>
        </w:rPr>
        <w:t xml:space="preserve">19.5</w:t>
      </w:r>
      <w:r>
        <w:rPr>
          <w:rStyle w:val="FunctionTok"/>
        </w:rPr>
        <w:t xml:space="preserve">,</w:t>
      </w:r>
      <w:r>
        <w:rPr>
          <w:rStyle w:val="NormalTok"/>
        </w:rPr>
        <w:t xml:space="preserve">  </w:t>
      </w:r>
      <w:r>
        <w:rPr>
          <w:rStyle w:val="DataTypeTok"/>
        </w:rPr>
        <w:t xml:space="preserve">"q3"</w:t>
      </w:r>
      <w:r>
        <w:rPr>
          <w:rStyle w:val="FunctionTok"/>
        </w:rPr>
        <w:t xml:space="preserve">:</w:t>
      </w:r>
      <w:r>
        <w:rPr>
          <w:rStyle w:val="NormalTok"/>
        </w:rPr>
        <w:t xml:space="preserve"> </w:t>
      </w:r>
      <w:r>
        <w:rPr>
          <w:rStyle w:val="FloatTok"/>
        </w:rPr>
        <w:t xml:space="preserve">20.2</w:t>
      </w:r>
      <w:r>
        <w:rPr>
          <w:rStyle w:val="FunctionTok"/>
        </w:rPr>
        <w:t xml:space="preserve">,</w:t>
      </w:r>
      <w:r>
        <w:rPr>
          <w:rStyle w:val="NormalTok"/>
        </w:rPr>
        <w:t xml:space="preserve">  </w:t>
      </w:r>
      <w:r>
        <w:rPr>
          <w:rStyle w:val="DataTypeTok"/>
        </w:rPr>
        <w:t xml:space="preserve">"iqr_outliers"</w:t>
      </w:r>
      <w:r>
        <w:rPr>
          <w:rStyle w:val="FunctionTok"/>
        </w:rPr>
        <w:t xml:space="preserve">:</w:t>
      </w:r>
      <w:r>
        <w:rPr>
          <w:rStyle w:val="NormalTok"/>
        </w:rPr>
        <w:t xml:space="preserve"> </w:t>
      </w:r>
      <w:r>
        <w:rPr>
          <w:rStyle w:val="DecValTok"/>
        </w:rPr>
        <w:t xml:space="preserve">12</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"ontology_validation"</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"delay_category_values"</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"found"</w:t>
      </w:r>
      <w:r>
        <w:rPr>
          <w:rStyle w:val="FunctionTok"/>
        </w:rPr>
        <w:t xml:space="preserve">:</w:t>
      </w:r>
      <w:r>
        <w:rPr>
          <w:rStyle w:val="NormalTok"/>
        </w:rPr>
        <w:t xml:space="preserve"> </w:t>
      </w:r>
      <w:r>
        <w:rPr>
          <w:rStyle w:val="OtherTok"/>
        </w:rPr>
        <w:t xml:space="preserve">[</w:t>
      </w:r>
      <w:r>
        <w:rPr>
          <w:rStyle w:val="StringTok"/>
        </w:rPr>
        <w:t xml:space="preserve">"Scheduled"</w:t>
      </w:r>
      <w:r>
        <w:rPr>
          <w:rStyle w:val="OtherTok"/>
        </w:rPr>
        <w:t xml:space="preserve">,</w:t>
      </w:r>
      <w:r>
        <w:rPr>
          <w:rStyle w:val="StringTok"/>
        </w:rPr>
        <w:t xml:space="preserve">"Equipment"</w:t>
      </w:r>
      <w:r>
        <w:rPr>
          <w:rStyle w:val="OtherTok"/>
        </w:rPr>
        <w:t xml:space="preserve">,</w:t>
      </w:r>
      <w:r>
        <w:rPr>
          <w:rStyle w:val="StringTok"/>
        </w:rPr>
        <w:t xml:space="preserve">"Operational"</w:t>
      </w:r>
      <w:r>
        <w:rPr>
          <w:rStyle w:val="OtherTok"/>
        </w:rPr>
        <w:t xml:space="preserve">,</w:t>
      </w:r>
      <w:r>
        <w:rPr>
          <w:rStyle w:val="StringTok"/>
        </w:rPr>
        <w:t xml:space="preserve">"Standby"</w:t>
      </w:r>
      <w:r>
        <w:rPr>
          <w:rStyle w:val="OtherTok"/>
        </w:rPr>
        <w:t xml:space="preserve">,</w:t>
      </w:r>
      <w:r>
        <w:rPr>
          <w:rStyle w:val="StringTok"/>
        </w:rPr>
        <w:t xml:space="preserve">"External"</w:t>
      </w:r>
      <w:r>
        <w:rPr>
          <w:rStyle w:val="OtherTok"/>
        </w:rPr>
        <w:t xml:space="preserve">,</w:t>
      </w:r>
      <w:r>
        <w:rPr>
          <w:rStyle w:val="StringTok"/>
        </w:rPr>
        <w:t xml:space="preserve">"Process"</w:t>
      </w:r>
      <w:r>
        <w:rPr>
          <w:rStyle w:val="OtherTok"/>
        </w:rPr>
        <w:t xml:space="preserve">]</w:t>
      </w:r>
      <w:r>
        <w:rPr>
          <w:rStyle w:val="FunctionTok"/>
        </w:rPr>
        <w:t xml:space="preserve">,</w:t>
      </w:r>
      <w:r>
        <w:br/>
      </w:r>
      <w:r>
        <w:rPr>
          <w:rStyle w:val="NormalTok"/>
        </w:rPr>
        <w:t xml:space="preserve">      </w:t>
      </w:r>
      <w:r>
        <w:rPr>
          <w:rStyle w:val="DataTypeTok"/>
        </w:rPr>
        <w:t xml:space="preserve">"non_canonical"</w:t>
      </w:r>
      <w:r>
        <w:rPr>
          <w:rStyle w:val="FunctionTok"/>
        </w:rPr>
        <w:t xml:space="preserve">:</w:t>
      </w:r>
      <w:r>
        <w:rPr>
          <w:rStyle w:val="NormalTok"/>
        </w:rPr>
        <w:t xml:space="preserve"> </w:t>
      </w:r>
      <w:r>
        <w:rPr>
          <w:rStyle w:val="OtherTok"/>
        </w:rPr>
        <w:t xml:space="preserve">[]</w:t>
      </w:r>
      <w:r>
        <w:rPr>
          <w:rStyle w:val="FunctionTok"/>
        </w:rPr>
        <w:t xml:space="preserve">,</w:t>
      </w:r>
      <w:r>
        <w:rPr>
          <w:rStyle w:val="NormalTok"/>
        </w:rPr>
        <w:t xml:space="preserve"> </w:t>
      </w:r>
      <w:r>
        <w:rPr>
          <w:rStyle w:val="DataTypeTok"/>
        </w:rPr>
        <w:t xml:space="preserve">"status"</w:t>
      </w:r>
      <w:r>
        <w:rPr>
          <w:rStyle w:val="FunctionTok"/>
        </w:rPr>
        <w:t xml:space="preserve">:</w:t>
      </w:r>
      <w:r>
        <w:rPr>
          <w:rStyle w:val="NormalTok"/>
        </w:rPr>
        <w:t xml:space="preserve"> </w:t>
      </w:r>
      <w:r>
        <w:rPr>
          <w:rStyle w:val="StringTok"/>
        </w:rPr>
        <w:t xml:space="preserve">"PASS"</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"kpi_readiness"</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"PROD.TPH"</w:t>
      </w:r>
      <w:r>
        <w:rPr>
          <w:rStyle w:val="FunctionTok"/>
        </w:rPr>
        <w:t xml:space="preserve">:</w:t>
      </w:r>
      <w:r>
        <w:rPr>
          <w:rStyle w:val="NormalTok"/>
        </w:rPr>
        <w:t xml:space="preserve">      </w:t>
      </w:r>
      <w:r>
        <w:rPr>
          <w:rStyle w:val="FunctionTok"/>
        </w:rPr>
        <w:t xml:space="preserve">{</w:t>
      </w:r>
      <w:r>
        <w:rPr>
          <w:rStyle w:val="DataTypeTok"/>
        </w:rPr>
        <w:t xml:space="preserve">"ready"</w:t>
      </w:r>
      <w:r>
        <w:rPr>
          <w:rStyle w:val="FunctionTok"/>
        </w:rPr>
        <w:t xml:space="preserve">:</w:t>
      </w:r>
      <w:r>
        <w:rPr>
          <w:rStyle w:val="NormalTok"/>
        </w:rPr>
        <w:t xml:space="preserve"> </w:t>
      </w:r>
      <w:r>
        <w:rPr>
          <w:rStyle w:val="KeywordTok"/>
        </w:rPr>
        <w:t xml:space="preserve">true</w:t>
      </w:r>
      <w:r>
        <w:rPr>
          <w:rStyle w:val="FunctionTok"/>
        </w:rPr>
        <w:t xml:space="preserve">},</w:t>
      </w:r>
      <w:r>
        <w:br/>
      </w:r>
      <w:r>
        <w:rPr>
          <w:rStyle w:val="NormalTok"/>
        </w:rPr>
        <w:t xml:space="preserve">    </w:t>
      </w:r>
      <w:r>
        <w:rPr>
          <w:rStyle w:val="DataTypeTok"/>
        </w:rPr>
        <w:t xml:space="preserve">"UTIL.PA"</w:t>
      </w:r>
      <w:r>
        <w:rPr>
          <w:rStyle w:val="FunctionTok"/>
        </w:rPr>
        <w:t xml:space="preserve">:</w:t>
      </w:r>
      <w:r>
        <w:rPr>
          <w:rStyle w:val="NormalTok"/>
        </w:rPr>
        <w:t xml:space="preserve">       </w:t>
      </w:r>
      <w:r>
        <w:rPr>
          <w:rStyle w:val="FunctionTok"/>
        </w:rPr>
        <w:t xml:space="preserve">{</w:t>
      </w:r>
      <w:r>
        <w:rPr>
          <w:rStyle w:val="DataTypeTok"/>
        </w:rPr>
        <w:t xml:space="preserve">"ready"</w:t>
      </w:r>
      <w:r>
        <w:rPr>
          <w:rStyle w:val="FunctionTok"/>
        </w:rPr>
        <w:t xml:space="preserve">:</w:t>
      </w:r>
      <w:r>
        <w:rPr>
          <w:rStyle w:val="NormalTok"/>
        </w:rPr>
        <w:t xml:space="preserve"> </w:t>
      </w:r>
      <w:r>
        <w:rPr>
          <w:rStyle w:val="KeywordTok"/>
        </w:rPr>
        <w:t xml:space="preserve">true</w:t>
      </w:r>
      <w:r>
        <w:rPr>
          <w:rStyle w:val="FunctionTok"/>
        </w:rPr>
        <w:t xml:space="preserve">},</w:t>
      </w:r>
      <w:r>
        <w:br/>
      </w:r>
      <w:r>
        <w:rPr>
          <w:rStyle w:val="NormalTok"/>
        </w:rPr>
        <w:t xml:space="preserve">    </w:t>
      </w:r>
      <w:r>
        <w:rPr>
          <w:rStyle w:val="DataTypeTok"/>
        </w:rPr>
        <w:t xml:space="preserve">"QUAL.Recovery"</w:t>
      </w:r>
      <w:r>
        <w:rPr>
          <w:rStyle w:val="FunctionTok"/>
        </w:rPr>
        <w:t xml:space="preserve">:</w:t>
      </w:r>
      <w:r>
        <w:rPr>
          <w:rStyle w:val="NormalTok"/>
        </w:rPr>
        <w:t xml:space="preserve"> </w:t>
      </w:r>
      <w:r>
        <w:rPr>
          <w:rStyle w:val="FunctionTok"/>
        </w:rPr>
        <w:t xml:space="preserve">{</w:t>
      </w:r>
      <w:r>
        <w:rPr>
          <w:rStyle w:val="DataTypeTok"/>
        </w:rPr>
        <w:t xml:space="preserve">"ready"</w:t>
      </w:r>
      <w:r>
        <w:rPr>
          <w:rStyle w:val="FunctionTok"/>
        </w:rPr>
        <w:t xml:space="preserve">:</w:t>
      </w:r>
      <w:r>
        <w:rPr>
          <w:rStyle w:val="NormalTok"/>
        </w:rPr>
        <w:t xml:space="preserve"> </w:t>
      </w:r>
      <w:r>
        <w:rPr>
          <w:rStyle w:val="KeywordTok"/>
        </w:rPr>
        <w:t xml:space="preserve">false</w:t>
      </w:r>
      <w:r>
        <w:rPr>
          <w:rStyle w:val="FunctionTok"/>
        </w:rPr>
        <w:t xml:space="preserve">,</w:t>
      </w:r>
      <w:r>
        <w:rPr>
          <w:rStyle w:val="NormalTok"/>
        </w:rPr>
        <w:t xml:space="preserve"> </w:t>
      </w:r>
      <w:r>
        <w:rPr>
          <w:rStyle w:val="DataTypeTok"/>
        </w:rPr>
        <w:t xml:space="preserve">"reason"</w:t>
      </w:r>
      <w:r>
        <w:rPr>
          <w:rStyle w:val="FunctionTok"/>
        </w:rPr>
        <w:t xml:space="preserve">:</w:t>
      </w:r>
      <w:r>
        <w:rPr>
          <w:rStyle w:val="NormalTok"/>
        </w:rPr>
        <w:t xml:space="preserve"> </w:t>
      </w:r>
      <w:r>
        <w:rPr>
          <w:rStyle w:val="StringTok"/>
        </w:rPr>
        <w:t xml:space="preserve">"assay_events not in dataset"</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"kpi_readiness_score"</w:t>
      </w:r>
      <w:r>
        <w:rPr>
          <w:rStyle w:val="FunctionTok"/>
        </w:rPr>
        <w:t xml:space="preserve">:</w:t>
      </w:r>
      <w:r>
        <w:rPr>
          <w:rStyle w:val="NormalTok"/>
        </w:rPr>
        <w:t xml:space="preserve"> </w:t>
      </w:r>
      <w:r>
        <w:rPr>
          <w:rStyle w:val="FloatTok"/>
        </w:rPr>
        <w:t xml:space="preserve">0.944</w:t>
      </w:r>
      <w:r>
        <w:rPr>
          <w:rStyle w:val="FunctionTok"/>
        </w:rPr>
        <w:t xml:space="preserve">,</w:t>
      </w:r>
      <w:r>
        <w:br/>
      </w:r>
      <w:r>
        <w:rPr>
          <w:rStyle w:val="NormalTok"/>
        </w:rPr>
        <w:t xml:space="preserve">  </w:t>
      </w:r>
      <w:r>
        <w:rPr>
          <w:rStyle w:val="DataTypeTok"/>
        </w:rPr>
        <w:t xml:space="preserve">"overall_status"</w:t>
      </w:r>
      <w:r>
        <w:rPr>
          <w:rStyle w:val="FunctionTok"/>
        </w:rPr>
        <w:t xml:space="preserve">:</w:t>
      </w:r>
      <w:r>
        <w:rPr>
          <w:rStyle w:val="NormalTok"/>
        </w:rPr>
        <w:t xml:space="preserve"> </w:t>
      </w:r>
      <w:r>
        <w:rPr>
          <w:rStyle w:val="StringTok"/>
        </w:rPr>
        <w:t xml:space="preserve">"PASS"</w:t>
      </w:r>
      <w:r>
        <w:rPr>
          <w:rStyle w:val="FunctionTok"/>
        </w:rPr>
        <w:t xml:space="preserve">,</w:t>
      </w:r>
      <w:r>
        <w:br/>
      </w:r>
      <w:r>
        <w:rPr>
          <w:rStyle w:val="NormalTok"/>
        </w:rPr>
        <w:t xml:space="preserve">  </w:t>
      </w:r>
      <w:r>
        <w:rPr>
          <w:rStyle w:val="DataTypeTok"/>
        </w:rPr>
        <w:t xml:space="preserve">"certification_eligible"</w:t>
      </w:r>
      <w:r>
        <w:rPr>
          <w:rStyle w:val="FunctionTok"/>
        </w:rPr>
        <w:t xml:space="preserve">:</w:t>
      </w:r>
      <w:r>
        <w:rPr>
          <w:rStyle w:val="NormalTok"/>
        </w:rPr>
        <w:t xml:space="preserve"> </w:t>
      </w:r>
      <w:r>
        <w:rPr>
          <w:rStyle w:val="KeywordTok"/>
        </w:rPr>
        <w:t xml:space="preserve">true</w:t>
      </w:r>
      <w:r>
        <w:br/>
      </w:r>
      <w:r>
        <w:rPr>
          <w:rStyle w:val="FunctionTok"/>
        </w:rPr>
        <w:t xml:space="preserve">}</w:t>
      </w:r>
    </w:p>
    <w:p>
      <w:pPr>
        <w:pStyle w:val="FirstParagraph"/>
      </w:pPr>
      <w:r>
        <w:t xml:space="preserve">The report is also rendered as </w:t>
      </w:r>
      <w:r>
        <w:rPr>
          <w:rStyle w:val="VerbatimChar"/>
        </w:rPr>
        <w:t xml:space="preserve">quality_report.html</w:t>
      </w:r>
      <w:r>
        <w:t xml:space="preserve"> with a colour-coded summary card and KPI readiness heatmap. </w:t>
      </w:r>
      <w:r>
        <w:rPr>
          <w:bCs/>
          <w:b/>
        </w:rPr>
        <w:t xml:space="preserve">CI/CD integration:</w:t>
      </w:r>
      <w:r>
        <w:t xml:space="preserve"> </w:t>
      </w:r>
      <w:r>
        <w:rPr>
          <w:rStyle w:val="VerbatimChar"/>
        </w:rPr>
        <w:t xml:space="preserve">FAIL</w:t>
      </w:r>
      <w:r>
        <w:t xml:space="preserve"> on schema validation, any FK integrity check, any timestamp ordering violation, or </w:t>
      </w:r>
      <w:r>
        <w:rPr>
          <w:rStyle w:val="VerbatimChar"/>
        </w:rPr>
        <w:t xml:space="preserve">kpi_readiness_score &lt; 0.80</w:t>
      </w:r>
      <w:r>
        <w:t xml:space="preserve"> for a Canonical or Golden dataset blocks the build. Warnings (e.g. outlier percentage above 5%) are logged but non-blocking.</w:t>
      </w:r>
    </w:p>
    <w:bookmarkEnd w:id="42"/>
    <w:bookmarkEnd w:id="43"/>
    <w:bookmarkStart w:id="45" w:name="shared-tables"/>
    <w:p>
      <w:pPr>
        <w:pStyle w:val="Heading2"/>
      </w:pPr>
      <w:bookmarkStart w:id="930016" w:name="_TocLBSv1_930016"/>
      <w:r>
        <w:t xml:space="preserve">Shared tables</w:t>
      </w:r>
      <w:bookmarkEnd w:id="930016"/>
    </w:p>
    <w:bookmarkStart w:id="44" w:name="sharedshift_calendar.csv"/>
    <w:p>
      <w:pPr>
        <w:pStyle w:val="Heading3"/>
      </w:pPr>
      <w:bookmarkStart w:id="930017" w:name="_TocLBSv1_930017"/>
      <w:r>
        <w:t xml:space="preserve">shared/shift_calendar.csv</w:t>
      </w:r>
      <w:bookmarkEnd w:id="930017"/>
    </w:p>
    <w:p>
      <w:pPr>
        <w:pStyle w:val="FirstParagraph"/>
      </w:pPr>
      <w:r>
        <w:rPr>
          <w:bCs/>
          <w:b/>
        </w:rPr>
        <w:t xml:space="preserve">Purpose.</w:t>
      </w:r>
      <w:r>
        <w:t xml:space="preserve"> The master shift reference table. All event tables carry a </w:t>
      </w:r>
      <w:r>
        <w:rPr>
          <w:rStyle w:val="VerbatimChar"/>
        </w:rPr>
        <w:t xml:space="preserve">shift_id</w:t>
      </w:r>
      <w:r>
        <w:t xml:space="preserve"> FK into this table. Without it, “shift” is ambiguous across timezones and mine types.</w:t>
      </w:r>
    </w:p>
    <w:p>
      <w:pPr>
        <w:pStyle w:val="BodyText"/>
      </w:pPr>
      <w:r>
        <w:rPr>
          <w:bCs/>
          <w:b/>
        </w:rPr>
        <w:t xml:space="preserve">Primary key.</w:t>
      </w:r>
      <w:r>
        <w:t xml:space="preserve"> </w:t>
      </w:r>
      <w:r>
        <w:rPr>
          <w:rStyle w:val="VerbatimChar"/>
        </w:rPr>
        <w:t xml:space="preserve">shift_id</w:t>
      </w:r>
    </w:p>
    <w:p>
      <w:pPr>
        <w:pStyle w:val="BodyText"/>
      </w:pPr>
      <w:r>
        <w:rPr>
          <w:bCs/>
          <w:b/>
        </w:rPr>
        <w:t xml:space="preserve">Columns.</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Column</w:t>
            </w:r>
          </w:p>
        </w:tc>
        <w:tc>
          <w:tcPr/>
          <w:p>
            <w:pPr>
              <w:pStyle w:val="Compact"/>
              <w:jc w:val="left"/>
            </w:pPr>
            <w:r>
              <w:t xml:space="preserve">Type</w:t>
            </w:r>
          </w:p>
        </w:tc>
        <w:tc>
          <w:tcPr/>
          <w:p>
            <w:pPr>
              <w:pStyle w:val="Compact"/>
              <w:jc w:val="left"/>
            </w:pPr>
            <w:r>
              <w:t xml:space="preserve">Unit</w:t>
            </w:r>
          </w:p>
        </w:tc>
        <w:tc>
          <w:tcPr/>
          <w:p>
            <w:pPr>
              <w:pStyle w:val="Compact"/>
              <w:jc w:val="left"/>
            </w:pPr>
            <w:r>
              <w:t xml:space="preserve">Description</w:t>
            </w:r>
          </w:p>
        </w:tc>
      </w:tr>
      <w:tr>
        <w:tc>
          <w:tcPr/>
          <w:p>
            <w:pPr>
              <w:pStyle w:val="Compact"/>
              <w:jc w:val="left"/>
            </w:pPr>
            <w:r>
              <w:rPr>
                <w:rStyle w:val="VerbatimChar"/>
              </w:rPr>
              <w:t xml:space="preserve">shift_id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Unique shift identifier, format </w:t>
            </w:r>
            <w:r>
              <w:rPr>
                <w:rStyle w:val="VerbatimChar"/>
              </w:rPr>
              <w:t xml:space="preserve">{MINE}_{YYYY-MM-DD}_{D|N}</w:t>
            </w:r>
            <w:r>
              <w:t xml:space="preserve"> e.g. </w:t>
            </w:r>
            <w:r>
              <w:rPr>
                <w:rStyle w:val="VerbatimChar"/>
              </w:rPr>
              <w:t xml:space="preserve">PIL_2026-01-15_D</w:t>
            </w:r>
          </w:p>
        </w:tc>
      </w:tr>
      <w:tr>
        <w:tc>
          <w:tcPr/>
          <w:p>
            <w:pPr>
              <w:pStyle w:val="Compact"/>
              <w:jc w:val="left"/>
            </w:pPr>
            <w:r>
              <w:rPr>
                <w:rStyle w:val="VerbatimChar"/>
              </w:rPr>
              <w:t xml:space="preserve">mine_code</w:t>
            </w:r>
          </w:p>
        </w:tc>
        <w:tc>
          <w:tcPr/>
          <w:p>
            <w:pPr>
              <w:pStyle w:val="Compact"/>
              <w:jc w:val="left"/>
            </w:pPr>
            <w:r>
              <w:t xml:space="preserve">string</w:t>
            </w:r>
          </w:p>
        </w:tc>
        <w:tc>
          <w:tcPr/>
          <w:p>
            <w:pPr>
              <w:pStyle w:val="Compact"/>
              <w:jc w:val="left"/>
            </w:pPr>
            <w:r>
              <w:t xml:space="preserve">—</w:t>
            </w:r>
          </w:p>
        </w:tc>
        <w:tc>
          <w:tcPr/>
          <w:p>
            <w:pPr>
              <w:pStyle w:val="Compact"/>
              <w:jc w:val="left"/>
            </w:pPr>
            <w:r>
              <w:t xml:space="preserve">Mine code: </w:t>
            </w:r>
            <w:r>
              <w:rPr>
                <w:rStyle w:val="VerbatimChar"/>
              </w:rPr>
              <w:t xml:space="preserve">PIL</w:t>
            </w:r>
            <w:r>
              <w:t xml:space="preserve">, </w:t>
            </w:r>
            <w:r>
              <w:rPr>
                <w:rStyle w:val="VerbatimChar"/>
              </w:rPr>
              <w:t xml:space="preserve">BWS</w:t>
            </w:r>
            <w:r>
              <w:t xml:space="preserve">, </w:t>
            </w:r>
            <w:r>
              <w:rPr>
                <w:rStyle w:val="VerbatimChar"/>
              </w:rPr>
              <w:t xml:space="preserve">BDM</w:t>
            </w:r>
            <w:r>
              <w:t xml:space="preserve">, </w:t>
            </w:r>
            <w:r>
              <w:rPr>
                <w:rStyle w:val="VerbatimChar"/>
              </w:rPr>
              <w:t xml:space="preserve">AGM</w:t>
            </w:r>
            <w:r>
              <w:t xml:space="preserve">, </w:t>
            </w:r>
            <w:r>
              <w:rPr>
                <w:rStyle w:val="VerbatimChar"/>
              </w:rPr>
              <w:t xml:space="preserve">GVL</w:t>
            </w:r>
            <w:r>
              <w:t xml:space="preserve">, </w:t>
            </w:r>
            <w:r>
              <w:rPr>
                <w:rStyle w:val="VerbatimChar"/>
              </w:rPr>
              <w:t xml:space="preserve">BAX</w:t>
            </w:r>
            <w:r>
              <w:t xml:space="preserve">, </w:t>
            </w:r>
            <w:r>
              <w:rPr>
                <w:rStyle w:val="VerbatimChar"/>
              </w:rPr>
              <w:t xml:space="preserve">LMS</w:t>
            </w:r>
          </w:p>
        </w:tc>
      </w:tr>
      <w:tr>
        <w:tc>
          <w:tcPr/>
          <w:p>
            <w:pPr>
              <w:pStyle w:val="Compact"/>
              <w:jc w:val="left"/>
            </w:pPr>
            <w:r>
              <w:rPr>
                <w:rStyle w:val="VerbatimChar"/>
              </w:rPr>
              <w:t xml:space="preserve">shift_date</w:t>
            </w:r>
          </w:p>
        </w:tc>
        <w:tc>
          <w:tcPr/>
          <w:p>
            <w:pPr>
              <w:pStyle w:val="Compact"/>
              <w:jc w:val="left"/>
            </w:pPr>
            <w:r>
              <w:t xml:space="preserve">date</w:t>
            </w:r>
          </w:p>
        </w:tc>
        <w:tc>
          <w:tcPr/>
          <w:p>
            <w:pPr>
              <w:pStyle w:val="Compact"/>
              <w:jc w:val="left"/>
            </w:pPr>
            <w:r>
              <w:t xml:space="preserve">ISO 8601</w:t>
            </w:r>
          </w:p>
        </w:tc>
        <w:tc>
          <w:tcPr/>
          <w:p>
            <w:pPr>
              <w:pStyle w:val="Compact"/>
              <w:jc w:val="left"/>
            </w:pPr>
            <w:r>
              <w:t xml:space="preserve">Calendar date of the shift start</w:t>
            </w:r>
          </w:p>
        </w:tc>
      </w:tr>
      <w:tr>
        <w:tc>
          <w:tcPr/>
          <w:p>
            <w:pPr>
              <w:pStyle w:val="Compact"/>
              <w:jc w:val="left"/>
            </w:pPr>
            <w:r>
              <w:rPr>
                <w:rStyle w:val="VerbatimChar"/>
              </w:rPr>
              <w:t xml:space="preserve">shift_type</w:t>
            </w:r>
          </w:p>
        </w:tc>
        <w:tc>
          <w:tcPr/>
          <w:p>
            <w:pPr>
              <w:pStyle w:val="Compact"/>
              <w:jc w:val="left"/>
            </w:pPr>
            <w:r>
              <w:t xml:space="preserve">enum</w:t>
            </w:r>
          </w:p>
        </w:tc>
        <w:tc>
          <w:tcPr/>
          <w:p>
            <w:pPr>
              <w:pStyle w:val="Compact"/>
              <w:jc w:val="left"/>
            </w:pPr>
            <w:r>
              <w:t xml:space="preserve">—</w:t>
            </w:r>
          </w:p>
        </w:tc>
        <w:tc>
          <w:tcPr/>
          <w:p>
            <w:pPr>
              <w:pStyle w:val="Compact"/>
              <w:jc w:val="left"/>
            </w:pPr>
            <w:r>
              <w:rPr>
                <w:rStyle w:val="VerbatimChar"/>
              </w:rPr>
              <w:t xml:space="preserve">D</w:t>
            </w:r>
            <w:r>
              <w:t xml:space="preserve"> (day, 06:00–18:00) or </w:t>
            </w:r>
            <w:r>
              <w:rPr>
                <w:rStyle w:val="VerbatimChar"/>
              </w:rPr>
              <w:t xml:space="preserve">N</w:t>
            </w:r>
            <w:r>
              <w:t xml:space="preserve"> (night, 18:00–06:00+1)</w:t>
            </w:r>
          </w:p>
        </w:tc>
      </w:tr>
      <w:tr>
        <w:tc>
          <w:tcPr/>
          <w:p>
            <w:pPr>
              <w:pStyle w:val="Compact"/>
              <w:jc w:val="left"/>
            </w:pPr>
            <w:r>
              <w:rPr>
                <w:rStyle w:val="VerbatimChar"/>
              </w:rPr>
              <w:t xml:space="preserve">start_utc</w:t>
            </w:r>
          </w:p>
        </w:tc>
        <w:tc>
          <w:tcPr/>
          <w:p>
            <w:pPr>
              <w:pStyle w:val="Compact"/>
              <w:jc w:val="left"/>
            </w:pPr>
            <w:r>
              <w:t xml:space="preserve">datetime</w:t>
            </w:r>
          </w:p>
        </w:tc>
        <w:tc>
          <w:tcPr/>
          <w:p>
            <w:pPr>
              <w:pStyle w:val="Compact"/>
              <w:jc w:val="left"/>
            </w:pPr>
            <w:r>
              <w:t xml:space="preserve">UTC</w:t>
            </w:r>
          </w:p>
        </w:tc>
        <w:tc>
          <w:tcPr/>
          <w:p>
            <w:pPr>
              <w:pStyle w:val="Compact"/>
              <w:jc w:val="left"/>
            </w:pPr>
            <w:r>
              <w:t xml:space="preserve">Shift start timestamp</w:t>
            </w:r>
          </w:p>
        </w:tc>
      </w:tr>
      <w:tr>
        <w:tc>
          <w:tcPr/>
          <w:p>
            <w:pPr>
              <w:pStyle w:val="Compact"/>
              <w:jc w:val="left"/>
            </w:pPr>
            <w:r>
              <w:rPr>
                <w:rStyle w:val="VerbatimChar"/>
              </w:rPr>
              <w:t xml:space="preserve">end_utc</w:t>
            </w:r>
          </w:p>
        </w:tc>
        <w:tc>
          <w:tcPr/>
          <w:p>
            <w:pPr>
              <w:pStyle w:val="Compact"/>
              <w:jc w:val="left"/>
            </w:pPr>
            <w:r>
              <w:t xml:space="preserve">datetime</w:t>
            </w:r>
          </w:p>
        </w:tc>
        <w:tc>
          <w:tcPr/>
          <w:p>
            <w:pPr>
              <w:pStyle w:val="Compact"/>
              <w:jc w:val="left"/>
            </w:pPr>
            <w:r>
              <w:t xml:space="preserve">UTC</w:t>
            </w:r>
          </w:p>
        </w:tc>
        <w:tc>
          <w:tcPr/>
          <w:p>
            <w:pPr>
              <w:pStyle w:val="Compact"/>
              <w:jc w:val="left"/>
            </w:pPr>
            <w:r>
              <w:t xml:space="preserve">Shift end timestamp</w:t>
            </w:r>
          </w:p>
        </w:tc>
      </w:tr>
      <w:tr>
        <w:tc>
          <w:tcPr/>
          <w:p>
            <w:pPr>
              <w:pStyle w:val="Compact"/>
              <w:jc w:val="left"/>
            </w:pPr>
            <w:r>
              <w:rPr>
                <w:rStyle w:val="VerbatimChar"/>
              </w:rPr>
              <w:t xml:space="preserve">scheduled_h</w:t>
            </w:r>
          </w:p>
        </w:tc>
        <w:tc>
          <w:tcPr/>
          <w:p>
            <w:pPr>
              <w:pStyle w:val="Compact"/>
              <w:jc w:val="left"/>
            </w:pPr>
            <w:r>
              <w:t xml:space="preserve">float</w:t>
            </w:r>
          </w:p>
        </w:tc>
        <w:tc>
          <w:tcPr/>
          <w:p>
            <w:pPr>
              <w:pStyle w:val="Compact"/>
              <w:jc w:val="left"/>
            </w:pPr>
            <w:r>
              <w:t xml:space="preserve">hours</w:t>
            </w:r>
          </w:p>
        </w:tc>
        <w:tc>
          <w:tcPr/>
          <w:p>
            <w:pPr>
              <w:pStyle w:val="Compact"/>
              <w:jc w:val="left"/>
            </w:pPr>
            <w:r>
              <w:t xml:space="preserve">Scheduled duration (always 12.0 for standard shifts)</w:t>
            </w:r>
          </w:p>
        </w:tc>
      </w:tr>
      <w:tr>
        <w:tc>
          <w:tcPr/>
          <w:p>
            <w:pPr>
              <w:pStyle w:val="Compact"/>
              <w:jc w:val="left"/>
            </w:pPr>
            <w:r>
              <w:rPr>
                <w:rStyle w:val="VerbatimChar"/>
              </w:rPr>
              <w:t xml:space="preserve">planned_blast_h</w:t>
            </w:r>
          </w:p>
        </w:tc>
        <w:tc>
          <w:tcPr/>
          <w:p>
            <w:pPr>
              <w:pStyle w:val="Compact"/>
              <w:jc w:val="left"/>
            </w:pPr>
            <w:r>
              <w:t xml:space="preserve">float</w:t>
            </w:r>
          </w:p>
        </w:tc>
        <w:tc>
          <w:tcPr/>
          <w:p>
            <w:pPr>
              <w:pStyle w:val="Compact"/>
              <w:jc w:val="left"/>
            </w:pPr>
            <w:r>
              <w:t xml:space="preserve">hours</w:t>
            </w:r>
          </w:p>
        </w:tc>
        <w:tc>
          <w:tcPr/>
          <w:p>
            <w:pPr>
              <w:pStyle w:val="Compact"/>
              <w:jc w:val="left"/>
            </w:pPr>
            <w:r>
              <w:t xml:space="preserve">Planned blast downtime within this shift (from planning.csv)</w:t>
            </w:r>
          </w:p>
        </w:tc>
      </w:tr>
      <w:tr>
        <w:tc>
          <w:tcPr/>
          <w:p>
            <w:pPr>
              <w:pStyle w:val="Compact"/>
              <w:jc w:val="left"/>
            </w:pPr>
            <w:r>
              <w:rPr>
                <w:rStyle w:val="VerbatimChar"/>
              </w:rPr>
              <w:t xml:space="preserve">crew</w:t>
            </w:r>
          </w:p>
        </w:tc>
        <w:tc>
          <w:tcPr/>
          <w:p>
            <w:pPr>
              <w:pStyle w:val="Compact"/>
              <w:jc w:val="left"/>
            </w:pPr>
            <w:r>
              <w:t xml:space="preserve">string</w:t>
            </w:r>
          </w:p>
        </w:tc>
        <w:tc>
          <w:tcPr/>
          <w:p>
            <w:pPr>
              <w:pStyle w:val="Compact"/>
              <w:jc w:val="left"/>
            </w:pPr>
            <w:r>
              <w:t xml:space="preserve">—</w:t>
            </w:r>
          </w:p>
        </w:tc>
        <w:tc>
          <w:tcPr/>
          <w:p>
            <w:pPr>
              <w:pStyle w:val="Compact"/>
              <w:jc w:val="left"/>
            </w:pPr>
            <w:r>
              <w:t xml:space="preserve">Crew identifier (A, B, C, D)</w:t>
            </w:r>
          </w:p>
        </w:tc>
      </w:tr>
    </w:tbl>
    <w:p>
      <w:pPr>
        <w:pStyle w:val="BodyText"/>
      </w:pPr>
      <w:r>
        <w:rPr>
          <w:bCs/>
          <w:b/>
        </w:rPr>
        <w:t xml:space="preserve">Example records.</w:t>
      </w:r>
    </w:p>
    <w:p>
      <w:pPr>
        <w:pStyle w:val="SourceCode"/>
      </w:pPr>
      <w:r>
        <w:rPr>
          <w:rStyle w:val="VerbatimChar"/>
        </w:rPr>
        <w:t xml:space="preserve">shift_id,mine_code,shift_date,shift_type,start_utc,end_utc,scheduled_h,planned_blast_h,crew</w:t>
      </w:r>
      <w:r>
        <w:br/>
      </w:r>
      <w:r>
        <w:rPr>
          <w:rStyle w:val="VerbatimChar"/>
        </w:rPr>
        <w:t xml:space="preserve">PIL_2026-01-15_D,PIL,2026-01-15,D,2026-01-14T22:00:00Z,2026-01-15T10:00:00Z,12.0,0.5,A</w:t>
      </w:r>
      <w:r>
        <w:br/>
      </w:r>
      <w:r>
        <w:rPr>
          <w:rStyle w:val="VerbatimChar"/>
        </w:rPr>
        <w:t xml:space="preserve">PIL_2026-01-15_N,PIL,2026-01-15,N,2026-01-15T10:00:00Z,2026-01-15T22:00:00Z,12.0,0.0,B</w:t>
      </w:r>
      <w:r>
        <w:br/>
      </w:r>
      <w:r>
        <w:rPr>
          <w:rStyle w:val="VerbatimChar"/>
        </w:rPr>
        <w:t xml:space="preserve">BWS_2026-01-15_D,BWS,2026-01-15,D,2026-01-14T22:00:00Z,2026-01-15T10:00:00Z,12.0,0.25,A</w:t>
      </w:r>
    </w:p>
    <w:p>
      <w:pPr>
        <w:pStyle w:val="FirstParagraph"/>
      </w:pPr>
      <w:r>
        <w:rPr>
          <w:bCs/>
          <w:b/>
        </w:rPr>
        <w:t xml:space="preserve">KPIs that consume this table.</w:t>
      </w:r>
      <w:r>
        <w:t xml:space="preserve"> All </w:t>
      </w:r>
      <w:r>
        <w:rPr>
          <w:rStyle w:val="VerbatimChar"/>
        </w:rPr>
        <w:t xml:space="preserve">UTIL.*</w:t>
      </w:r>
      <w:r>
        <w:t xml:space="preserve">, </w:t>
      </w:r>
      <w:r>
        <w:rPr>
          <w:rStyle w:val="VerbatimChar"/>
        </w:rPr>
        <w:t xml:space="preserve">DELAY.*</w:t>
      </w:r>
      <w:r>
        <w:t xml:space="preserve">, and </w:t>
      </w:r>
      <w:r>
        <w:rPr>
          <w:rStyle w:val="VerbatimChar"/>
        </w:rPr>
        <w:t xml:space="preserve">MAINT.*</w:t>
      </w:r>
      <w:r>
        <w:t xml:space="preserve"> KPIs use </w:t>
      </w:r>
      <w:r>
        <w:rPr>
          <w:rStyle w:val="VerbatimChar"/>
        </w:rPr>
        <w:t xml:space="preserve">scheduled_h</w:t>
      </w:r>
      <w:r>
        <w:t xml:space="preserve"> as the denominator for availability and utilisation calculations.</w:t>
      </w:r>
    </w:p>
    <w:bookmarkEnd w:id="44"/>
    <w:bookmarkEnd w:id="45"/>
    <w:bookmarkStart w:id="57" w:name="Xe864bd5a93fb74764ac7e419e09f5233ee90318"/>
    <w:p>
      <w:pPr>
        <w:pStyle w:val="Heading2"/>
      </w:pPr>
      <w:bookmarkStart w:id="930018" w:name="_TocLBSv1_930018"/>
      <w:r>
        <w:t xml:space="preserve">Core commodity tables — iron_ore (Pilbara Ridge)</w:t>
      </w:r>
      <w:bookmarkEnd w:id="930018"/>
    </w:p>
    <w:p>
      <w:pPr>
        <w:pStyle w:val="FirstParagraph"/>
      </w:pPr>
      <w:r>
        <w:t xml:space="preserve">The iron-ore dataset is the most fully specified. All other commodity datasets follow the same schema with commodity-specific extensions.</w:t>
      </w:r>
    </w:p>
    <w:bookmarkStart w:id="46" w:name="equipment.csv"/>
    <w:p>
      <w:pPr>
        <w:pStyle w:val="Heading3"/>
      </w:pPr>
      <w:bookmarkStart w:id="930019" w:name="_TocLBSv1_930019"/>
      <w:r>
        <w:t xml:space="preserve">equipment.csv</w:t>
      </w:r>
      <w:bookmarkEnd w:id="930019"/>
    </w:p>
    <w:p>
      <w:pPr>
        <w:pStyle w:val="FirstParagraph"/>
      </w:pPr>
      <w:r>
        <w:rPr>
          <w:bCs/>
          <w:b/>
        </w:rPr>
        <w:t xml:space="preserve">Purpose.</w:t>
      </w:r>
      <w:r>
        <w:t xml:space="preserve"> The master equipment registry. Every truck, shovel, and ancillary vehicle at Pilbara Ridge has one row here.</w:t>
      </w:r>
    </w:p>
    <w:p>
      <w:pPr>
        <w:pStyle w:val="BodyText"/>
      </w:pPr>
      <w:r>
        <w:rPr>
          <w:bCs/>
          <w:b/>
        </w:rPr>
        <w:t xml:space="preserve">Primary key.</w:t>
      </w:r>
      <w:r>
        <w:t xml:space="preserve"> </w:t>
      </w:r>
      <w:r>
        <w:rPr>
          <w:rStyle w:val="VerbatimChar"/>
        </w:rPr>
        <w:t xml:space="preserve">equipment_id</w:t>
      </w:r>
    </w:p>
    <w:p>
      <w:pPr>
        <w:pStyle w:val="BodyText"/>
      </w:pPr>
      <w:r>
        <w:rPr>
          <w:bCs/>
          <w:b/>
        </w:rPr>
        <w:t xml:space="preserve">Columns.</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Column</w:t>
            </w:r>
          </w:p>
        </w:tc>
        <w:tc>
          <w:tcPr/>
          <w:p>
            <w:pPr>
              <w:pStyle w:val="Compact"/>
              <w:jc w:val="left"/>
            </w:pPr>
            <w:r>
              <w:t xml:space="preserve">Type</w:t>
            </w:r>
          </w:p>
        </w:tc>
        <w:tc>
          <w:tcPr/>
          <w:p>
            <w:pPr>
              <w:pStyle w:val="Compact"/>
              <w:jc w:val="left"/>
            </w:pPr>
            <w:r>
              <w:t xml:space="preserve">Description</w:t>
            </w:r>
          </w:p>
        </w:tc>
      </w:tr>
      <w:tr>
        <w:tc>
          <w:tcPr/>
          <w:p>
            <w:pPr>
              <w:pStyle w:val="Compact"/>
              <w:jc w:val="left"/>
            </w:pPr>
            <w:r>
              <w:rPr>
                <w:rStyle w:val="VerbatimChar"/>
              </w:rPr>
              <w:t xml:space="preserve">equipment_id</w:t>
            </w:r>
          </w:p>
        </w:tc>
        <w:tc>
          <w:tcPr/>
          <w:p>
            <w:pPr>
              <w:pStyle w:val="Compact"/>
              <w:jc w:val="left"/>
            </w:pPr>
            <w:r>
              <w:t xml:space="preserve">string</w:t>
            </w:r>
          </w:p>
        </w:tc>
        <w:tc>
          <w:tcPr/>
          <w:p>
            <w:pPr>
              <w:pStyle w:val="Compact"/>
              <w:jc w:val="left"/>
            </w:pPr>
            <w:r>
              <w:t xml:space="preserve">Unique ID, format </w:t>
            </w:r>
            <w:r>
              <w:rPr>
                <w:rStyle w:val="VerbatimChar"/>
              </w:rPr>
              <w:t xml:space="preserve">{TYPE}-{NNN}</w:t>
            </w:r>
            <w:r>
              <w:t xml:space="preserve"> e.g. </w:t>
            </w:r>
            <w:r>
              <w:rPr>
                <w:rStyle w:val="VerbatimChar"/>
              </w:rPr>
              <w:t xml:space="preserve">T-101</w:t>
            </w:r>
            <w:r>
              <w:t xml:space="preserve">, </w:t>
            </w:r>
            <w:r>
              <w:rPr>
                <w:rStyle w:val="VerbatimChar"/>
              </w:rPr>
              <w:t xml:space="preserve">S-01</w:t>
            </w:r>
            <w:r>
              <w:t xml:space="preserve">, </w:t>
            </w:r>
            <w:r>
              <w:rPr>
                <w:rStyle w:val="VerbatimChar"/>
              </w:rPr>
              <w:t xml:space="preserve">D-01</w:t>
            </w:r>
          </w:p>
        </w:tc>
      </w:tr>
      <w:tr>
        <w:tc>
          <w:tcPr/>
          <w:p>
            <w:pPr>
              <w:pStyle w:val="Compact"/>
              <w:jc w:val="left"/>
            </w:pPr>
            <w:r>
              <w:rPr>
                <w:rStyle w:val="VerbatimChar"/>
              </w:rPr>
              <w:t xml:space="preserve">equipment_type</w:t>
            </w:r>
          </w:p>
        </w:tc>
        <w:tc>
          <w:tcPr/>
          <w:p>
            <w:pPr>
              <w:pStyle w:val="Compact"/>
              <w:jc w:val="left"/>
            </w:pPr>
            <w:r>
              <w:t xml:space="preserve">enum</w:t>
            </w:r>
          </w:p>
        </w:tc>
        <w:tc>
          <w:tcPr/>
          <w:p>
            <w:pPr>
              <w:pStyle w:val="Compact"/>
              <w:jc w:val="left"/>
            </w:pPr>
            <w:r>
              <w:rPr>
                <w:rStyle w:val="VerbatimChar"/>
              </w:rPr>
              <w:t xml:space="preserve">Haul Truck</w:t>
            </w:r>
            <w:r>
              <w:t xml:space="preserve">, </w:t>
            </w:r>
            <w:r>
              <w:rPr>
                <w:rStyle w:val="VerbatimChar"/>
              </w:rPr>
              <w:t xml:space="preserve">Electric Shovel</w:t>
            </w:r>
            <w:r>
              <w:t xml:space="preserve">, </w:t>
            </w:r>
            <w:r>
              <w:rPr>
                <w:rStyle w:val="VerbatimChar"/>
              </w:rPr>
              <w:t xml:space="preserve">Hydraulic Excavator</w:t>
            </w:r>
            <w:r>
              <w:t xml:space="preserve">, </w:t>
            </w:r>
            <w:r>
              <w:rPr>
                <w:rStyle w:val="VerbatimChar"/>
              </w:rPr>
              <w:t xml:space="preserve">Dozer</w:t>
            </w:r>
            <w:r>
              <w:t xml:space="preserve">, </w:t>
            </w:r>
            <w:r>
              <w:rPr>
                <w:rStyle w:val="VerbatimChar"/>
              </w:rPr>
              <w:t xml:space="preserve">Grader</w:t>
            </w:r>
            <w:r>
              <w:t xml:space="preserve">, </w:t>
            </w:r>
            <w:r>
              <w:rPr>
                <w:rStyle w:val="VerbatimChar"/>
              </w:rPr>
              <w:t xml:space="preserve">Drill</w:t>
            </w:r>
            <w:r>
              <w:t xml:space="preserve">, </w:t>
            </w:r>
            <w:r>
              <w:rPr>
                <w:rStyle w:val="VerbatimChar"/>
              </w:rPr>
              <w:t xml:space="preserve">Crusher</w:t>
            </w:r>
            <w:r>
              <w:t xml:space="preserve">, </w:t>
            </w:r>
            <w:r>
              <w:rPr>
                <w:rStyle w:val="VerbatimChar"/>
              </w:rPr>
              <w:t xml:space="preserve">Water Cart</w:t>
            </w:r>
          </w:p>
        </w:tc>
      </w:tr>
      <w:tr>
        <w:tc>
          <w:tcPr/>
          <w:p>
            <w:pPr>
              <w:pStyle w:val="Compact"/>
              <w:jc w:val="left"/>
            </w:pPr>
            <w:r>
              <w:rPr>
                <w:rStyle w:val="VerbatimChar"/>
              </w:rPr>
              <w:t xml:space="preserve">model</w:t>
            </w:r>
          </w:p>
        </w:tc>
        <w:tc>
          <w:tcPr/>
          <w:p>
            <w:pPr>
              <w:pStyle w:val="Compact"/>
              <w:jc w:val="left"/>
            </w:pPr>
            <w:r>
              <w:t xml:space="preserve">string</w:t>
            </w:r>
          </w:p>
        </w:tc>
        <w:tc>
          <w:tcPr/>
          <w:p>
            <w:pPr>
              <w:pStyle w:val="Compact"/>
              <w:jc w:val="left"/>
            </w:pPr>
            <w:r>
              <w:t xml:space="preserve">Manufacturer model, e.g. </w:t>
            </w:r>
            <w:r>
              <w:rPr>
                <w:rStyle w:val="VerbatimChar"/>
              </w:rPr>
              <w:t xml:space="preserve">Komatsu 930E-5</w:t>
            </w:r>
            <w:r>
              <w:t xml:space="preserve">, </w:t>
            </w:r>
            <w:r>
              <w:rPr>
                <w:rStyle w:val="VerbatimChar"/>
              </w:rPr>
              <w:t xml:space="preserve">P&amp;H 4100XPC</w:t>
            </w:r>
          </w:p>
        </w:tc>
      </w:tr>
      <w:tr>
        <w:tc>
          <w:tcPr/>
          <w:p>
            <w:pPr>
              <w:pStyle w:val="Compact"/>
              <w:jc w:val="left"/>
            </w:pPr>
            <w:r>
              <w:rPr>
                <w:rStyle w:val="VerbatimChar"/>
              </w:rPr>
              <w:t xml:space="preserve">rated_payload_t</w:t>
            </w:r>
          </w:p>
        </w:tc>
        <w:tc>
          <w:tcPr/>
          <w:p>
            <w:pPr>
              <w:pStyle w:val="Compact"/>
              <w:jc w:val="left"/>
            </w:pPr>
            <w:r>
              <w:t xml:space="preserve">float</w:t>
            </w:r>
          </w:p>
        </w:tc>
        <w:tc>
          <w:tcPr/>
          <w:p>
            <w:pPr>
              <w:pStyle w:val="Compact"/>
              <w:jc w:val="left"/>
            </w:pPr>
            <w:r>
              <w:t xml:space="preserve">Rated payload (tonnes); </w:t>
            </w:r>
            <w:r>
              <w:rPr>
                <w:rStyle w:val="VerbatimChar"/>
              </w:rPr>
              <w:t xml:space="preserve">null</w:t>
            </w:r>
            <w:r>
              <w:t xml:space="preserve"> for non-haul equipment</w:t>
            </w:r>
          </w:p>
        </w:tc>
      </w:tr>
      <w:tr>
        <w:tc>
          <w:tcPr/>
          <w:p>
            <w:pPr>
              <w:pStyle w:val="Compact"/>
              <w:jc w:val="left"/>
            </w:pPr>
            <w:r>
              <w:rPr>
                <w:rStyle w:val="VerbatimChar"/>
              </w:rPr>
              <w:t xml:space="preserve">rated_capacity_bcm</w:t>
            </w:r>
          </w:p>
        </w:tc>
        <w:tc>
          <w:tcPr/>
          <w:p>
            <w:pPr>
              <w:pStyle w:val="Compact"/>
              <w:jc w:val="left"/>
            </w:pPr>
            <w:r>
              <w:t xml:space="preserve">float</w:t>
            </w:r>
          </w:p>
        </w:tc>
        <w:tc>
          <w:tcPr/>
          <w:p>
            <w:pPr>
              <w:pStyle w:val="Compact"/>
              <w:jc w:val="left"/>
            </w:pPr>
            <w:r>
              <w:t xml:space="preserve">Bucket/dipper capacity (BCM); </w:t>
            </w:r>
            <w:r>
              <w:rPr>
                <w:rStyle w:val="VerbatimChar"/>
              </w:rPr>
              <w:t xml:space="preserve">null</w:t>
            </w:r>
            <w:r>
              <w:t xml:space="preserve"> for trucks</w:t>
            </w:r>
          </w:p>
        </w:tc>
      </w:tr>
      <w:tr>
        <w:tc>
          <w:tcPr/>
          <w:p>
            <w:pPr>
              <w:pStyle w:val="Compact"/>
              <w:jc w:val="left"/>
            </w:pPr>
            <w:r>
              <w:rPr>
                <w:rStyle w:val="VerbatimChar"/>
              </w:rPr>
              <w:t xml:space="preserve">fuel_type</w:t>
            </w:r>
          </w:p>
        </w:tc>
        <w:tc>
          <w:tcPr/>
          <w:p>
            <w:pPr>
              <w:pStyle w:val="Compact"/>
              <w:jc w:val="left"/>
            </w:pPr>
            <w:r>
              <w:t xml:space="preserve">enum</w:t>
            </w:r>
          </w:p>
        </w:tc>
        <w:tc>
          <w:tcPr/>
          <w:p>
            <w:pPr>
              <w:pStyle w:val="Compact"/>
              <w:jc w:val="left"/>
            </w:pPr>
            <w:r>
              <w:rPr>
                <w:rStyle w:val="VerbatimChar"/>
              </w:rPr>
              <w:t xml:space="preserve">Diesel</w:t>
            </w:r>
            <w:r>
              <w:t xml:space="preserve">, </w:t>
            </w:r>
            <w:r>
              <w:rPr>
                <w:rStyle w:val="VerbatimChar"/>
              </w:rPr>
              <w:t xml:space="preserve">Electric</w:t>
            </w:r>
            <w:r>
              <w:t xml:space="preserve">, </w:t>
            </w:r>
            <w:r>
              <w:rPr>
                <w:rStyle w:val="VerbatimChar"/>
              </w:rPr>
              <w:t xml:space="preserve">Hybrid</w:t>
            </w:r>
          </w:p>
        </w:tc>
      </w:tr>
      <w:tr>
        <w:tc>
          <w:tcPr/>
          <w:p>
            <w:pPr>
              <w:pStyle w:val="Compact"/>
              <w:jc w:val="left"/>
            </w:pPr>
            <w:r>
              <w:rPr>
                <w:rStyle w:val="VerbatimChar"/>
              </w:rPr>
              <w:t xml:space="preserve">commissioned_date</w:t>
            </w:r>
          </w:p>
        </w:tc>
        <w:tc>
          <w:tcPr/>
          <w:p>
            <w:pPr>
              <w:pStyle w:val="Compact"/>
              <w:jc w:val="left"/>
            </w:pPr>
            <w:r>
              <w:t xml:space="preserve">date</w:t>
            </w:r>
          </w:p>
        </w:tc>
        <w:tc>
          <w:tcPr/>
          <w:p>
            <w:pPr>
              <w:pStyle w:val="Compact"/>
              <w:jc w:val="left"/>
            </w:pPr>
            <w:r>
              <w:t xml:space="preserve">Date equipment entered service</w:t>
            </w:r>
          </w:p>
        </w:tc>
      </w:tr>
      <w:tr>
        <w:tc>
          <w:tcPr/>
          <w:p>
            <w:pPr>
              <w:pStyle w:val="Compact"/>
              <w:jc w:val="left"/>
            </w:pPr>
            <w:r>
              <w:rPr>
                <w:rStyle w:val="VerbatimChar"/>
              </w:rPr>
              <w:t xml:space="preserve">current_status</w:t>
            </w:r>
          </w:p>
        </w:tc>
        <w:tc>
          <w:tcPr/>
          <w:p>
            <w:pPr>
              <w:pStyle w:val="Compact"/>
              <w:jc w:val="left"/>
            </w:pPr>
            <w:r>
              <w:t xml:space="preserve">enum</w:t>
            </w:r>
          </w:p>
        </w:tc>
        <w:tc>
          <w:tcPr/>
          <w:p>
            <w:pPr>
              <w:pStyle w:val="Compact"/>
              <w:jc w:val="left"/>
            </w:pPr>
            <w:r>
              <w:rPr>
                <w:rStyle w:val="VerbatimChar"/>
              </w:rPr>
              <w:t xml:space="preserve">Active</w:t>
            </w:r>
            <w:r>
              <w:t xml:space="preserve">, </w:t>
            </w:r>
            <w:r>
              <w:rPr>
                <w:rStyle w:val="VerbatimChar"/>
              </w:rPr>
              <w:t xml:space="preserve">Parked</w:t>
            </w:r>
            <w:r>
              <w:t xml:space="preserve">, </w:t>
            </w:r>
            <w:r>
              <w:rPr>
                <w:rStyle w:val="VerbatimChar"/>
              </w:rPr>
              <w:t xml:space="preserve">Under Maintenance</w:t>
            </w:r>
            <w:r>
              <w:t xml:space="preserve">, </w:t>
            </w:r>
            <w:r>
              <w:rPr>
                <w:rStyle w:val="VerbatimChar"/>
              </w:rPr>
              <w:t xml:space="preserve">Decommissioned</w:t>
            </w:r>
          </w:p>
        </w:tc>
      </w:tr>
      <w:tr>
        <w:tc>
          <w:tcPr/>
          <w:p>
            <w:pPr>
              <w:pStyle w:val="Compact"/>
              <w:jc w:val="left"/>
            </w:pPr>
            <w:r>
              <w:rPr>
                <w:rStyle w:val="VerbatimChar"/>
              </w:rPr>
              <w:t xml:space="preserve">fleet_id</w:t>
            </w:r>
          </w:p>
        </w:tc>
        <w:tc>
          <w:tcPr/>
          <w:p>
            <w:pPr>
              <w:pStyle w:val="Compact"/>
              <w:jc w:val="left"/>
            </w:pPr>
            <w:r>
              <w:t xml:space="preserve">string</w:t>
            </w:r>
          </w:p>
        </w:tc>
        <w:tc>
          <w:tcPr/>
          <w:p>
            <w:pPr>
              <w:pStyle w:val="Compact"/>
              <w:jc w:val="left"/>
            </w:pPr>
            <w:r>
              <w:t xml:space="preserve">Fleet assignment, e.g. </w:t>
            </w:r>
            <w:r>
              <w:rPr>
                <w:rStyle w:val="VerbatimChar"/>
              </w:rPr>
              <w:t xml:space="preserve">FL-NORTH</w:t>
            </w:r>
            <w:r>
              <w:t xml:space="preserve">, </w:t>
            </w:r>
            <w:r>
              <w:rPr>
                <w:rStyle w:val="VerbatimChar"/>
              </w:rPr>
              <w:t xml:space="preserve">FL-SOUTH</w:t>
            </w:r>
            <w:r>
              <w:t xml:space="preserve">, </w:t>
            </w:r>
            <w:r>
              <w:rPr>
                <w:rStyle w:val="VerbatimChar"/>
              </w:rPr>
              <w:t xml:space="preserve">SH-01</w:t>
            </w:r>
          </w:p>
        </w:tc>
      </w:tr>
      <w:tr>
        <w:tc>
          <w:tcPr/>
          <w:p>
            <w:pPr>
              <w:pStyle w:val="Compact"/>
              <w:jc w:val="left"/>
            </w:pPr>
            <w:r>
              <w:rPr>
                <w:rStyle w:val="VerbatimChar"/>
              </w:rPr>
              <w:t xml:space="preserve">mine_code</w:t>
            </w:r>
          </w:p>
        </w:tc>
        <w:tc>
          <w:tcPr/>
          <w:p>
            <w:pPr>
              <w:pStyle w:val="Compact"/>
              <w:jc w:val="left"/>
            </w:pPr>
            <w:r>
              <w:t xml:space="preserve">string</w:t>
            </w:r>
          </w:p>
        </w:tc>
        <w:tc>
          <w:tcPr/>
          <w:p>
            <w:pPr>
              <w:pStyle w:val="Compact"/>
              <w:jc w:val="left"/>
            </w:pPr>
            <w:r>
              <w:t xml:space="preserve">FK → shared/shift_calendar.csv </w:t>
            </w:r>
            <w:r>
              <w:rPr>
                <w:rStyle w:val="VerbatimChar"/>
              </w:rPr>
              <w:t xml:space="preserve">mine_code</w:t>
            </w:r>
          </w:p>
        </w:tc>
      </w:tr>
    </w:tbl>
    <w:p>
      <w:pPr>
        <w:pStyle w:val="BodyText"/>
      </w:pPr>
      <w:r>
        <w:rPr>
          <w:bCs/>
          <w:b/>
        </w:rPr>
        <w:t xml:space="preserve">Example records.</w:t>
      </w:r>
    </w:p>
    <w:p>
      <w:pPr>
        <w:pStyle w:val="SourceCode"/>
      </w:pPr>
      <w:r>
        <w:rPr>
          <w:rStyle w:val="VerbatimChar"/>
        </w:rPr>
        <w:t xml:space="preserve">equipment_id,equipment_type,model,rated_payload_t,fuel_type,fleet_id,mine_code</w:t>
      </w:r>
      <w:r>
        <w:br/>
      </w:r>
      <w:r>
        <w:rPr>
          <w:rStyle w:val="VerbatimChar"/>
        </w:rPr>
        <w:t xml:space="preserve">T-101,Haul Truck,Komatsu 930E-5,290,Diesel,FL-NORTH,PIL</w:t>
      </w:r>
      <w:r>
        <w:br/>
      </w:r>
      <w:r>
        <w:rPr>
          <w:rStyle w:val="VerbatimChar"/>
        </w:rPr>
        <w:t xml:space="preserve">T-102,Haul Truck,Komatsu 930E-5,290,Diesel,FL-NORTH,PIL</w:t>
      </w:r>
      <w:r>
        <w:br/>
      </w:r>
      <w:r>
        <w:rPr>
          <w:rStyle w:val="VerbatimChar"/>
        </w:rPr>
        <w:t xml:space="preserve">T-201,Haul Truck,CAT 797F,363,Diesel,FL-SOUTH,PIL</w:t>
      </w:r>
      <w:r>
        <w:br/>
      </w:r>
      <w:r>
        <w:rPr>
          <w:rStyle w:val="VerbatimChar"/>
        </w:rPr>
        <w:t xml:space="preserve">S-01,Electric Shovel,P&amp;H 4100XPC,,Electric,SH-01,PIL</w:t>
      </w:r>
      <w:r>
        <w:br/>
      </w:r>
      <w:r>
        <w:rPr>
          <w:rStyle w:val="VerbatimChar"/>
        </w:rPr>
        <w:t xml:space="preserve">S-02,Electric Shovel,P&amp;H 4100XPC,,Electric,SH-02,PIL</w:t>
      </w:r>
      <w:r>
        <w:br/>
      </w:r>
      <w:r>
        <w:rPr>
          <w:rStyle w:val="VerbatimChar"/>
        </w:rPr>
        <w:t xml:space="preserve">D-01,Dozer,CAT D11T,,Diesel,ANC-01,PIL</w:t>
      </w:r>
    </w:p>
    <w:p>
      <w:pPr>
        <w:pStyle w:val="FirstParagraph"/>
      </w:pPr>
      <w:r>
        <w:rPr>
          <w:bCs/>
          <w:b/>
        </w:rPr>
        <w:t xml:space="preserve">Corresponding ontology.</w:t>
      </w:r>
      <w:r>
        <w:t xml:space="preserve"> </w:t>
      </w:r>
      <w:r>
        <w:rPr>
          <w:rStyle w:val="VerbatimChar"/>
        </w:rPr>
        <w:t xml:space="preserve">Equipment</w:t>
      </w:r>
      <w:r>
        <w:t xml:space="preserve"> entity (Architecture Handbook); </w:t>
      </w:r>
      <w:r>
        <w:rPr>
          <w:rStyle w:val="VerbatimChar"/>
        </w:rPr>
        <w:t xml:space="preserve">Fleet</w:t>
      </w:r>
      <w:r>
        <w:t xml:space="preserve"> roll-up; </w:t>
      </w:r>
      <w:r>
        <w:rPr>
          <w:rStyle w:val="VerbatimChar"/>
        </w:rPr>
        <w:t xml:space="preserve">EquipmentClass</w:t>
      </w:r>
      <w:r>
        <w:t xml:space="preserve"> hierarchy.</w:t>
      </w:r>
    </w:p>
    <w:bookmarkEnd w:id="46"/>
    <w:bookmarkStart w:id="47" w:name="operators.csv"/>
    <w:p>
      <w:pPr>
        <w:pStyle w:val="Heading3"/>
      </w:pPr>
      <w:bookmarkStart w:id="930020" w:name="_TocLBSv1_930020"/>
      <w:r>
        <w:t xml:space="preserve">operators.csv</w:t>
      </w:r>
      <w:bookmarkEnd w:id="930020"/>
    </w:p>
    <w:p>
      <w:pPr>
        <w:pStyle w:val="FirstParagraph"/>
      </w:pPr>
      <w:r>
        <w:rPr>
          <w:bCs/>
          <w:b/>
        </w:rPr>
        <w:t xml:space="preserve">Purpose.</w:t>
      </w:r>
      <w:r>
        <w:t xml:space="preserve"> The operator registry. Links to cycle and delay events for operator-level KPI dimensions.</w:t>
      </w:r>
    </w:p>
    <w:p>
      <w:pPr>
        <w:pStyle w:val="BodyText"/>
      </w:pPr>
      <w:r>
        <w:rPr>
          <w:bCs/>
          <w:b/>
        </w:rPr>
        <w:t xml:space="preserve">Primary key.</w:t>
      </w:r>
      <w:r>
        <w:t xml:space="preserve"> </w:t>
      </w:r>
      <w:r>
        <w:rPr>
          <w:rStyle w:val="VerbatimChar"/>
        </w:rPr>
        <w:t xml:space="preserve">operator_id</w:t>
      </w:r>
    </w:p>
    <w:p>
      <w:pPr>
        <w:pStyle w:val="BodyText"/>
      </w:pPr>
      <w:r>
        <w:rPr>
          <w:bCs/>
          <w:b/>
        </w:rPr>
        <w:t xml:space="preserve">Columns.</w:t>
      </w:r>
      <w:r>
        <w:t xml:space="preserve"> </w:t>
      </w:r>
      <w:r>
        <w:rPr>
          <w:rStyle w:val="VerbatimChar"/>
        </w:rPr>
        <w:t xml:space="preserve">operator_id</w:t>
      </w:r>
      <w:r>
        <w:t xml:space="preserve">, </w:t>
      </w:r>
      <w:r>
        <w:rPr>
          <w:rStyle w:val="VerbatimChar"/>
        </w:rPr>
        <w:t xml:space="preserve">name</w:t>
      </w:r>
      <w:r>
        <w:t xml:space="preserve"> (anonymised, e.g. </w:t>
      </w:r>
      <w:r>
        <w:rPr>
          <w:rStyle w:val="VerbatimChar"/>
        </w:rPr>
        <w:t xml:space="preserve">Op-001</w:t>
      </w:r>
      <w:r>
        <w:t xml:space="preserve">), </w:t>
      </w:r>
      <w:r>
        <w:rPr>
          <w:rStyle w:val="VerbatimChar"/>
        </w:rPr>
        <w:t xml:space="preserve">crew</w:t>
      </w:r>
      <w:r>
        <w:t xml:space="preserve"> (A/B/C/D), </w:t>
      </w:r>
      <w:r>
        <w:rPr>
          <w:rStyle w:val="VerbatimChar"/>
        </w:rPr>
        <w:t xml:space="preserve">licence_class</w:t>
      </w:r>
      <w:r>
        <w:t xml:space="preserve"> (Haul Truck/Shovel/Multi), </w:t>
      </w:r>
      <w:r>
        <w:rPr>
          <w:rStyle w:val="VerbatimChar"/>
        </w:rPr>
        <w:t xml:space="preserve">hire_date</w:t>
      </w:r>
      <w:r>
        <w:t xml:space="preserve"> (date), </w:t>
      </w:r>
      <w:r>
        <w:rPr>
          <w:rStyle w:val="VerbatimChar"/>
        </w:rPr>
        <w:t xml:space="preserve">mine_code</w:t>
      </w:r>
      <w:r>
        <w:t xml:space="preserve">.</w:t>
      </w:r>
    </w:p>
    <w:p>
      <w:pPr>
        <w:pStyle w:val="BodyText"/>
      </w:pPr>
      <w:r>
        <w:rPr>
          <w:bCs/>
          <w:b/>
        </w:rPr>
        <w:t xml:space="preserve">Example records.</w:t>
      </w:r>
    </w:p>
    <w:p>
      <w:pPr>
        <w:pStyle w:val="SourceCode"/>
      </w:pPr>
      <w:r>
        <w:rPr>
          <w:rStyle w:val="VerbatimChar"/>
        </w:rPr>
        <w:t xml:space="preserve">operator_id,name,crew,licence_class,hire_date,mine_code</w:t>
      </w:r>
      <w:r>
        <w:br/>
      </w:r>
      <w:r>
        <w:rPr>
          <w:rStyle w:val="VerbatimChar"/>
        </w:rPr>
        <w:t xml:space="preserve">OP-001,Op-001,A,Haul Truck,2019-03-15,PIL</w:t>
      </w:r>
      <w:r>
        <w:br/>
      </w:r>
      <w:r>
        <w:rPr>
          <w:rStyle w:val="VerbatimChar"/>
        </w:rPr>
        <w:t xml:space="preserve">OP-002,Op-002,A,Haul Truck,2021-07-22,PIL</w:t>
      </w:r>
      <w:r>
        <w:br/>
      </w:r>
      <w:r>
        <w:rPr>
          <w:rStyle w:val="VerbatimChar"/>
        </w:rPr>
        <w:t xml:space="preserve">OP-050,Op-050,B,Shovel,2017-11-01,PIL</w:t>
      </w:r>
    </w:p>
    <w:bookmarkEnd w:id="47"/>
    <w:bookmarkStart w:id="48" w:name="haul_routes.csv"/>
    <w:p>
      <w:pPr>
        <w:pStyle w:val="Heading3"/>
      </w:pPr>
      <w:bookmarkStart w:id="930021" w:name="_TocLBSv1_930021"/>
      <w:r>
        <w:t xml:space="preserve">haul_routes.csv</w:t>
      </w:r>
      <w:bookmarkEnd w:id="930021"/>
    </w:p>
    <w:p>
      <w:pPr>
        <w:pStyle w:val="FirstParagraph"/>
      </w:pPr>
      <w:r>
        <w:rPr>
          <w:bCs/>
          <w:b/>
        </w:rPr>
        <w:t xml:space="preserve">Purpose.</w:t>
      </w:r>
      <w:r>
        <w:t xml:space="preserve"> The route reference table. Defines every source → destination pair with its one-way haul distance. Used to compute </w:t>
      </w:r>
      <w:r>
        <w:rPr>
          <w:rStyle w:val="VerbatimChar"/>
        </w:rPr>
        <w:t xml:space="preserve">HAUL.TonKm</w:t>
      </w:r>
      <w:r>
        <w:t xml:space="preserve"> and for network analysis.</w:t>
      </w:r>
    </w:p>
    <w:p>
      <w:pPr>
        <w:pStyle w:val="BodyText"/>
      </w:pPr>
      <w:r>
        <w:rPr>
          <w:bCs/>
          <w:b/>
        </w:rPr>
        <w:t xml:space="preserve">Primary key.</w:t>
      </w:r>
      <w:r>
        <w:t xml:space="preserve"> </w:t>
      </w:r>
      <w:r>
        <w:rPr>
          <w:rStyle w:val="VerbatimChar"/>
        </w:rPr>
        <w:t xml:space="preserve">route_id</w:t>
      </w:r>
    </w:p>
    <w:p>
      <w:pPr>
        <w:pStyle w:val="BodyText"/>
      </w:pPr>
      <w:r>
        <w:rPr>
          <w:bCs/>
          <w:b/>
        </w:rPr>
        <w:t xml:space="preserve">Columns.</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Column</w:t>
            </w:r>
          </w:p>
        </w:tc>
        <w:tc>
          <w:tcPr/>
          <w:p>
            <w:pPr>
              <w:pStyle w:val="Compact"/>
              <w:jc w:val="left"/>
            </w:pPr>
            <w:r>
              <w:t xml:space="preserve">Type</w:t>
            </w:r>
          </w:p>
        </w:tc>
        <w:tc>
          <w:tcPr/>
          <w:p>
            <w:pPr>
              <w:pStyle w:val="Compact"/>
              <w:jc w:val="left"/>
            </w:pPr>
            <w:r>
              <w:t xml:space="preserve">Description</w:t>
            </w:r>
          </w:p>
        </w:tc>
      </w:tr>
      <w:tr>
        <w:tc>
          <w:tcPr/>
          <w:p>
            <w:pPr>
              <w:pStyle w:val="Compact"/>
              <w:jc w:val="left"/>
            </w:pPr>
            <w:r>
              <w:rPr>
                <w:rStyle w:val="VerbatimChar"/>
              </w:rPr>
              <w:t xml:space="preserve">route_id</w:t>
            </w:r>
          </w:p>
        </w:tc>
        <w:tc>
          <w:tcPr/>
          <w:p>
            <w:pPr>
              <w:pStyle w:val="Compact"/>
              <w:jc w:val="left"/>
            </w:pPr>
            <w:r>
              <w:t xml:space="preserve">string</w:t>
            </w:r>
          </w:p>
        </w:tc>
        <w:tc>
          <w:tcPr/>
          <w:p>
            <w:pPr>
              <w:pStyle w:val="Compact"/>
              <w:jc w:val="left"/>
            </w:pPr>
            <w:r>
              <w:t xml:space="preserve">Format </w:t>
            </w:r>
            <w:r>
              <w:rPr>
                <w:rStyle w:val="VerbatimChar"/>
              </w:rPr>
              <w:t xml:space="preserve">{SOURCE_CODE}_{DEST_CODE}</w:t>
            </w:r>
            <w:r>
              <w:t xml:space="preserve"> e.g. </w:t>
            </w:r>
            <w:r>
              <w:rPr>
                <w:rStyle w:val="VerbatimChar"/>
              </w:rPr>
              <w:t xml:space="preserve">B7N_CR1</w:t>
            </w:r>
          </w:p>
        </w:tc>
      </w:tr>
      <w:tr>
        <w:tc>
          <w:tcPr/>
          <w:p>
            <w:pPr>
              <w:pStyle w:val="Compact"/>
              <w:jc w:val="left"/>
            </w:pPr>
            <w:r>
              <w:rPr>
                <w:rStyle w:val="VerbatimChar"/>
              </w:rPr>
              <w:t xml:space="preserve">source_type</w:t>
            </w:r>
          </w:p>
        </w:tc>
        <w:tc>
          <w:tcPr/>
          <w:p>
            <w:pPr>
              <w:pStyle w:val="Compact"/>
              <w:jc w:val="left"/>
            </w:pPr>
            <w:r>
              <w:t xml:space="preserve">enum</w:t>
            </w:r>
          </w:p>
        </w:tc>
        <w:tc>
          <w:tcPr/>
          <w:p>
            <w:pPr>
              <w:pStyle w:val="Compact"/>
              <w:jc w:val="left"/>
            </w:pPr>
            <w:r>
              <w:rPr>
                <w:rStyle w:val="VerbatimChar"/>
              </w:rPr>
              <w:t xml:space="preserve">Bench</w:t>
            </w:r>
            <w:r>
              <w:t xml:space="preserve">, </w:t>
            </w:r>
            <w:r>
              <w:rPr>
                <w:rStyle w:val="VerbatimChar"/>
              </w:rPr>
              <w:t xml:space="preserve">Stockpile</w:t>
            </w:r>
            <w:r>
              <w:t xml:space="preserve">, </w:t>
            </w:r>
            <w:r>
              <w:rPr>
                <w:rStyle w:val="VerbatimChar"/>
              </w:rPr>
              <w:t xml:space="preserve">ROM Pad</w:t>
            </w:r>
          </w:p>
        </w:tc>
      </w:tr>
      <w:tr>
        <w:tc>
          <w:tcPr/>
          <w:p>
            <w:pPr>
              <w:pStyle w:val="Compact"/>
              <w:jc w:val="left"/>
            </w:pPr>
            <w:r>
              <w:rPr>
                <w:rStyle w:val="VerbatimChar"/>
              </w:rPr>
              <w:t xml:space="preserve">source_code</w:t>
            </w:r>
          </w:p>
        </w:tc>
        <w:tc>
          <w:tcPr/>
          <w:p>
            <w:pPr>
              <w:pStyle w:val="Compact"/>
              <w:jc w:val="left"/>
            </w:pPr>
            <w:r>
              <w:t xml:space="preserve">string</w:t>
            </w:r>
          </w:p>
        </w:tc>
        <w:tc>
          <w:tcPr/>
          <w:p>
            <w:pPr>
              <w:pStyle w:val="Compact"/>
              <w:jc w:val="left"/>
            </w:pPr>
            <w:r>
              <w:t xml:space="preserve">Source location code, e.g. </w:t>
            </w:r>
            <w:r>
              <w:rPr>
                <w:rStyle w:val="VerbatimChar"/>
              </w:rPr>
              <w:t xml:space="preserve">B7N</w:t>
            </w:r>
            <w:r>
              <w:t xml:space="preserve"> (Bench 7 North)</w:t>
            </w:r>
          </w:p>
        </w:tc>
      </w:tr>
      <w:tr>
        <w:tc>
          <w:tcPr/>
          <w:p>
            <w:pPr>
              <w:pStyle w:val="Compact"/>
              <w:jc w:val="left"/>
            </w:pPr>
            <w:r>
              <w:rPr>
                <w:rStyle w:val="VerbatimChar"/>
              </w:rPr>
              <w:t xml:space="preserve">destination_type</w:t>
            </w:r>
          </w:p>
        </w:tc>
        <w:tc>
          <w:tcPr/>
          <w:p>
            <w:pPr>
              <w:pStyle w:val="Compact"/>
              <w:jc w:val="left"/>
            </w:pPr>
            <w:r>
              <w:t xml:space="preserve">enum</w:t>
            </w:r>
          </w:p>
        </w:tc>
        <w:tc>
          <w:tcPr/>
          <w:p>
            <w:pPr>
              <w:pStyle w:val="Compact"/>
              <w:jc w:val="left"/>
            </w:pPr>
            <w:r>
              <w:rPr>
                <w:rStyle w:val="VerbatimChar"/>
              </w:rPr>
              <w:t xml:space="preserve">Crusher</w:t>
            </w:r>
            <w:r>
              <w:t xml:space="preserve">, </w:t>
            </w:r>
            <w:r>
              <w:rPr>
                <w:rStyle w:val="VerbatimChar"/>
              </w:rPr>
              <w:t xml:space="preserve">Waste Dump</w:t>
            </w:r>
            <w:r>
              <w:t xml:space="preserve">, </w:t>
            </w:r>
            <w:r>
              <w:rPr>
                <w:rStyle w:val="VerbatimChar"/>
              </w:rPr>
              <w:t xml:space="preserve">ROM Stockpile</w:t>
            </w:r>
            <w:r>
              <w:t xml:space="preserve">, </w:t>
            </w:r>
            <w:r>
              <w:rPr>
                <w:rStyle w:val="VerbatimChar"/>
              </w:rPr>
              <w:t xml:space="preserve">Port Stockpile</w:t>
            </w:r>
          </w:p>
        </w:tc>
      </w:tr>
      <w:tr>
        <w:tc>
          <w:tcPr/>
          <w:p>
            <w:pPr>
              <w:pStyle w:val="Compact"/>
              <w:jc w:val="left"/>
            </w:pPr>
            <w:r>
              <w:rPr>
                <w:rStyle w:val="VerbatimChar"/>
              </w:rPr>
              <w:t xml:space="preserve">destination_code</w:t>
            </w:r>
          </w:p>
        </w:tc>
        <w:tc>
          <w:tcPr/>
          <w:p>
            <w:pPr>
              <w:pStyle w:val="Compact"/>
              <w:jc w:val="left"/>
            </w:pPr>
            <w:r>
              <w:t xml:space="preserve">string</w:t>
            </w:r>
          </w:p>
        </w:tc>
        <w:tc>
          <w:tcPr/>
          <w:p>
            <w:pPr>
              <w:pStyle w:val="Compact"/>
              <w:jc w:val="left"/>
            </w:pPr>
            <w:r>
              <w:t xml:space="preserve">Destination code, e.g. </w:t>
            </w:r>
            <w:r>
              <w:rPr>
                <w:rStyle w:val="VerbatimChar"/>
              </w:rPr>
              <w:t xml:space="preserve">CR1</w:t>
            </w:r>
          </w:p>
        </w:tc>
      </w:tr>
      <w:tr>
        <w:tc>
          <w:tcPr/>
          <w:p>
            <w:pPr>
              <w:pStyle w:val="Compact"/>
              <w:jc w:val="left"/>
            </w:pPr>
            <w:r>
              <w:rPr>
                <w:rStyle w:val="VerbatimChar"/>
              </w:rPr>
              <w:t xml:space="preserve">one_way_km</w:t>
            </w:r>
          </w:p>
        </w:tc>
        <w:tc>
          <w:tcPr/>
          <w:p>
            <w:pPr>
              <w:pStyle w:val="Compact"/>
              <w:jc w:val="left"/>
            </w:pPr>
            <w:r>
              <w:t xml:space="preserve">float</w:t>
            </w:r>
          </w:p>
        </w:tc>
        <w:tc>
          <w:tcPr/>
          <w:p>
            <w:pPr>
              <w:pStyle w:val="Compact"/>
              <w:jc w:val="left"/>
            </w:pPr>
            <w:r>
              <w:t xml:space="preserve">One-way haul distance (km)</w:t>
            </w:r>
          </w:p>
        </w:tc>
      </w:tr>
      <w:tr>
        <w:tc>
          <w:tcPr/>
          <w:p>
            <w:pPr>
              <w:pStyle w:val="Compact"/>
              <w:jc w:val="left"/>
            </w:pPr>
            <w:r>
              <w:rPr>
                <w:rStyle w:val="VerbatimChar"/>
              </w:rPr>
              <w:t xml:space="preserve">effective_grade_pct</w:t>
            </w:r>
          </w:p>
        </w:tc>
        <w:tc>
          <w:tcPr/>
          <w:p>
            <w:pPr>
              <w:pStyle w:val="Compact"/>
              <w:jc w:val="left"/>
            </w:pPr>
            <w:r>
              <w:t xml:space="preserve">float</w:t>
            </w:r>
          </w:p>
        </w:tc>
        <w:tc>
          <w:tcPr/>
          <w:p>
            <w:pPr>
              <w:pStyle w:val="Compact"/>
              <w:jc w:val="left"/>
            </w:pPr>
            <w:r>
              <w:t xml:space="preserve">Effective grade resistance (%), accounts for road grade + rolling resistance</w:t>
            </w:r>
          </w:p>
        </w:tc>
      </w:tr>
      <w:tr>
        <w:tc>
          <w:tcPr/>
          <w:p>
            <w:pPr>
              <w:pStyle w:val="Compact"/>
              <w:jc w:val="left"/>
            </w:pPr>
            <w:r>
              <w:rPr>
                <w:rStyle w:val="VerbatimChar"/>
              </w:rPr>
              <w:t xml:space="preserve">road_surface</w:t>
            </w:r>
          </w:p>
        </w:tc>
        <w:tc>
          <w:tcPr/>
          <w:p>
            <w:pPr>
              <w:pStyle w:val="Compact"/>
              <w:jc w:val="left"/>
            </w:pPr>
            <w:r>
              <w:t xml:space="preserve">enum</w:t>
            </w:r>
          </w:p>
        </w:tc>
        <w:tc>
          <w:tcPr/>
          <w:p>
            <w:pPr>
              <w:pStyle w:val="Compact"/>
              <w:jc w:val="left"/>
            </w:pPr>
            <w:r>
              <w:rPr>
                <w:rStyle w:val="VerbatimChar"/>
              </w:rPr>
              <w:t xml:space="preserve">Sealed</w:t>
            </w:r>
            <w:r>
              <w:t xml:space="preserve">, </w:t>
            </w:r>
            <w:r>
              <w:rPr>
                <w:rStyle w:val="VerbatimChar"/>
              </w:rPr>
              <w:t xml:space="preserve">Gravel</w:t>
            </w:r>
            <w:r>
              <w:t xml:space="preserve">, </w:t>
            </w:r>
            <w:r>
              <w:rPr>
                <w:rStyle w:val="VerbatimChar"/>
              </w:rPr>
              <w:t xml:space="preserve">Dirt</w:t>
            </w:r>
          </w:p>
        </w:tc>
      </w:tr>
      <w:tr>
        <w:tc>
          <w:tcPr/>
          <w:p>
            <w:pPr>
              <w:pStyle w:val="Compact"/>
              <w:jc w:val="left"/>
            </w:pPr>
            <w:r>
              <w:rPr>
                <w:rStyle w:val="VerbatimChar"/>
              </w:rPr>
              <w:t xml:space="preserve">speed_limit_kmh</w:t>
            </w:r>
          </w:p>
        </w:tc>
        <w:tc>
          <w:tcPr/>
          <w:p>
            <w:pPr>
              <w:pStyle w:val="Compact"/>
              <w:jc w:val="left"/>
            </w:pPr>
            <w:r>
              <w:t xml:space="preserve">float</w:t>
            </w:r>
          </w:p>
        </w:tc>
        <w:tc>
          <w:tcPr/>
          <w:p>
            <w:pPr>
              <w:pStyle w:val="Compact"/>
              <w:jc w:val="left"/>
            </w:pPr>
            <w:r>
              <w:t xml:space="preserve">Loaded speed limit (km/h)</w:t>
            </w:r>
          </w:p>
        </w:tc>
      </w:tr>
      <w:tr>
        <w:tc>
          <w:tcPr/>
          <w:p>
            <w:pPr>
              <w:pStyle w:val="Compact"/>
              <w:jc w:val="left"/>
            </w:pPr>
            <w:r>
              <w:rPr>
                <w:rStyle w:val="VerbatimChar"/>
              </w:rPr>
              <w:t xml:space="preserve">mine_code</w:t>
            </w:r>
          </w:p>
        </w:tc>
        <w:tc>
          <w:tcPr/>
          <w:p>
            <w:pPr>
              <w:pStyle w:val="Compact"/>
              <w:jc w:val="left"/>
            </w:pPr>
            <w:r>
              <w:t xml:space="preserve">string</w:t>
            </w:r>
          </w:p>
        </w:tc>
        <w:tc>
          <w:tcPr/>
          <w:p>
            <w:pPr>
              <w:pStyle w:val="Compact"/>
              <w:jc w:val="left"/>
            </w:pPr>
            <w:r>
              <w:t xml:space="preserve">FK</w:t>
            </w:r>
          </w:p>
        </w:tc>
      </w:tr>
    </w:tbl>
    <w:p>
      <w:pPr>
        <w:pStyle w:val="BodyText"/>
      </w:pPr>
      <w:r>
        <w:rPr>
          <w:bCs/>
          <w:b/>
        </w:rPr>
        <w:t xml:space="preserve">Example records.</w:t>
      </w:r>
    </w:p>
    <w:p>
      <w:pPr>
        <w:pStyle w:val="SourceCode"/>
      </w:pPr>
      <w:r>
        <w:rPr>
          <w:rStyle w:val="VerbatimChar"/>
        </w:rPr>
        <w:t xml:space="preserve">route_id,source_code,destination_code,one_way_km,effective_grade_pct,speed_limit_kmh</w:t>
      </w:r>
      <w:r>
        <w:br/>
      </w:r>
      <w:r>
        <w:rPr>
          <w:rStyle w:val="VerbatimChar"/>
        </w:rPr>
        <w:t xml:space="preserve">B7N_CR1,B7N,CR1,3.2,8.5,45</w:t>
      </w:r>
      <w:r>
        <w:br/>
      </w:r>
      <w:r>
        <w:rPr>
          <w:rStyle w:val="VerbatimChar"/>
        </w:rPr>
        <w:t xml:space="preserve">B7N_WD1,B7N,WD1,1.8,5.0,50</w:t>
      </w:r>
      <w:r>
        <w:br/>
      </w:r>
      <w:r>
        <w:rPr>
          <w:rStyle w:val="VerbatimChar"/>
        </w:rPr>
        <w:t xml:space="preserve">B5S_CR1,B5S,CR1,4.1,9.2,40</w:t>
      </w:r>
      <w:r>
        <w:br/>
      </w:r>
      <w:r>
        <w:rPr>
          <w:rStyle w:val="VerbatimChar"/>
        </w:rPr>
        <w:t xml:space="preserve">B5S_WD2,B5S,WD2,2.3,4.5,50</w:t>
      </w:r>
    </w:p>
    <w:p>
      <w:pPr>
        <w:pStyle w:val="FirstParagraph"/>
      </w:pPr>
      <w:r>
        <w:rPr>
          <w:bCs/>
          <w:b/>
        </w:rPr>
        <w:t xml:space="preserve">KPIs.</w:t>
      </w:r>
      <w:r>
        <w:t xml:space="preserve"> </w:t>
      </w:r>
      <w:r>
        <w:rPr>
          <w:rStyle w:val="VerbatimChar"/>
        </w:rPr>
        <w:t xml:space="preserve">HAUL.TonKm</w:t>
      </w:r>
      <w:r>
        <w:t xml:space="preserve">, </w:t>
      </w:r>
      <w:r>
        <w:rPr>
          <w:rStyle w:val="VerbatimChar"/>
        </w:rPr>
        <w:t xml:space="preserve">ENERGY.FuelPerTonne</w:t>
      </w:r>
      <w:r>
        <w:t xml:space="preserve">, </w:t>
      </w:r>
      <w:r>
        <w:rPr>
          <w:rStyle w:val="VerbatimChar"/>
        </w:rPr>
        <w:t xml:space="preserve">HAUL.EffectiveGrade</w:t>
      </w:r>
      <w:r>
        <w:t xml:space="preserve">.</w:t>
      </w:r>
    </w:p>
    <w:bookmarkEnd w:id="48"/>
    <w:bookmarkStart w:id="49" w:name="cycle_events.csv"/>
    <w:p>
      <w:pPr>
        <w:pStyle w:val="Heading3"/>
      </w:pPr>
      <w:bookmarkStart w:id="930022" w:name="_TocLBSv1_930022"/>
      <w:r>
        <w:t xml:space="preserve">cycle_events.csv</w:t>
      </w:r>
      <w:bookmarkEnd w:id="930022"/>
    </w:p>
    <w:p>
      <w:pPr>
        <w:pStyle w:val="FirstParagraph"/>
      </w:pPr>
      <w:r>
        <w:rPr>
          <w:bCs/>
          <w:b/>
        </w:rPr>
        <w:t xml:space="preserve">Purpose.</w:t>
      </w:r>
      <w:r>
        <w:t xml:space="preserve"> The primary event table — one row per completed haul cycle. The data source for </w:t>
      </w:r>
      <w:r>
        <w:rPr>
          <w:rStyle w:val="VerbatimChar"/>
        </w:rPr>
        <w:t xml:space="preserve">PROD.TPH</w:t>
      </w:r>
      <w:r>
        <w:t xml:space="preserve">, </w:t>
      </w:r>
      <w:r>
        <w:rPr>
          <w:rStyle w:val="VerbatimChar"/>
        </w:rPr>
        <w:t xml:space="preserve">PROD.TruckCycleTime</w:t>
      </w:r>
      <w:r>
        <w:t xml:space="preserve">, </w:t>
      </w:r>
      <w:r>
        <w:rPr>
          <w:rStyle w:val="VerbatimChar"/>
        </w:rPr>
        <w:t xml:space="preserve">PROD.Payload</w:t>
      </w:r>
      <w:r>
        <w:t xml:space="preserve">, </w:t>
      </w:r>
      <w:r>
        <w:rPr>
          <w:rStyle w:val="VerbatimChar"/>
        </w:rPr>
        <w:t xml:space="preserve">HAUL.MatchFactor</w:t>
      </w:r>
      <w:r>
        <w:t xml:space="preserve">, </w:t>
      </w:r>
      <w:r>
        <w:rPr>
          <w:rStyle w:val="VerbatimChar"/>
        </w:rPr>
        <w:t xml:space="preserve">HAUL.TonKm</w:t>
      </w:r>
      <w:r>
        <w:t xml:space="preserve">, </w:t>
      </w:r>
      <w:r>
        <w:rPr>
          <w:rStyle w:val="VerbatimChar"/>
        </w:rPr>
        <w:t xml:space="preserve">ENERGY.FuelPerTonne</w:t>
      </w:r>
      <w:r>
        <w:t xml:space="preserve">, </w:t>
      </w:r>
      <w:r>
        <w:rPr>
          <w:rStyle w:val="VerbatimChar"/>
        </w:rPr>
        <w:t xml:space="preserve">CARBON.CO2PerTonne</w:t>
      </w:r>
      <w:r>
        <w:t xml:space="preserve">.</w:t>
      </w:r>
    </w:p>
    <w:p>
      <w:pPr>
        <w:pStyle w:val="BodyText"/>
      </w:pPr>
      <w:r>
        <w:rPr>
          <w:bCs/>
          <w:b/>
        </w:rPr>
        <w:t xml:space="preserve">Primary key.</w:t>
      </w:r>
      <w:r>
        <w:t xml:space="preserve"> </w:t>
      </w:r>
      <w:r>
        <w:rPr>
          <w:rStyle w:val="VerbatimChar"/>
        </w:rPr>
        <w:t xml:space="preserve">cycle_id</w:t>
      </w:r>
    </w:p>
    <w:p>
      <w:pPr>
        <w:pStyle w:val="BodyText"/>
      </w:pPr>
      <w:r>
        <w:rPr>
          <w:bCs/>
          <w:b/>
        </w:rPr>
        <w:t xml:space="preserve">Foreign keys.</w:t>
      </w:r>
      <w:r>
        <w:t xml:space="preserve"> </w:t>
      </w:r>
      <w:r>
        <w:rPr>
          <w:rStyle w:val="VerbatimChar"/>
        </w:rPr>
        <w:t xml:space="preserve">equipment_id</w:t>
      </w:r>
      <w:r>
        <w:t xml:space="preserve"> → equipment.csv; </w:t>
      </w:r>
      <w:r>
        <w:rPr>
          <w:rStyle w:val="VerbatimChar"/>
        </w:rPr>
        <w:t xml:space="preserve">operator_id</w:t>
      </w:r>
      <w:r>
        <w:t xml:space="preserve"> → operators.csv; </w:t>
      </w:r>
      <w:r>
        <w:rPr>
          <w:rStyle w:val="VerbatimChar"/>
        </w:rPr>
        <w:t xml:space="preserve">shift_id</w:t>
      </w:r>
      <w:r>
        <w:t xml:space="preserve"> → shared/shift_calendar.csv; </w:t>
      </w:r>
      <w:r>
        <w:rPr>
          <w:rStyle w:val="VerbatimChar"/>
        </w:rPr>
        <w:t xml:space="preserve">route_id</w:t>
      </w:r>
      <w:r>
        <w:t xml:space="preserve"> → haul_routes.csv.</w:t>
      </w:r>
    </w:p>
    <w:p>
      <w:pPr>
        <w:pStyle w:val="BodyText"/>
      </w:pPr>
      <w:r>
        <w:rPr>
          <w:bCs/>
          <w:b/>
        </w:rPr>
        <w:t xml:space="preserve">Columns.</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Column</w:t>
            </w:r>
          </w:p>
        </w:tc>
        <w:tc>
          <w:tcPr/>
          <w:p>
            <w:pPr>
              <w:pStyle w:val="Compact"/>
              <w:jc w:val="left"/>
            </w:pPr>
            <w:r>
              <w:t xml:space="preserve">Type</w:t>
            </w:r>
          </w:p>
        </w:tc>
        <w:tc>
          <w:tcPr/>
          <w:p>
            <w:pPr>
              <w:pStyle w:val="Compact"/>
              <w:jc w:val="left"/>
            </w:pPr>
            <w:r>
              <w:t xml:space="preserve">Unit</w:t>
            </w:r>
          </w:p>
        </w:tc>
        <w:tc>
          <w:tcPr/>
          <w:p>
            <w:pPr>
              <w:pStyle w:val="Compact"/>
              <w:jc w:val="left"/>
            </w:pPr>
            <w:r>
              <w:t xml:space="preserve">Description</w:t>
            </w:r>
          </w:p>
        </w:tc>
      </w:tr>
      <w:tr>
        <w:tc>
          <w:tcPr/>
          <w:p>
            <w:pPr>
              <w:pStyle w:val="Compact"/>
              <w:jc w:val="left"/>
            </w:pPr>
            <w:r>
              <w:rPr>
                <w:rStyle w:val="VerbatimChar"/>
              </w:rPr>
              <w:t xml:space="preserve">cycle_id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Unique cycle ID</w:t>
            </w:r>
          </w:p>
        </w:tc>
      </w:tr>
      <w:tr>
        <w:tc>
          <w:tcPr/>
          <w:p>
            <w:pPr>
              <w:pStyle w:val="Compact"/>
              <w:jc w:val="left"/>
            </w:pPr>
            <w:r>
              <w:rPr>
                <w:rStyle w:val="VerbatimChar"/>
              </w:rPr>
              <w:t xml:space="preserve">equipment_id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 → equipment.csv</w:t>
            </w:r>
          </w:p>
        </w:tc>
      </w:tr>
      <w:tr>
        <w:tc>
          <w:tcPr/>
          <w:p>
            <w:pPr>
              <w:pStyle w:val="Compact"/>
              <w:jc w:val="left"/>
            </w:pPr>
            <w:r>
              <w:rPr>
                <w:rStyle w:val="VerbatimChar"/>
              </w:rPr>
              <w:t xml:space="preserve">operator_id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 → operators.csv</w:t>
            </w:r>
          </w:p>
        </w:tc>
      </w:tr>
      <w:tr>
        <w:tc>
          <w:tcPr/>
          <w:p>
            <w:pPr>
              <w:pStyle w:val="Compact"/>
              <w:jc w:val="left"/>
            </w:pPr>
            <w:r>
              <w:rPr>
                <w:rStyle w:val="VerbatimChar"/>
              </w:rPr>
              <w:t xml:space="preserve">shift_id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 → shift_calendar.csv</w:t>
            </w:r>
          </w:p>
        </w:tc>
      </w:tr>
      <w:tr>
        <w:tc>
          <w:tcPr/>
          <w:p>
            <w:pPr>
              <w:pStyle w:val="Compact"/>
              <w:jc w:val="left"/>
            </w:pPr>
            <w:r>
              <w:rPr>
                <w:rStyle w:val="VerbatimChar"/>
              </w:rPr>
              <w:t xml:space="preserve">route_id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 → haul_routes.csv</w:t>
            </w:r>
          </w:p>
        </w:tc>
      </w:tr>
      <w:tr>
        <w:tc>
          <w:tcPr/>
          <w:p>
            <w:pPr>
              <w:pStyle w:val="Compact"/>
              <w:jc w:val="left"/>
            </w:pPr>
            <w:r>
              <w:rPr>
                <w:rStyle w:val="VerbatimChar"/>
              </w:rPr>
              <w:t xml:space="preserve">material_type</w:t>
            </w:r>
          </w:p>
        </w:tc>
        <w:tc>
          <w:tcPr/>
          <w:p>
            <w:pPr>
              <w:pStyle w:val="Compact"/>
              <w:jc w:val="left"/>
            </w:pPr>
            <w:r>
              <w:t xml:space="preserve">enum</w:t>
            </w:r>
          </w:p>
        </w:tc>
        <w:tc>
          <w:tcPr/>
          <w:p>
            <w:pPr>
              <w:pStyle w:val="Compact"/>
              <w:jc w:val="left"/>
            </w:pPr>
            <w:r>
              <w:t xml:space="preserve">—</w:t>
            </w:r>
          </w:p>
        </w:tc>
        <w:tc>
          <w:tcPr/>
          <w:p>
            <w:pPr>
              <w:pStyle w:val="Compact"/>
              <w:jc w:val="left"/>
            </w:pPr>
            <w:r>
              <w:rPr>
                <w:rStyle w:val="VerbatimChar"/>
              </w:rPr>
              <w:t xml:space="preserve">Ore</w:t>
            </w:r>
            <w:r>
              <w:t xml:space="preserve">, </w:t>
            </w:r>
            <w:r>
              <w:rPr>
                <w:rStyle w:val="VerbatimChar"/>
              </w:rPr>
              <w:t xml:space="preserve">Waste</w:t>
            </w:r>
            <w:r>
              <w:t xml:space="preserve">, </w:t>
            </w:r>
            <w:r>
              <w:rPr>
                <w:rStyle w:val="VerbatimChar"/>
              </w:rPr>
              <w:t xml:space="preserve">Low Grade Ore</w:t>
            </w:r>
          </w:p>
        </w:tc>
      </w:tr>
      <w:tr>
        <w:tc>
          <w:tcPr/>
          <w:p>
            <w:pPr>
              <w:pStyle w:val="Compact"/>
              <w:jc w:val="left"/>
            </w:pPr>
            <w:r>
              <w:rPr>
                <w:rStyle w:val="VerbatimChar"/>
              </w:rPr>
              <w:t xml:space="preserve">cycle_start_utc</w:t>
            </w:r>
          </w:p>
        </w:tc>
        <w:tc>
          <w:tcPr/>
          <w:p>
            <w:pPr>
              <w:pStyle w:val="Compact"/>
              <w:jc w:val="left"/>
            </w:pPr>
            <w:r>
              <w:t xml:space="preserve">datetime</w:t>
            </w:r>
          </w:p>
        </w:tc>
        <w:tc>
          <w:tcPr/>
          <w:p>
            <w:pPr>
              <w:pStyle w:val="Compact"/>
              <w:jc w:val="left"/>
            </w:pPr>
            <w:r>
              <w:t xml:space="preserve">UTC</w:t>
            </w:r>
          </w:p>
        </w:tc>
        <w:tc>
          <w:tcPr/>
          <w:p>
            <w:pPr>
              <w:pStyle w:val="Compact"/>
              <w:jc w:val="left"/>
            </w:pPr>
            <w:r>
              <w:t xml:space="preserve">Timestamp the truck arrived at the shovel</w:t>
            </w:r>
          </w:p>
        </w:tc>
      </w:tr>
      <w:tr>
        <w:tc>
          <w:tcPr/>
          <w:p>
            <w:pPr>
              <w:pStyle w:val="Compact"/>
              <w:jc w:val="left"/>
            </w:pPr>
            <w:r>
              <w:rPr>
                <w:rStyle w:val="VerbatimChar"/>
              </w:rPr>
              <w:t xml:space="preserve">cycle_end_utc</w:t>
            </w:r>
          </w:p>
        </w:tc>
        <w:tc>
          <w:tcPr/>
          <w:p>
            <w:pPr>
              <w:pStyle w:val="Compact"/>
              <w:jc w:val="left"/>
            </w:pPr>
            <w:r>
              <w:t xml:space="preserve">datetime</w:t>
            </w:r>
          </w:p>
        </w:tc>
        <w:tc>
          <w:tcPr/>
          <w:p>
            <w:pPr>
              <w:pStyle w:val="Compact"/>
              <w:jc w:val="left"/>
            </w:pPr>
            <w:r>
              <w:t xml:space="preserve">UTC</w:t>
            </w:r>
          </w:p>
        </w:tc>
        <w:tc>
          <w:tcPr/>
          <w:p>
            <w:pPr>
              <w:pStyle w:val="Compact"/>
              <w:jc w:val="left"/>
            </w:pPr>
            <w:r>
              <w:t xml:space="preserve">Timestamp the truck arrived back at the shovel (next cycle start or dispatch confirmation)</w:t>
            </w:r>
          </w:p>
        </w:tc>
      </w:tr>
      <w:tr>
        <w:tc>
          <w:tcPr/>
          <w:p>
            <w:pPr>
              <w:pStyle w:val="Compact"/>
              <w:jc w:val="left"/>
            </w:pPr>
            <w:r>
              <w:rPr>
                <w:rStyle w:val="VerbatimChar"/>
              </w:rPr>
              <w:t xml:space="preserve">queue_min</w:t>
            </w:r>
          </w:p>
        </w:tc>
        <w:tc>
          <w:tcPr/>
          <w:p>
            <w:pPr>
              <w:pStyle w:val="Compact"/>
              <w:jc w:val="left"/>
            </w:pPr>
            <w:r>
              <w:t xml:space="preserve">float</w:t>
            </w:r>
          </w:p>
        </w:tc>
        <w:tc>
          <w:tcPr/>
          <w:p>
            <w:pPr>
              <w:pStyle w:val="Compact"/>
              <w:jc w:val="left"/>
            </w:pPr>
            <w:r>
              <w:t xml:space="preserve">min</w:t>
            </w:r>
          </w:p>
        </w:tc>
        <w:tc>
          <w:tcPr/>
          <w:p>
            <w:pPr>
              <w:pStyle w:val="Compact"/>
              <w:jc w:val="left"/>
            </w:pPr>
            <w:r>
              <w:t xml:space="preserve">Time waiting at shovel before spotting</w:t>
            </w:r>
          </w:p>
        </w:tc>
      </w:tr>
      <w:tr>
        <w:tc>
          <w:tcPr/>
          <w:p>
            <w:pPr>
              <w:pStyle w:val="Compact"/>
              <w:jc w:val="left"/>
            </w:pPr>
            <w:r>
              <w:rPr>
                <w:rStyle w:val="VerbatimChar"/>
              </w:rPr>
              <w:t xml:space="preserve">spot_min</w:t>
            </w:r>
          </w:p>
        </w:tc>
        <w:tc>
          <w:tcPr/>
          <w:p>
            <w:pPr>
              <w:pStyle w:val="Compact"/>
              <w:jc w:val="left"/>
            </w:pPr>
            <w:r>
              <w:t xml:space="preserve">float</w:t>
            </w:r>
          </w:p>
        </w:tc>
        <w:tc>
          <w:tcPr/>
          <w:p>
            <w:pPr>
              <w:pStyle w:val="Compact"/>
              <w:jc w:val="left"/>
            </w:pPr>
            <w:r>
              <w:t xml:space="preserve">min</w:t>
            </w:r>
          </w:p>
        </w:tc>
        <w:tc>
          <w:tcPr/>
          <w:p>
            <w:pPr>
              <w:pStyle w:val="Compact"/>
              <w:jc w:val="left"/>
            </w:pPr>
            <w:r>
              <w:t xml:space="preserve">Time positioning under bucket</w:t>
            </w:r>
          </w:p>
        </w:tc>
      </w:tr>
      <w:tr>
        <w:tc>
          <w:tcPr/>
          <w:p>
            <w:pPr>
              <w:pStyle w:val="Compact"/>
              <w:jc w:val="left"/>
            </w:pPr>
            <w:r>
              <w:rPr>
                <w:rStyle w:val="VerbatimChar"/>
              </w:rPr>
              <w:t xml:space="preserve">load_min</w:t>
            </w:r>
          </w:p>
        </w:tc>
        <w:tc>
          <w:tcPr/>
          <w:p>
            <w:pPr>
              <w:pStyle w:val="Compact"/>
              <w:jc w:val="left"/>
            </w:pPr>
            <w:r>
              <w:t xml:space="preserve">float</w:t>
            </w:r>
          </w:p>
        </w:tc>
        <w:tc>
          <w:tcPr/>
          <w:p>
            <w:pPr>
              <w:pStyle w:val="Compact"/>
              <w:jc w:val="left"/>
            </w:pPr>
            <w:r>
              <w:t xml:space="preserve">min</w:t>
            </w:r>
          </w:p>
        </w:tc>
        <w:tc>
          <w:tcPr/>
          <w:p>
            <w:pPr>
              <w:pStyle w:val="Compact"/>
              <w:jc w:val="left"/>
            </w:pPr>
            <w:r>
              <w:t xml:space="preserve">Time under the shovel bucket</w:t>
            </w:r>
          </w:p>
        </w:tc>
      </w:tr>
      <w:tr>
        <w:tc>
          <w:tcPr/>
          <w:p>
            <w:pPr>
              <w:pStyle w:val="Compact"/>
              <w:jc w:val="left"/>
            </w:pPr>
            <w:r>
              <w:rPr>
                <w:rStyle w:val="VerbatimChar"/>
              </w:rPr>
              <w:t xml:space="preserve">haul_min</w:t>
            </w:r>
          </w:p>
        </w:tc>
        <w:tc>
          <w:tcPr/>
          <w:p>
            <w:pPr>
              <w:pStyle w:val="Compact"/>
              <w:jc w:val="left"/>
            </w:pPr>
            <w:r>
              <w:t xml:space="preserve">float</w:t>
            </w:r>
          </w:p>
        </w:tc>
        <w:tc>
          <w:tcPr/>
          <w:p>
            <w:pPr>
              <w:pStyle w:val="Compact"/>
              <w:jc w:val="left"/>
            </w:pPr>
            <w:r>
              <w:t xml:space="preserve">min</w:t>
            </w:r>
          </w:p>
        </w:tc>
        <w:tc>
          <w:tcPr/>
          <w:p>
            <w:pPr>
              <w:pStyle w:val="Compact"/>
              <w:jc w:val="left"/>
            </w:pPr>
            <w:r>
              <w:t xml:space="preserve">Loaded travel time</w:t>
            </w:r>
          </w:p>
        </w:tc>
      </w:tr>
      <w:tr>
        <w:tc>
          <w:tcPr/>
          <w:p>
            <w:pPr>
              <w:pStyle w:val="Compact"/>
              <w:jc w:val="left"/>
            </w:pPr>
            <w:r>
              <w:rPr>
                <w:rStyle w:val="VerbatimChar"/>
              </w:rPr>
              <w:t xml:space="preserve">dump_min</w:t>
            </w:r>
          </w:p>
        </w:tc>
        <w:tc>
          <w:tcPr/>
          <w:p>
            <w:pPr>
              <w:pStyle w:val="Compact"/>
              <w:jc w:val="left"/>
            </w:pPr>
            <w:r>
              <w:t xml:space="preserve">float</w:t>
            </w:r>
          </w:p>
        </w:tc>
        <w:tc>
          <w:tcPr/>
          <w:p>
            <w:pPr>
              <w:pStyle w:val="Compact"/>
              <w:jc w:val="left"/>
            </w:pPr>
            <w:r>
              <w:t xml:space="preserve">min</w:t>
            </w:r>
          </w:p>
        </w:tc>
        <w:tc>
          <w:tcPr/>
          <w:p>
            <w:pPr>
              <w:pStyle w:val="Compact"/>
              <w:jc w:val="left"/>
            </w:pPr>
            <w:r>
              <w:t xml:space="preserve">Time at dump/crusher</w:t>
            </w:r>
          </w:p>
        </w:tc>
      </w:tr>
      <w:tr>
        <w:tc>
          <w:tcPr/>
          <w:p>
            <w:pPr>
              <w:pStyle w:val="Compact"/>
              <w:jc w:val="left"/>
            </w:pPr>
            <w:r>
              <w:rPr>
                <w:rStyle w:val="VerbatimChar"/>
              </w:rPr>
              <w:t xml:space="preserve">return_min</w:t>
            </w:r>
          </w:p>
        </w:tc>
        <w:tc>
          <w:tcPr/>
          <w:p>
            <w:pPr>
              <w:pStyle w:val="Compact"/>
              <w:jc w:val="left"/>
            </w:pPr>
            <w:r>
              <w:t xml:space="preserve">float</w:t>
            </w:r>
          </w:p>
        </w:tc>
        <w:tc>
          <w:tcPr/>
          <w:p>
            <w:pPr>
              <w:pStyle w:val="Compact"/>
              <w:jc w:val="left"/>
            </w:pPr>
            <w:r>
              <w:t xml:space="preserve">min</w:t>
            </w:r>
          </w:p>
        </w:tc>
        <w:tc>
          <w:tcPr/>
          <w:p>
            <w:pPr>
              <w:pStyle w:val="Compact"/>
              <w:jc w:val="left"/>
            </w:pPr>
            <w:r>
              <w:t xml:space="preserve">Empty travel time</w:t>
            </w:r>
          </w:p>
        </w:tc>
      </w:tr>
      <w:tr>
        <w:tc>
          <w:tcPr/>
          <w:p>
            <w:pPr>
              <w:pStyle w:val="Compact"/>
              <w:jc w:val="left"/>
            </w:pPr>
            <w:r>
              <w:rPr>
                <w:rStyle w:val="VerbatimChar"/>
              </w:rPr>
              <w:t xml:space="preserve">cycle_total_min</w:t>
            </w:r>
          </w:p>
        </w:tc>
        <w:tc>
          <w:tcPr/>
          <w:p>
            <w:pPr>
              <w:pStyle w:val="Compact"/>
              <w:jc w:val="left"/>
            </w:pPr>
            <w:r>
              <w:t xml:space="preserve">float</w:t>
            </w:r>
          </w:p>
        </w:tc>
        <w:tc>
          <w:tcPr/>
          <w:p>
            <w:pPr>
              <w:pStyle w:val="Compact"/>
              <w:jc w:val="left"/>
            </w:pPr>
            <w:r>
              <w:t xml:space="preserve">min</w:t>
            </w:r>
          </w:p>
        </w:tc>
        <w:tc>
          <w:tcPr/>
          <w:p>
            <w:pPr>
              <w:pStyle w:val="Compact"/>
              <w:jc w:val="left"/>
            </w:pPr>
            <w:r>
              <w:t xml:space="preserve">Sum of all six legs</w:t>
            </w:r>
          </w:p>
        </w:tc>
      </w:tr>
      <w:tr>
        <w:tc>
          <w:tcPr/>
          <w:p>
            <w:pPr>
              <w:pStyle w:val="Compact"/>
              <w:jc w:val="left"/>
            </w:pPr>
            <w:r>
              <w:rPr>
                <w:rStyle w:val="VerbatimChar"/>
              </w:rPr>
              <w:t xml:space="preserve">payload_t</w:t>
            </w:r>
          </w:p>
        </w:tc>
        <w:tc>
          <w:tcPr/>
          <w:p>
            <w:pPr>
              <w:pStyle w:val="Compact"/>
              <w:jc w:val="left"/>
            </w:pPr>
            <w:r>
              <w:t xml:space="preserve">float</w:t>
            </w:r>
          </w:p>
        </w:tc>
        <w:tc>
          <w:tcPr/>
          <w:p>
            <w:pPr>
              <w:pStyle w:val="Compact"/>
              <w:jc w:val="left"/>
            </w:pPr>
            <w:r>
              <w:t xml:space="preserve">t</w:t>
            </w:r>
          </w:p>
        </w:tc>
        <w:tc>
          <w:tcPr/>
          <w:p>
            <w:pPr>
              <w:pStyle w:val="Compact"/>
              <w:jc w:val="left"/>
            </w:pPr>
            <w:r>
              <w:t xml:space="preserve">Payload measured by on-board weighing</w:t>
            </w:r>
          </w:p>
        </w:tc>
      </w:tr>
      <w:tr>
        <w:tc>
          <w:tcPr/>
          <w:p>
            <w:pPr>
              <w:pStyle w:val="Compact"/>
              <w:jc w:val="left"/>
            </w:pPr>
            <w:r>
              <w:rPr>
                <w:rStyle w:val="VerbatimChar"/>
              </w:rPr>
              <w:t xml:space="preserve">fuel_l</w:t>
            </w:r>
          </w:p>
        </w:tc>
        <w:tc>
          <w:tcPr/>
          <w:p>
            <w:pPr>
              <w:pStyle w:val="Compact"/>
              <w:jc w:val="left"/>
            </w:pPr>
            <w:r>
              <w:t xml:space="preserve">float</w:t>
            </w:r>
          </w:p>
        </w:tc>
        <w:tc>
          <w:tcPr/>
          <w:p>
            <w:pPr>
              <w:pStyle w:val="Compact"/>
              <w:jc w:val="left"/>
            </w:pPr>
            <w:r>
              <w:t xml:space="preserve">L</w:t>
            </w:r>
          </w:p>
        </w:tc>
        <w:tc>
          <w:tcPr/>
          <w:p>
            <w:pPr>
              <w:pStyle w:val="Compact"/>
              <w:jc w:val="left"/>
            </w:pPr>
            <w:r>
              <w:t xml:space="preserve">Diesel consumed this cycle (from FMS)</w:t>
            </w:r>
          </w:p>
        </w:tc>
      </w:tr>
      <w:tr>
        <w:tc>
          <w:tcPr/>
          <w:p>
            <w:pPr>
              <w:pStyle w:val="Compact"/>
              <w:jc w:val="left"/>
            </w:pPr>
            <w:r>
              <w:rPr>
                <w:rStyle w:val="VerbatimChar"/>
              </w:rPr>
              <w:t xml:space="preserve">dig_face_code</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Face identifier, e.g. </w:t>
            </w:r>
            <w:r>
              <w:rPr>
                <w:rStyle w:val="VerbatimChar"/>
              </w:rPr>
              <w:t xml:space="preserve">B7N-F3</w:t>
            </w:r>
          </w:p>
        </w:tc>
      </w:tr>
      <w:tr>
        <w:tc>
          <w:tcPr/>
          <w:p>
            <w:pPr>
              <w:pStyle w:val="Compact"/>
              <w:jc w:val="left"/>
            </w:pPr>
            <w:r>
              <w:rPr>
                <w:rStyle w:val="VerbatimChar"/>
              </w:rPr>
              <w:t xml:space="preserve">data_quality</w:t>
            </w:r>
          </w:p>
        </w:tc>
        <w:tc>
          <w:tcPr/>
          <w:p>
            <w:pPr>
              <w:pStyle w:val="Compact"/>
              <w:jc w:val="left"/>
            </w:pPr>
            <w:r>
              <w:t xml:space="preserve">enum</w:t>
            </w:r>
          </w:p>
        </w:tc>
        <w:tc>
          <w:tcPr/>
          <w:p>
            <w:pPr>
              <w:pStyle w:val="Compact"/>
              <w:jc w:val="left"/>
            </w:pPr>
            <w:r>
              <w:t xml:space="preserve">—</w:t>
            </w:r>
          </w:p>
        </w:tc>
        <w:tc>
          <w:tcPr/>
          <w:p>
            <w:pPr>
              <w:pStyle w:val="Compact"/>
              <w:jc w:val="left"/>
            </w:pPr>
            <w:r>
              <w:rPr>
                <w:rStyle w:val="VerbatimChar"/>
              </w:rPr>
              <w:t xml:space="preserve">Good</w:t>
            </w:r>
            <w:r>
              <w:t xml:space="preserve">, </w:t>
            </w:r>
            <w:r>
              <w:rPr>
                <w:rStyle w:val="VerbatimChar"/>
              </w:rPr>
              <w:t xml:space="preserve">Estimated</w:t>
            </w:r>
            <w:r>
              <w:t xml:space="preserve">, </w:t>
            </w:r>
            <w:r>
              <w:rPr>
                <w:rStyle w:val="VerbatimChar"/>
              </w:rPr>
              <w:t xml:space="preserve">Suspect</w:t>
            </w:r>
          </w:p>
        </w:tc>
      </w:tr>
    </w:tbl>
    <w:p>
      <w:pPr>
        <w:pStyle w:val="BodyText"/>
      </w:pPr>
      <w:r>
        <w:rPr>
          <w:bCs/>
          <w:b/>
        </w:rPr>
        <w:t xml:space="preserve">Example records.</w:t>
      </w:r>
    </w:p>
    <w:p>
      <w:pPr>
        <w:pStyle w:val="SourceCode"/>
      </w:pPr>
      <w:r>
        <w:rPr>
          <w:rStyle w:val="VerbatimChar"/>
        </w:rPr>
        <w:t xml:space="preserve">cycle_id,equipment_id,operator_id,shift_id,route_id,material_type,cycle_start_utc,cycle_total_min,payload_t,fuel_l</w:t>
      </w:r>
      <w:r>
        <w:br/>
      </w:r>
      <w:r>
        <w:rPr>
          <w:rStyle w:val="VerbatimChar"/>
        </w:rPr>
        <w:t xml:space="preserve">CYC-PIL-0001,T-101,OP-001,PIL_2026-01-15_D,B7N_CR1,Ore,2026-01-14T22:15:00Z,19.4,287,165</w:t>
      </w:r>
      <w:r>
        <w:br/>
      </w:r>
      <w:r>
        <w:rPr>
          <w:rStyle w:val="VerbatimChar"/>
        </w:rPr>
        <w:t xml:space="preserve">CYC-PIL-0002,T-101,OP-001,PIL_2026-01-15_D,B7N_CR1,Ore,2026-01-14T22:35:00Z,19.8,291,168</w:t>
      </w:r>
      <w:r>
        <w:br/>
      </w:r>
      <w:r>
        <w:rPr>
          <w:rStyle w:val="VerbatimChar"/>
        </w:rPr>
        <w:t xml:space="preserve">CYC-PIL-0003,T-102,OP-002,PIL_2026-01-15_D,B7N_CR1,Ore,2026-01-14T22:18:00Z,20.1,284,171</w:t>
      </w:r>
    </w:p>
    <w:p>
      <w:pPr>
        <w:pStyle w:val="FirstParagraph"/>
      </w:pPr>
      <w:r>
        <w:rPr>
          <w:bCs/>
          <w:b/>
        </w:rPr>
        <w:t xml:space="preserve">Relationships.</w:t>
      </w:r>
      <w:r>
        <w:t xml:space="preserve"> Many cycles → one shift; many cycles → one route; many cycles → one equipment; many cycles → one operator.</w:t>
      </w:r>
    </w:p>
    <w:p>
      <w:pPr>
        <w:pStyle w:val="BodyText"/>
      </w:pPr>
      <w:r>
        <w:rPr>
          <w:bCs/>
          <w:b/>
        </w:rPr>
        <w:t xml:space="preserve">KPIs computed directly from this table.</w:t>
      </w:r>
      <w:r>
        <w:t xml:space="preserve"> </w:t>
      </w:r>
      <w:r>
        <w:rPr>
          <w:rStyle w:val="VerbatimChar"/>
        </w:rPr>
        <w:t xml:space="preserve">PROD.TPH</w:t>
      </w:r>
      <w:r>
        <w:t xml:space="preserve">, </w:t>
      </w:r>
      <w:r>
        <w:rPr>
          <w:rStyle w:val="VerbatimChar"/>
        </w:rPr>
        <w:t xml:space="preserve">PROD.TruckCycleTime</w:t>
      </w:r>
      <w:r>
        <w:t xml:space="preserve">, </w:t>
      </w:r>
      <w:r>
        <w:rPr>
          <w:rStyle w:val="VerbatimChar"/>
        </w:rPr>
        <w:t xml:space="preserve">PROD.Payload</w:t>
      </w:r>
      <w:r>
        <w:t xml:space="preserve">, </w:t>
      </w:r>
      <w:r>
        <w:rPr>
          <w:rStyle w:val="VerbatimChar"/>
        </w:rPr>
        <w:t xml:space="preserve">HAUL.TonKm</w:t>
      </w:r>
      <w:r>
        <w:t xml:space="preserve">, </w:t>
      </w:r>
      <w:r>
        <w:rPr>
          <w:rStyle w:val="VerbatimChar"/>
        </w:rPr>
        <w:t xml:space="preserve">ENERGY.FuelPerTonne</w:t>
      </w:r>
      <w:r>
        <w:t xml:space="preserve">, </w:t>
      </w:r>
      <w:r>
        <w:rPr>
          <w:rStyle w:val="VerbatimChar"/>
        </w:rPr>
        <w:t xml:space="preserve">CARBON.CO2PerTonne</w:t>
      </w:r>
      <w:r>
        <w:t xml:space="preserve">, </w:t>
      </w:r>
      <w:r>
        <w:rPr>
          <w:rStyle w:val="VerbatimChar"/>
        </w:rPr>
        <w:t xml:space="preserve">HAUL.MatchFactor</w:t>
      </w:r>
      <w:r>
        <w:t xml:space="preserve"> (with equipment.csv shovel count).</w:t>
      </w:r>
    </w:p>
    <w:bookmarkEnd w:id="49"/>
    <w:bookmarkStart w:id="50" w:name="delay_events.csv"/>
    <w:p>
      <w:pPr>
        <w:pStyle w:val="Heading3"/>
      </w:pPr>
      <w:bookmarkStart w:id="930023" w:name="_TocLBSv1_930023"/>
      <w:r>
        <w:t xml:space="preserve">delay_events.csv</w:t>
      </w:r>
      <w:bookmarkEnd w:id="930023"/>
    </w:p>
    <w:p>
      <w:pPr>
        <w:pStyle w:val="FirstParagraph"/>
      </w:pPr>
      <w:r>
        <w:rPr>
          <w:bCs/>
          <w:b/>
        </w:rPr>
        <w:t xml:space="preserve">Purpose.</w:t>
      </w:r>
      <w:r>
        <w:t xml:space="preserve"> One row per delay event. The primary source for </w:t>
      </w:r>
      <w:r>
        <w:rPr>
          <w:rStyle w:val="VerbatimChar"/>
        </w:rPr>
        <w:t xml:space="preserve">DELAY.Hours</w:t>
      </w:r>
      <w:r>
        <w:t xml:space="preserve"> (and therefore </w:t>
      </w:r>
      <w:r>
        <w:rPr>
          <w:rStyle w:val="VerbatimChar"/>
        </w:rPr>
        <w:t xml:space="preserve">UTIL.PA</w:t>
      </w:r>
      <w:r>
        <w:t xml:space="preserve">, </w:t>
      </w:r>
      <w:r>
        <w:rPr>
          <w:rStyle w:val="VerbatimChar"/>
        </w:rPr>
        <w:t xml:space="preserve">UTIL.UA</w:t>
      </w:r>
      <w:r>
        <w:t xml:space="preserve">, </w:t>
      </w:r>
      <w:r>
        <w:rPr>
          <w:rStyle w:val="VerbatimChar"/>
        </w:rPr>
        <w:t xml:space="preserve">UTIL.EU</w:t>
      </w:r>
      <w:r>
        <w:t xml:space="preserve">) after category-based partitioning.</w:t>
      </w:r>
    </w:p>
    <w:p>
      <w:pPr>
        <w:pStyle w:val="BodyText"/>
      </w:pPr>
      <w:r>
        <w:rPr>
          <w:bCs/>
          <w:b/>
        </w:rPr>
        <w:t xml:space="preserve">Primary key.</w:t>
      </w:r>
      <w:r>
        <w:t xml:space="preserve"> </w:t>
      </w:r>
      <w:r>
        <w:rPr>
          <w:rStyle w:val="VerbatimChar"/>
        </w:rPr>
        <w:t xml:space="preserve">delay_id</w:t>
      </w:r>
    </w:p>
    <w:p>
      <w:pPr>
        <w:pStyle w:val="BodyText"/>
      </w:pPr>
      <w:r>
        <w:rPr>
          <w:bCs/>
          <w:b/>
        </w:rPr>
        <w:t xml:space="preserve">Foreign keys.</w:t>
      </w:r>
      <w:r>
        <w:t xml:space="preserve"> </w:t>
      </w:r>
      <w:r>
        <w:rPr>
          <w:rStyle w:val="VerbatimChar"/>
        </w:rPr>
        <w:t xml:space="preserve">equipment_id</w:t>
      </w:r>
      <w:r>
        <w:t xml:space="preserve">, </w:t>
      </w:r>
      <w:r>
        <w:rPr>
          <w:rStyle w:val="VerbatimChar"/>
        </w:rPr>
        <w:t xml:space="preserve">operator_id</w:t>
      </w:r>
      <w:r>
        <w:t xml:space="preserve"> (nullable — planned delays have no operator), </w:t>
      </w:r>
      <w:r>
        <w:rPr>
          <w:rStyle w:val="VerbatimChar"/>
        </w:rPr>
        <w:t xml:space="preserve">shift_id</w:t>
      </w:r>
      <w:r>
        <w:t xml:space="preserve">.</w:t>
      </w:r>
    </w:p>
    <w:p>
      <w:pPr>
        <w:pStyle w:val="BodyText"/>
      </w:pPr>
      <w:r>
        <w:rPr>
          <w:bCs/>
          <w:b/>
        </w:rPr>
        <w:t xml:space="preserve">Columns.</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Column</w:t>
            </w:r>
          </w:p>
        </w:tc>
        <w:tc>
          <w:tcPr/>
          <w:p>
            <w:pPr>
              <w:pStyle w:val="Compact"/>
              <w:jc w:val="left"/>
            </w:pPr>
            <w:r>
              <w:t xml:space="preserve">Type</w:t>
            </w:r>
          </w:p>
        </w:tc>
        <w:tc>
          <w:tcPr/>
          <w:p>
            <w:pPr>
              <w:pStyle w:val="Compact"/>
              <w:jc w:val="left"/>
            </w:pPr>
            <w:r>
              <w:t xml:space="preserve">Unit</w:t>
            </w:r>
          </w:p>
        </w:tc>
        <w:tc>
          <w:tcPr/>
          <w:p>
            <w:pPr>
              <w:pStyle w:val="Compact"/>
              <w:jc w:val="left"/>
            </w:pPr>
            <w:r>
              <w:t xml:space="preserve">Description</w:t>
            </w:r>
          </w:p>
        </w:tc>
      </w:tr>
      <w:tr>
        <w:tc>
          <w:tcPr/>
          <w:p>
            <w:pPr>
              <w:pStyle w:val="Compact"/>
              <w:jc w:val="left"/>
            </w:pPr>
            <w:r>
              <w:rPr>
                <w:rStyle w:val="VerbatimChar"/>
              </w:rPr>
              <w:t xml:space="preserve">delay_id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Unique ID</w:t>
            </w:r>
          </w:p>
        </w:tc>
      </w:tr>
      <w:tr>
        <w:tc>
          <w:tcPr/>
          <w:p>
            <w:pPr>
              <w:pStyle w:val="Compact"/>
              <w:jc w:val="left"/>
            </w:pPr>
            <w:r>
              <w:rPr>
                <w:rStyle w:val="VerbatimChar"/>
              </w:rPr>
              <w:t xml:space="preserve">equipment_id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w:t>
            </w:r>
          </w:p>
        </w:tc>
      </w:tr>
      <w:tr>
        <w:tc>
          <w:tcPr/>
          <w:p>
            <w:pPr>
              <w:pStyle w:val="Compact"/>
              <w:jc w:val="left"/>
            </w:pPr>
            <w:r>
              <w:rPr>
                <w:rStyle w:val="VerbatimChar"/>
              </w:rPr>
              <w:t xml:space="preserve">operator_id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 nullable</w:t>
            </w:r>
          </w:p>
        </w:tc>
      </w:tr>
      <w:tr>
        <w:tc>
          <w:tcPr/>
          <w:p>
            <w:pPr>
              <w:pStyle w:val="Compact"/>
              <w:jc w:val="left"/>
            </w:pPr>
            <w:r>
              <w:rPr>
                <w:rStyle w:val="VerbatimChar"/>
              </w:rPr>
              <w:t xml:space="preserve">shift_id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w:t>
            </w:r>
          </w:p>
        </w:tc>
      </w:tr>
      <w:tr>
        <w:tc>
          <w:tcPr/>
          <w:p>
            <w:pPr>
              <w:pStyle w:val="Compact"/>
              <w:jc w:val="left"/>
            </w:pPr>
            <w:r>
              <w:rPr>
                <w:rStyle w:val="VerbatimChar"/>
              </w:rPr>
              <w:t xml:space="preserve">delay_category</w:t>
            </w:r>
          </w:p>
        </w:tc>
        <w:tc>
          <w:tcPr/>
          <w:p>
            <w:pPr>
              <w:pStyle w:val="Compact"/>
              <w:jc w:val="left"/>
            </w:pPr>
            <w:r>
              <w:t xml:space="preserve">enum</w:t>
            </w:r>
          </w:p>
        </w:tc>
        <w:tc>
          <w:tcPr/>
          <w:p>
            <w:pPr>
              <w:pStyle w:val="Compact"/>
              <w:jc w:val="left"/>
            </w:pPr>
            <w:r>
              <w:t xml:space="preserve">—</w:t>
            </w:r>
          </w:p>
        </w:tc>
        <w:tc>
          <w:tcPr/>
          <w:p>
            <w:pPr>
              <w:pStyle w:val="Compact"/>
              <w:jc w:val="left"/>
            </w:pPr>
            <w:r>
              <w:t xml:space="preserve">One of the canonical six: </w:t>
            </w:r>
            <w:r>
              <w:rPr>
                <w:rStyle w:val="VerbatimChar"/>
              </w:rPr>
              <w:t xml:space="preserve">Scheduled</w:t>
            </w:r>
            <w:r>
              <w:t xml:space="preserve">, </w:t>
            </w:r>
            <w:r>
              <w:rPr>
                <w:rStyle w:val="VerbatimChar"/>
              </w:rPr>
              <w:t xml:space="preserve">Operational</w:t>
            </w:r>
            <w:r>
              <w:t xml:space="preserve">, </w:t>
            </w:r>
            <w:r>
              <w:rPr>
                <w:rStyle w:val="VerbatimChar"/>
              </w:rPr>
              <w:t xml:space="preserve">Equipment</w:t>
            </w:r>
            <w:r>
              <w:t xml:space="preserve">, </w:t>
            </w:r>
            <w:r>
              <w:rPr>
                <w:rStyle w:val="VerbatimChar"/>
              </w:rPr>
              <w:t xml:space="preserve">Process</w:t>
            </w:r>
            <w:r>
              <w:t xml:space="preserve">, </w:t>
            </w:r>
            <w:r>
              <w:rPr>
                <w:rStyle w:val="VerbatimChar"/>
              </w:rPr>
              <w:t xml:space="preserve">External</w:t>
            </w:r>
            <w:r>
              <w:t xml:space="preserve">, </w:t>
            </w:r>
            <w:r>
              <w:rPr>
                <w:rStyle w:val="VerbatimChar"/>
              </w:rPr>
              <w:t xml:space="preserve">Standby</w:t>
            </w:r>
            <w:r>
              <w:t xml:space="preserve"> (Part III, Canonical Semantics)</w:t>
            </w:r>
          </w:p>
        </w:tc>
      </w:tr>
      <w:tr>
        <w:tc>
          <w:tcPr/>
          <w:p>
            <w:pPr>
              <w:pStyle w:val="Compact"/>
              <w:jc w:val="left"/>
            </w:pPr>
            <w:r>
              <w:rPr>
                <w:rStyle w:val="VerbatimChar"/>
              </w:rPr>
              <w:t xml:space="preserve">delay_reason</w:t>
            </w:r>
          </w:p>
        </w:tc>
        <w:tc>
          <w:tcPr/>
          <w:p>
            <w:pPr>
              <w:pStyle w:val="Compact"/>
              <w:jc w:val="left"/>
            </w:pPr>
            <w:r>
              <w:t xml:space="preserve">string</w:t>
            </w:r>
          </w:p>
        </w:tc>
        <w:tc>
          <w:tcPr/>
          <w:p>
            <w:pPr>
              <w:pStyle w:val="Compact"/>
              <w:jc w:val="left"/>
            </w:pPr>
            <w:r>
              <w:t xml:space="preserve">—</w:t>
            </w:r>
          </w:p>
        </w:tc>
        <w:tc>
          <w:tcPr/>
          <w:p>
            <w:pPr>
              <w:pStyle w:val="Compact"/>
              <w:jc w:val="left"/>
            </w:pPr>
            <w:r>
              <w:t xml:space="preserve">Human-readable reason, e.g. </w:t>
            </w:r>
            <w:r>
              <w:rPr>
                <w:rStyle w:val="VerbatimChar"/>
              </w:rPr>
              <w:t xml:space="preserve">Planned blast</w:t>
            </w:r>
            <w:r>
              <w:t xml:space="preserve">, </w:t>
            </w:r>
            <w:r>
              <w:rPr>
                <w:rStyle w:val="VerbatimChar"/>
              </w:rPr>
              <w:t xml:space="preserve">Refuelling</w:t>
            </w:r>
            <w:r>
              <w:t xml:space="preserve">, </w:t>
            </w:r>
            <w:r>
              <w:rPr>
                <w:rStyle w:val="VerbatimChar"/>
              </w:rPr>
              <w:t xml:space="preserve">Engine failure</w:t>
            </w:r>
            <w:r>
              <w:t xml:space="preserve">, </w:t>
            </w:r>
            <w:r>
              <w:rPr>
                <w:rStyle w:val="VerbatimChar"/>
              </w:rPr>
              <w:t xml:space="preserve">Crusher backup</w:t>
            </w:r>
            <w:r>
              <w:t xml:space="preserve">, </w:t>
            </w:r>
            <w:r>
              <w:rPr>
                <w:rStyle w:val="VerbatimChar"/>
              </w:rPr>
              <w:t xml:space="preserve">Lightning stand-down</w:t>
            </w:r>
            <w:r>
              <w:t xml:space="preserve">, </w:t>
            </w:r>
            <w:r>
              <w:rPr>
                <w:rStyle w:val="VerbatimChar"/>
              </w:rPr>
              <w:t xml:space="preserve">No truck available</w:t>
            </w:r>
          </w:p>
        </w:tc>
      </w:tr>
      <w:tr>
        <w:tc>
          <w:tcPr/>
          <w:p>
            <w:pPr>
              <w:pStyle w:val="Compact"/>
              <w:jc w:val="left"/>
            </w:pPr>
            <w:r>
              <w:rPr>
                <w:rStyle w:val="VerbatimChar"/>
              </w:rPr>
              <w:t xml:space="preserve">start_utc</w:t>
            </w:r>
          </w:p>
        </w:tc>
        <w:tc>
          <w:tcPr/>
          <w:p>
            <w:pPr>
              <w:pStyle w:val="Compact"/>
              <w:jc w:val="left"/>
            </w:pPr>
            <w:r>
              <w:t xml:space="preserve">datetime</w:t>
            </w:r>
          </w:p>
        </w:tc>
        <w:tc>
          <w:tcPr/>
          <w:p>
            <w:pPr>
              <w:pStyle w:val="Compact"/>
              <w:jc w:val="left"/>
            </w:pPr>
            <w:r>
              <w:t xml:space="preserve">UTC</w:t>
            </w:r>
          </w:p>
        </w:tc>
        <w:tc>
          <w:tcPr/>
          <w:p>
            <w:pPr>
              <w:pStyle w:val="Compact"/>
              <w:jc w:val="left"/>
            </w:pPr>
            <w:r>
              <w:t xml:space="preserve">Delay start</w:t>
            </w:r>
          </w:p>
        </w:tc>
      </w:tr>
      <w:tr>
        <w:tc>
          <w:tcPr/>
          <w:p>
            <w:pPr>
              <w:pStyle w:val="Compact"/>
              <w:jc w:val="left"/>
            </w:pPr>
            <w:r>
              <w:rPr>
                <w:rStyle w:val="VerbatimChar"/>
              </w:rPr>
              <w:t xml:space="preserve">end_utc</w:t>
            </w:r>
          </w:p>
        </w:tc>
        <w:tc>
          <w:tcPr/>
          <w:p>
            <w:pPr>
              <w:pStyle w:val="Compact"/>
              <w:jc w:val="left"/>
            </w:pPr>
            <w:r>
              <w:t xml:space="preserve">datetime</w:t>
            </w:r>
          </w:p>
        </w:tc>
        <w:tc>
          <w:tcPr/>
          <w:p>
            <w:pPr>
              <w:pStyle w:val="Compact"/>
              <w:jc w:val="left"/>
            </w:pPr>
            <w:r>
              <w:t xml:space="preserve">UTC</w:t>
            </w:r>
          </w:p>
        </w:tc>
        <w:tc>
          <w:tcPr/>
          <w:p>
            <w:pPr>
              <w:pStyle w:val="Compact"/>
              <w:jc w:val="left"/>
            </w:pPr>
            <w:r>
              <w:t xml:space="preserve">Delay end</w:t>
            </w:r>
          </w:p>
        </w:tc>
      </w:tr>
      <w:tr>
        <w:tc>
          <w:tcPr/>
          <w:p>
            <w:pPr>
              <w:pStyle w:val="Compact"/>
              <w:jc w:val="left"/>
            </w:pPr>
            <w:r>
              <w:rPr>
                <w:rStyle w:val="VerbatimChar"/>
              </w:rPr>
              <w:t xml:space="preserve">duration_min</w:t>
            </w:r>
          </w:p>
        </w:tc>
        <w:tc>
          <w:tcPr/>
          <w:p>
            <w:pPr>
              <w:pStyle w:val="Compact"/>
              <w:jc w:val="left"/>
            </w:pPr>
            <w:r>
              <w:t xml:space="preserve">float</w:t>
            </w:r>
          </w:p>
        </w:tc>
        <w:tc>
          <w:tcPr/>
          <w:p>
            <w:pPr>
              <w:pStyle w:val="Compact"/>
              <w:jc w:val="left"/>
            </w:pPr>
            <w:r>
              <w:t xml:space="preserve">min</w:t>
            </w:r>
          </w:p>
        </w:tc>
        <w:tc>
          <w:tcPr/>
          <w:p>
            <w:pPr>
              <w:pStyle w:val="Compact"/>
              <w:jc w:val="left"/>
            </w:pPr>
            <w:r>
              <w:rPr>
                <w:rStyle w:val="VerbatimChar"/>
              </w:rPr>
              <w:t xml:space="preserve">end_utc − start_utc</w:t>
            </w:r>
            <w:r>
              <w:t xml:space="preserve"> in minutes</w:t>
            </w:r>
          </w:p>
        </w:tc>
      </w:tr>
      <w:tr>
        <w:tc>
          <w:tcPr/>
          <w:p>
            <w:pPr>
              <w:pStyle w:val="Compact"/>
              <w:jc w:val="left"/>
            </w:pPr>
            <w:r>
              <w:rPr>
                <w:rStyle w:val="VerbatimChar"/>
              </w:rPr>
              <w:t xml:space="preserve">is_planned</w:t>
            </w:r>
          </w:p>
        </w:tc>
        <w:tc>
          <w:tcPr/>
          <w:p>
            <w:pPr>
              <w:pStyle w:val="Compact"/>
              <w:jc w:val="left"/>
            </w:pPr>
            <w:r>
              <w:t xml:space="preserve">boolean</w:t>
            </w:r>
          </w:p>
        </w:tc>
        <w:tc>
          <w:tcPr/>
          <w:p>
            <w:pPr>
              <w:pStyle w:val="Compact"/>
              <w:jc w:val="left"/>
            </w:pPr>
            <w:r>
              <w:t xml:space="preserve">—</w:t>
            </w:r>
          </w:p>
        </w:tc>
        <w:tc>
          <w:tcPr/>
          <w:p>
            <w:pPr>
              <w:pStyle w:val="Compact"/>
              <w:jc w:val="left"/>
            </w:pPr>
            <w:r>
              <w:t xml:space="preserve">True for Scheduled category; False otherwise</w:t>
            </w:r>
          </w:p>
        </w:tc>
      </w:tr>
      <w:tr>
        <w:tc>
          <w:tcPr/>
          <w:p>
            <w:pPr>
              <w:pStyle w:val="Compact"/>
              <w:jc w:val="left"/>
            </w:pPr>
            <w:r>
              <w:rPr>
                <w:rStyle w:val="VerbatimChar"/>
              </w:rPr>
              <w:t xml:space="preserve">work_order_id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 → maintenance (Equipment category only), nullable</w:t>
            </w:r>
          </w:p>
        </w:tc>
      </w:tr>
    </w:tbl>
    <w:p>
      <w:pPr>
        <w:pStyle w:val="BodyText"/>
      </w:pPr>
      <w:r>
        <w:rPr>
          <w:bCs/>
          <w:b/>
        </w:rPr>
        <w:t xml:space="preserve">Example records.</w:t>
      </w:r>
    </w:p>
    <w:p>
      <w:pPr>
        <w:pStyle w:val="SourceCode"/>
      </w:pPr>
      <w:r>
        <w:rPr>
          <w:rStyle w:val="VerbatimChar"/>
        </w:rPr>
        <w:t xml:space="preserve">delay_id,equipment_id,shift_id,delay_category,delay_reason,start_utc,duration_min</w:t>
      </w:r>
      <w:r>
        <w:br/>
      </w:r>
      <w:r>
        <w:rPr>
          <w:rStyle w:val="VerbatimChar"/>
        </w:rPr>
        <w:t xml:space="preserve">DLY-PIL-0001,T-101,PIL_2026-01-15_D,Scheduled,Planned blast,2026-01-15T01:00:00Z,45.0</w:t>
      </w:r>
      <w:r>
        <w:br/>
      </w:r>
      <w:r>
        <w:rPr>
          <w:rStyle w:val="VerbatimChar"/>
        </w:rPr>
        <w:t xml:space="preserve">DLY-PIL-0002,T-102,PIL_2026-01-15_D,Operational,Refuelling,2026-01-15T03:30:00Z,18.0</w:t>
      </w:r>
      <w:r>
        <w:br/>
      </w:r>
      <w:r>
        <w:rPr>
          <w:rStyle w:val="VerbatimChar"/>
        </w:rPr>
        <w:t xml:space="preserve">DLY-PIL-0003,S-01,PIL_2026-01-15_D,Equipment,Hydraulic leak,2026-01-15T05:00:00Z,90.0</w:t>
      </w:r>
      <w:r>
        <w:br/>
      </w:r>
      <w:r>
        <w:rPr>
          <w:rStyle w:val="VerbatimChar"/>
        </w:rPr>
        <w:t xml:space="preserve">DLY-PIL-0004,T-101,PIL_2026-01-15_D,Standby,No truck available,2026-01-15T07:00:00Z,25.0</w:t>
      </w:r>
    </w:p>
    <w:p>
      <w:pPr>
        <w:pStyle w:val="FirstParagraph"/>
      </w:pPr>
      <w:r>
        <w:rPr>
          <w:bCs/>
          <w:b/>
        </w:rPr>
        <w:t xml:space="preserve">Note on the canonical six.</w:t>
      </w:r>
      <w:r>
        <w:t xml:space="preserve"> The </w:t>
      </w:r>
      <w:r>
        <w:rPr>
          <w:rStyle w:val="VerbatimChar"/>
        </w:rPr>
        <w:t xml:space="preserve">delay_category</w:t>
      </w:r>
      <w:r>
        <w:t xml:space="preserve"> column must contain exactly one of the six canonical values (Canonical Semantics, Part III). The dataset generator enforces this; any external data imported into the suite must be mapped onto these categories at the connector.</w:t>
      </w:r>
    </w:p>
    <w:bookmarkEnd w:id="50"/>
    <w:bookmarkStart w:id="51" w:name="maintenance_events.csv"/>
    <w:p>
      <w:pPr>
        <w:pStyle w:val="Heading3"/>
      </w:pPr>
      <w:bookmarkStart w:id="930024" w:name="_TocLBSv1_930024"/>
      <w:r>
        <w:t xml:space="preserve">maintenance_events.csv</w:t>
      </w:r>
      <w:bookmarkEnd w:id="930024"/>
    </w:p>
    <w:p>
      <w:pPr>
        <w:pStyle w:val="FirstParagraph"/>
      </w:pPr>
      <w:r>
        <w:rPr>
          <w:bCs/>
          <w:b/>
        </w:rPr>
        <w:t xml:space="preserve">Purpose.</w:t>
      </w:r>
      <w:r>
        <w:t xml:space="preserve"> One row per equipment failure event (unplanned only — scheduled PM has </w:t>
      </w:r>
      <w:r>
        <w:rPr>
          <w:rStyle w:val="VerbatimChar"/>
        </w:rPr>
        <w:t xml:space="preserve">is_planned=True</w:t>
      </w:r>
      <w:r>
        <w:t xml:space="preserve">). Source for </w:t>
      </w:r>
      <w:r>
        <w:rPr>
          <w:rStyle w:val="VerbatimChar"/>
        </w:rPr>
        <w:t xml:space="preserve">MAINT.MTBF</w:t>
      </w:r>
      <w:r>
        <w:t xml:space="preserve">, </w:t>
      </w:r>
      <w:r>
        <w:rPr>
          <w:rStyle w:val="VerbatimChar"/>
        </w:rPr>
        <w:t xml:space="preserve">MAINT.MTTR</w:t>
      </w:r>
      <w:r>
        <w:t xml:space="preserve">, </w:t>
      </w:r>
      <w:r>
        <w:rPr>
          <w:rStyle w:val="VerbatimChar"/>
        </w:rPr>
        <w:t xml:space="preserve">MAINT.Ai</w:t>
      </w:r>
      <w:r>
        <w:t xml:space="preserve">.</w:t>
      </w:r>
    </w:p>
    <w:p>
      <w:pPr>
        <w:pStyle w:val="BodyText"/>
      </w:pPr>
      <w:r>
        <w:rPr>
          <w:bCs/>
          <w:b/>
        </w:rPr>
        <w:t xml:space="preserve">Primary key.</w:t>
      </w:r>
      <w:r>
        <w:t xml:space="preserve"> </w:t>
      </w:r>
      <w:r>
        <w:rPr>
          <w:rStyle w:val="VerbatimChar"/>
        </w:rPr>
        <w:t xml:space="preserve">maintenance_id</w:t>
      </w:r>
    </w:p>
    <w:p>
      <w:pPr>
        <w:pStyle w:val="BodyText"/>
      </w:pPr>
      <w:r>
        <w:rPr>
          <w:bCs/>
          <w:b/>
        </w:rPr>
        <w:t xml:space="preserve">Foreign keys.</w:t>
      </w:r>
      <w:r>
        <w:t xml:space="preserve"> </w:t>
      </w:r>
      <w:r>
        <w:rPr>
          <w:rStyle w:val="VerbatimChar"/>
        </w:rPr>
        <w:t xml:space="preserve">equipment_id</w:t>
      </w:r>
      <w:r>
        <w:t xml:space="preserve">, </w:t>
      </w:r>
      <w:r>
        <w:rPr>
          <w:rStyle w:val="VerbatimChar"/>
        </w:rPr>
        <w:t xml:space="preserve">shift_id</w:t>
      </w:r>
      <w:r>
        <w:t xml:space="preserve"> (at failure), </w:t>
      </w:r>
      <w:r>
        <w:rPr>
          <w:rStyle w:val="VerbatimChar"/>
        </w:rPr>
        <w:t xml:space="preserve">failure_mode_code</w:t>
      </w:r>
      <w:r>
        <w:t xml:space="preserve">.</w:t>
      </w:r>
    </w:p>
    <w:p>
      <w:pPr>
        <w:pStyle w:val="BodyText"/>
      </w:pPr>
      <w:r>
        <w:rPr>
          <w:bCs/>
          <w:b/>
        </w:rPr>
        <w:t xml:space="preserve">Columns.</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Column</w:t>
            </w:r>
          </w:p>
        </w:tc>
        <w:tc>
          <w:tcPr/>
          <w:p>
            <w:pPr>
              <w:pStyle w:val="Compact"/>
              <w:jc w:val="left"/>
            </w:pPr>
            <w:r>
              <w:t xml:space="preserve">Type</w:t>
            </w:r>
          </w:p>
        </w:tc>
        <w:tc>
          <w:tcPr/>
          <w:p>
            <w:pPr>
              <w:pStyle w:val="Compact"/>
              <w:jc w:val="left"/>
            </w:pPr>
            <w:r>
              <w:t xml:space="preserve">Description</w:t>
            </w:r>
          </w:p>
        </w:tc>
      </w:tr>
      <w:tr>
        <w:tc>
          <w:tcPr/>
          <w:p>
            <w:pPr>
              <w:pStyle w:val="Compact"/>
              <w:jc w:val="left"/>
            </w:pPr>
            <w:r>
              <w:rPr>
                <w:rStyle w:val="VerbatimChar"/>
              </w:rPr>
              <w:t xml:space="preserve">maintenance_id</w:t>
            </w:r>
          </w:p>
        </w:tc>
        <w:tc>
          <w:tcPr/>
          <w:p>
            <w:pPr>
              <w:pStyle w:val="Compact"/>
              <w:jc w:val="left"/>
            </w:pPr>
            <w:r>
              <w:t xml:space="preserve">string</w:t>
            </w:r>
          </w:p>
        </w:tc>
        <w:tc>
          <w:tcPr/>
          <w:p>
            <w:pPr>
              <w:pStyle w:val="Compact"/>
              <w:jc w:val="left"/>
            </w:pPr>
            <w:r>
              <w:t xml:space="preserve">Unique ID</w:t>
            </w:r>
          </w:p>
        </w:tc>
      </w:tr>
      <w:tr>
        <w:tc>
          <w:tcPr/>
          <w:p>
            <w:pPr>
              <w:pStyle w:val="Compact"/>
              <w:jc w:val="left"/>
            </w:pPr>
            <w:r>
              <w:rPr>
                <w:rStyle w:val="VerbatimChar"/>
              </w:rPr>
              <w:t xml:space="preserve">equipment_id</w:t>
            </w:r>
          </w:p>
        </w:tc>
        <w:tc>
          <w:tcPr/>
          <w:p>
            <w:pPr>
              <w:pStyle w:val="Compact"/>
              <w:jc w:val="left"/>
            </w:pPr>
            <w:r>
              <w:t xml:space="preserve">string</w:t>
            </w:r>
          </w:p>
        </w:tc>
        <w:tc>
          <w:tcPr/>
          <w:p>
            <w:pPr>
              <w:pStyle w:val="Compact"/>
              <w:jc w:val="left"/>
            </w:pPr>
            <w:r>
              <w:t xml:space="preserve">FK</w:t>
            </w:r>
          </w:p>
        </w:tc>
      </w:tr>
      <w:tr>
        <w:tc>
          <w:tcPr/>
          <w:p>
            <w:pPr>
              <w:pStyle w:val="Compact"/>
              <w:jc w:val="left"/>
            </w:pPr>
            <w:r>
              <w:rPr>
                <w:rStyle w:val="VerbatimChar"/>
              </w:rPr>
              <w:t xml:space="preserve">shift_id</w:t>
            </w:r>
          </w:p>
        </w:tc>
        <w:tc>
          <w:tcPr/>
          <w:p>
            <w:pPr>
              <w:pStyle w:val="Compact"/>
              <w:jc w:val="left"/>
            </w:pPr>
            <w:r>
              <w:t xml:space="preserve">string</w:t>
            </w:r>
          </w:p>
        </w:tc>
        <w:tc>
          <w:tcPr/>
          <w:p>
            <w:pPr>
              <w:pStyle w:val="Compact"/>
              <w:jc w:val="left"/>
            </w:pPr>
            <w:r>
              <w:t xml:space="preserve">FK — shift in which failure occurred</w:t>
            </w:r>
          </w:p>
        </w:tc>
      </w:tr>
      <w:tr>
        <w:tc>
          <w:tcPr/>
          <w:p>
            <w:pPr>
              <w:pStyle w:val="Compact"/>
              <w:jc w:val="left"/>
            </w:pPr>
            <w:r>
              <w:rPr>
                <w:rStyle w:val="VerbatimChar"/>
              </w:rPr>
              <w:t xml:space="preserve">failure_start_utc</w:t>
            </w:r>
          </w:p>
        </w:tc>
        <w:tc>
          <w:tcPr/>
          <w:p>
            <w:pPr>
              <w:pStyle w:val="Compact"/>
              <w:jc w:val="left"/>
            </w:pPr>
            <w:r>
              <w:t xml:space="preserve">datetime</w:t>
            </w:r>
          </w:p>
        </w:tc>
        <w:tc>
          <w:tcPr/>
          <w:p>
            <w:pPr>
              <w:pStyle w:val="Compact"/>
              <w:jc w:val="left"/>
            </w:pPr>
            <w:r>
              <w:t xml:space="preserve">Failure timestamp (when equipment left Available state)</w:t>
            </w:r>
          </w:p>
        </w:tc>
      </w:tr>
      <w:tr>
        <w:tc>
          <w:tcPr/>
          <w:p>
            <w:pPr>
              <w:pStyle w:val="Compact"/>
              <w:jc w:val="left"/>
            </w:pPr>
            <w:r>
              <w:rPr>
                <w:rStyle w:val="VerbatimChar"/>
              </w:rPr>
              <w:t xml:space="preserve">return_to_service_utc</w:t>
            </w:r>
          </w:p>
        </w:tc>
        <w:tc>
          <w:tcPr/>
          <w:p>
            <w:pPr>
              <w:pStyle w:val="Compact"/>
              <w:jc w:val="left"/>
            </w:pPr>
            <w:r>
              <w:t xml:space="preserve">datetime</w:t>
            </w:r>
          </w:p>
        </w:tc>
        <w:tc>
          <w:tcPr/>
          <w:p>
            <w:pPr>
              <w:pStyle w:val="Compact"/>
              <w:jc w:val="left"/>
            </w:pPr>
            <w:r>
              <w:t xml:space="preserve">Return-to-service timestamp</w:t>
            </w:r>
          </w:p>
        </w:tc>
      </w:tr>
      <w:tr>
        <w:tc>
          <w:tcPr/>
          <w:p>
            <w:pPr>
              <w:pStyle w:val="Compact"/>
              <w:jc w:val="left"/>
            </w:pPr>
            <w:r>
              <w:rPr>
                <w:rStyle w:val="VerbatimChar"/>
              </w:rPr>
              <w:t xml:space="preserve">total_downtime_h</w:t>
            </w:r>
          </w:p>
        </w:tc>
        <w:tc>
          <w:tcPr/>
          <w:p>
            <w:pPr>
              <w:pStyle w:val="Compact"/>
              <w:jc w:val="left"/>
            </w:pPr>
            <w:r>
              <w:t xml:space="preserve">float</w:t>
            </w:r>
          </w:p>
        </w:tc>
        <w:tc>
          <w:tcPr/>
          <w:p>
            <w:pPr>
              <w:pStyle w:val="Compact"/>
              <w:jc w:val="left"/>
            </w:pPr>
            <w:r>
              <w:rPr>
                <w:rStyle w:val="VerbatimChar"/>
              </w:rPr>
              <w:t xml:space="preserve">return_to_service − failure_start</w:t>
            </w:r>
            <w:r>
              <w:t xml:space="preserve"> in hours (canonical MTTR basis)</w:t>
            </w:r>
          </w:p>
        </w:tc>
      </w:tr>
      <w:tr>
        <w:tc>
          <w:tcPr/>
          <w:p>
            <w:pPr>
              <w:pStyle w:val="Compact"/>
              <w:jc w:val="left"/>
            </w:pPr>
            <w:r>
              <w:rPr>
                <w:rStyle w:val="VerbatimChar"/>
              </w:rPr>
              <w:t xml:space="preserve">active_repair_h</w:t>
            </w:r>
          </w:p>
        </w:tc>
        <w:tc>
          <w:tcPr/>
          <w:p>
            <w:pPr>
              <w:pStyle w:val="Compact"/>
              <w:jc w:val="left"/>
            </w:pPr>
            <w:r>
              <w:t xml:space="preserve">float</w:t>
            </w:r>
          </w:p>
        </w:tc>
        <w:tc>
          <w:tcPr/>
          <w:p>
            <w:pPr>
              <w:pStyle w:val="Compact"/>
              <w:jc w:val="left"/>
            </w:pPr>
            <w:r>
              <w:t xml:space="preserve">Wrench-time only (&lt; </w:t>
            </w:r>
            <w:r>
              <w:rPr>
                <w:rStyle w:val="VerbatimChar"/>
              </w:rPr>
              <w:t xml:space="preserve">total_downtime_h</w:t>
            </w:r>
            <w:r>
              <w:t xml:space="preserve"> when parts-wait exists)</w:t>
            </w:r>
          </w:p>
        </w:tc>
      </w:tr>
      <w:tr>
        <w:tc>
          <w:tcPr/>
          <w:p>
            <w:pPr>
              <w:pStyle w:val="Compact"/>
              <w:jc w:val="left"/>
            </w:pPr>
            <w:r>
              <w:rPr>
                <w:rStyle w:val="VerbatimChar"/>
              </w:rPr>
              <w:t xml:space="preserve">is_planned</w:t>
            </w:r>
          </w:p>
        </w:tc>
        <w:tc>
          <w:tcPr/>
          <w:p>
            <w:pPr>
              <w:pStyle w:val="Compact"/>
              <w:jc w:val="left"/>
            </w:pPr>
            <w:r>
              <w:t xml:space="preserve">boolean</w:t>
            </w:r>
          </w:p>
        </w:tc>
        <w:tc>
          <w:tcPr/>
          <w:p>
            <w:pPr>
              <w:pStyle w:val="Compact"/>
              <w:jc w:val="left"/>
            </w:pPr>
            <w:r>
              <w:t xml:space="preserve">False = unplanned failure; True = scheduled PM</w:t>
            </w:r>
          </w:p>
        </w:tc>
      </w:tr>
      <w:tr>
        <w:tc>
          <w:tcPr/>
          <w:p>
            <w:pPr>
              <w:pStyle w:val="Compact"/>
              <w:jc w:val="left"/>
            </w:pPr>
            <w:r>
              <w:rPr>
                <w:rStyle w:val="VerbatimChar"/>
              </w:rPr>
              <w:t xml:space="preserve">failure_mode_code</w:t>
            </w:r>
          </w:p>
        </w:tc>
        <w:tc>
          <w:tcPr/>
          <w:p>
            <w:pPr>
              <w:pStyle w:val="Compact"/>
              <w:jc w:val="left"/>
            </w:pPr>
            <w:r>
              <w:t xml:space="preserve">string</w:t>
            </w:r>
          </w:p>
        </w:tc>
        <w:tc>
          <w:tcPr/>
          <w:p>
            <w:pPr>
              <w:pStyle w:val="Compact"/>
              <w:jc w:val="left"/>
            </w:pPr>
            <w:r>
              <w:t xml:space="preserve">FK → </w:t>
            </w:r>
            <w:r>
              <w:rPr>
                <w:rStyle w:val="VerbatimChar"/>
              </w:rPr>
              <w:t xml:space="preserve">failure_modes.csv</w:t>
            </w:r>
            <w:r>
              <w:t xml:space="preserve">, e.g. </w:t>
            </w:r>
            <w:r>
              <w:rPr>
                <w:rStyle w:val="VerbatimChar"/>
              </w:rPr>
              <w:t xml:space="preserve">HYD-001</w:t>
            </w:r>
            <w:r>
              <w:t xml:space="preserve">, </w:t>
            </w:r>
            <w:r>
              <w:rPr>
                <w:rStyle w:val="VerbatimChar"/>
              </w:rPr>
              <w:t xml:space="preserve">TYR-003</w:t>
            </w:r>
          </w:p>
        </w:tc>
      </w:tr>
      <w:tr>
        <w:tc>
          <w:tcPr/>
          <w:p>
            <w:pPr>
              <w:pStyle w:val="Compact"/>
              <w:jc w:val="left"/>
            </w:pPr>
            <w:r>
              <w:rPr>
                <w:rStyle w:val="VerbatimChar"/>
              </w:rPr>
              <w:t xml:space="preserve">failure_description</w:t>
            </w:r>
          </w:p>
        </w:tc>
        <w:tc>
          <w:tcPr/>
          <w:p>
            <w:pPr>
              <w:pStyle w:val="Compact"/>
              <w:jc w:val="left"/>
            </w:pPr>
            <w:r>
              <w:t xml:space="preserve">string</w:t>
            </w:r>
          </w:p>
        </w:tc>
        <w:tc>
          <w:tcPr/>
          <w:p>
            <w:pPr>
              <w:pStyle w:val="Compact"/>
              <w:jc w:val="left"/>
            </w:pPr>
            <w:r>
              <w:t xml:space="preserve">Free text description</w:t>
            </w:r>
          </w:p>
        </w:tc>
      </w:tr>
      <w:tr>
        <w:tc>
          <w:tcPr/>
          <w:p>
            <w:pPr>
              <w:pStyle w:val="Compact"/>
              <w:jc w:val="left"/>
            </w:pPr>
            <w:r>
              <w:rPr>
                <w:rStyle w:val="VerbatimChar"/>
              </w:rPr>
              <w:t xml:space="preserve">work_order_id</w:t>
            </w:r>
          </w:p>
        </w:tc>
        <w:tc>
          <w:tcPr/>
          <w:p>
            <w:pPr>
              <w:pStyle w:val="Compact"/>
              <w:jc w:val="left"/>
            </w:pPr>
            <w:r>
              <w:t xml:space="preserve">string</w:t>
            </w:r>
          </w:p>
        </w:tc>
        <w:tc>
          <w:tcPr/>
          <w:p>
            <w:pPr>
              <w:pStyle w:val="Compact"/>
              <w:jc w:val="left"/>
            </w:pPr>
            <w:r>
              <w:t xml:space="preserve">ERP work order reference</w:t>
            </w:r>
          </w:p>
        </w:tc>
      </w:tr>
      <w:tr>
        <w:tc>
          <w:tcPr/>
          <w:p>
            <w:pPr>
              <w:pStyle w:val="Compact"/>
              <w:jc w:val="left"/>
            </w:pPr>
            <w:r>
              <w:rPr>
                <w:rStyle w:val="VerbatimChar"/>
              </w:rPr>
              <w:t xml:space="preserve">parts_wait_h</w:t>
            </w:r>
          </w:p>
        </w:tc>
        <w:tc>
          <w:tcPr/>
          <w:p>
            <w:pPr>
              <w:pStyle w:val="Compact"/>
              <w:jc w:val="left"/>
            </w:pPr>
            <w:r>
              <w:t xml:space="preserve">float</w:t>
            </w:r>
          </w:p>
        </w:tc>
        <w:tc>
          <w:tcPr/>
          <w:p>
            <w:pPr>
              <w:pStyle w:val="Compact"/>
              <w:jc w:val="left"/>
            </w:pPr>
            <w:r>
              <w:t xml:space="preserve">Hours waiting for parts (= </w:t>
            </w:r>
            <w:r>
              <w:rPr>
                <w:rStyle w:val="VerbatimChar"/>
              </w:rPr>
              <w:t xml:space="preserve">total_downtime_h − active_repair_h − admin_h</w:t>
            </w:r>
            <w:r>
              <w:t xml:space="preserve">)</w:t>
            </w:r>
          </w:p>
        </w:tc>
      </w:tr>
    </w:tbl>
    <w:p>
      <w:pPr>
        <w:pStyle w:val="BodyText"/>
      </w:pPr>
      <w:r>
        <w:rPr>
          <w:bCs/>
          <w:b/>
        </w:rPr>
        <w:t xml:space="preserve">Example records.</w:t>
      </w:r>
    </w:p>
    <w:p>
      <w:pPr>
        <w:pStyle w:val="SourceCode"/>
      </w:pPr>
      <w:r>
        <w:rPr>
          <w:rStyle w:val="VerbatimChar"/>
        </w:rPr>
        <w:t xml:space="preserve">maintenance_id,equipment_id,shift_id,failure_start_utc,return_to_service_utc,total_downtime_h,is_planned,failure_mode_code</w:t>
      </w:r>
      <w:r>
        <w:br/>
      </w:r>
      <w:r>
        <w:rPr>
          <w:rStyle w:val="VerbatimChar"/>
        </w:rPr>
        <w:t xml:space="preserve">MNT-PIL-0001,T-101,PIL_2026-01-15_D,2026-01-15T04:00:00Z,2026-01-15T07:00:00Z,3.0,False,HYD-001</w:t>
      </w:r>
      <w:r>
        <w:br/>
      </w:r>
      <w:r>
        <w:rPr>
          <w:rStyle w:val="VerbatimChar"/>
        </w:rPr>
        <w:t xml:space="preserve">MNT-PIL-0002,T-103,PIL_2026-01-15_N,2026-01-15T13:00:00Z,2026-01-15T16:30:00Z,3.5,False,TYR-003</w:t>
      </w:r>
      <w:r>
        <w:br/>
      </w:r>
      <w:r>
        <w:rPr>
          <w:rStyle w:val="VerbatimChar"/>
        </w:rPr>
        <w:t xml:space="preserve">MNT-PIL-0003,S-01,PIL_2026-01-14_N,2026-01-14T20:00:00Z,2026-01-15T00:00:00Z,4.0,False,ELE-002</w:t>
      </w:r>
    </w:p>
    <w:p>
      <w:pPr>
        <w:pStyle w:val="FirstParagraph"/>
      </w:pPr>
      <w:r>
        <w:rPr>
          <w:bCs/>
          <w:b/>
        </w:rPr>
        <w:t xml:space="preserve">KPIs.</w:t>
      </w:r>
      <w:r>
        <w:t xml:space="preserve"> </w:t>
      </w:r>
      <w:r>
        <w:rPr>
          <w:rStyle w:val="VerbatimChar"/>
        </w:rPr>
        <w:t xml:space="preserve">MAINT.MTBF</w:t>
      </w:r>
      <w:r>
        <w:t xml:space="preserve"> (operating hours ÷ unplanned failure count); </w:t>
      </w:r>
      <w:r>
        <w:rPr>
          <w:rStyle w:val="VerbatimChar"/>
        </w:rPr>
        <w:t xml:space="preserve">MAINT.MTTR</w:t>
      </w:r>
      <w:r>
        <w:t xml:space="preserve"> (mean </w:t>
      </w:r>
      <w:r>
        <w:rPr>
          <w:rStyle w:val="VerbatimChar"/>
        </w:rPr>
        <w:t xml:space="preserve">total_downtime_h</w:t>
      </w:r>
      <w:r>
        <w:t xml:space="preserve">); </w:t>
      </w:r>
      <w:r>
        <w:rPr>
          <w:rStyle w:val="VerbatimChar"/>
        </w:rPr>
        <w:t xml:space="preserve">MAINT.Ai</w:t>
      </w:r>
      <w:r>
        <w:t xml:space="preserve"> (derived).</w:t>
      </w:r>
    </w:p>
    <w:bookmarkEnd w:id="51"/>
    <w:bookmarkStart w:id="52" w:name="fuel_events.csv"/>
    <w:p>
      <w:pPr>
        <w:pStyle w:val="Heading3"/>
      </w:pPr>
      <w:bookmarkStart w:id="930025" w:name="_TocLBSv1_930025"/>
      <w:r>
        <w:t xml:space="preserve">fuel_events.csv</w:t>
      </w:r>
      <w:bookmarkEnd w:id="930025"/>
    </w:p>
    <w:p>
      <w:pPr>
        <w:pStyle w:val="FirstParagraph"/>
      </w:pPr>
      <w:r>
        <w:rPr>
          <w:bCs/>
          <w:b/>
        </w:rPr>
        <w:t xml:space="preserve">Purpose.</w:t>
      </w:r>
      <w:r>
        <w:t xml:space="preserve"> Fuel dispensed per equipment per fuelling event. Cross-referenced with cycle_events for fuel intensity.</w:t>
      </w:r>
    </w:p>
    <w:p>
      <w:pPr>
        <w:pStyle w:val="BodyText"/>
      </w:pPr>
      <w:r>
        <w:rPr>
          <w:bCs/>
          <w:b/>
        </w:rPr>
        <w:t xml:space="preserve">Primary key.</w:t>
      </w:r>
      <w:r>
        <w:t xml:space="preserve"> </w:t>
      </w:r>
      <w:r>
        <w:rPr>
          <w:rStyle w:val="VerbatimChar"/>
        </w:rPr>
        <w:t xml:space="preserve">fuel_id</w:t>
      </w:r>
    </w:p>
    <w:p>
      <w:pPr>
        <w:pStyle w:val="BodyText"/>
      </w:pPr>
      <w:r>
        <w:rPr>
          <w:bCs/>
          <w:b/>
        </w:rPr>
        <w:t xml:space="preserve">Foreign keys.</w:t>
      </w:r>
      <w:r>
        <w:t xml:space="preserve"> </w:t>
      </w:r>
      <w:r>
        <w:rPr>
          <w:rStyle w:val="VerbatimChar"/>
        </w:rPr>
        <w:t xml:space="preserve">equipment_id</w:t>
      </w:r>
      <w:r>
        <w:t xml:space="preserve">, </w:t>
      </w:r>
      <w:r>
        <w:rPr>
          <w:rStyle w:val="VerbatimChar"/>
        </w:rPr>
        <w:t xml:space="preserve">shift_id</w:t>
      </w:r>
      <w:r>
        <w:t xml:space="preserve">.</w:t>
      </w:r>
    </w:p>
    <w:p>
      <w:pPr>
        <w:pStyle w:val="BodyText"/>
      </w:pPr>
      <w:r>
        <w:rPr>
          <w:bCs/>
          <w:b/>
        </w:rPr>
        <w:t xml:space="preserve">Columns.</w:t>
      </w:r>
      <w:r>
        <w:t xml:space="preserve"> </w:t>
      </w:r>
      <w:r>
        <w:rPr>
          <w:rStyle w:val="VerbatimChar"/>
        </w:rPr>
        <w:t xml:space="preserve">fuel_id</w:t>
      </w:r>
      <w:r>
        <w:t xml:space="preserve">, </w:t>
      </w:r>
      <w:r>
        <w:rPr>
          <w:rStyle w:val="VerbatimChar"/>
        </w:rPr>
        <w:t xml:space="preserve">equipment_id</w:t>
      </w:r>
      <w:r>
        <w:t xml:space="preserve">, </w:t>
      </w:r>
      <w:r>
        <w:rPr>
          <w:rStyle w:val="VerbatimChar"/>
        </w:rPr>
        <w:t xml:space="preserve">shift_id</w:t>
      </w:r>
      <w:r>
        <w:t xml:space="preserve">, </w:t>
      </w:r>
      <w:r>
        <w:rPr>
          <w:rStyle w:val="VerbatimChar"/>
        </w:rPr>
        <w:t xml:space="preserve">fuel_utc</w:t>
      </w:r>
      <w:r>
        <w:t xml:space="preserve"> (datetime), </w:t>
      </w:r>
      <w:r>
        <w:rPr>
          <w:rStyle w:val="VerbatimChar"/>
        </w:rPr>
        <w:t xml:space="preserve">litres_dispensed</w:t>
      </w:r>
      <w:r>
        <w:t xml:space="preserve"> (float, L), </w:t>
      </w:r>
      <w:r>
        <w:rPr>
          <w:rStyle w:val="VerbatimChar"/>
        </w:rPr>
        <w:t xml:space="preserve">odometer_km</w:t>
      </w:r>
      <w:r>
        <w:t xml:space="preserve"> (float, optional), </w:t>
      </w:r>
      <w:r>
        <w:rPr>
          <w:rStyle w:val="VerbatimChar"/>
        </w:rPr>
        <w:t xml:space="preserve">fuelling_location</w:t>
      </w:r>
      <w:r>
        <w:t xml:space="preserve"> (string), </w:t>
      </w:r>
      <w:r>
        <w:rPr>
          <w:rStyle w:val="VerbatimChar"/>
        </w:rPr>
        <w:t xml:space="preserve">operator_id</w:t>
      </w:r>
      <w:r>
        <w:t xml:space="preserve">.</w:t>
      </w:r>
    </w:p>
    <w:p>
      <w:pPr>
        <w:pStyle w:val="BodyText"/>
      </w:pPr>
      <w:r>
        <w:rPr>
          <w:bCs/>
          <w:b/>
        </w:rPr>
        <w:t xml:space="preserve">Example records.</w:t>
      </w:r>
    </w:p>
    <w:p>
      <w:pPr>
        <w:pStyle w:val="SourceCode"/>
      </w:pPr>
      <w:r>
        <w:rPr>
          <w:rStyle w:val="VerbatimChar"/>
        </w:rPr>
        <w:t xml:space="preserve">fuel_id,equipment_id,shift_id,fuel_utc,litres_dispensed</w:t>
      </w:r>
      <w:r>
        <w:br/>
      </w:r>
      <w:r>
        <w:rPr>
          <w:rStyle w:val="VerbatimChar"/>
        </w:rPr>
        <w:t xml:space="preserve">FUL-PIL-0001,T-101,PIL_2026-01-15_D,2026-01-15T03:28:00Z,1840.0</w:t>
      </w:r>
      <w:r>
        <w:br/>
      </w:r>
      <w:r>
        <w:rPr>
          <w:rStyle w:val="VerbatimChar"/>
        </w:rPr>
        <w:t xml:space="preserve">FUL-PIL-0002,T-102,PIL_2026-01-15_D,2026-01-15T04:15:00Z,1920.0</w:t>
      </w:r>
    </w:p>
    <w:p>
      <w:pPr>
        <w:pStyle w:val="FirstParagraph"/>
      </w:pPr>
      <w:r>
        <w:rPr>
          <w:bCs/>
          <w:b/>
        </w:rPr>
        <w:t xml:space="preserve">KPIs.</w:t>
      </w:r>
      <w:r>
        <w:t xml:space="preserve"> </w:t>
      </w:r>
      <w:r>
        <w:rPr>
          <w:rStyle w:val="VerbatimChar"/>
        </w:rPr>
        <w:t xml:space="preserve">ENERGY.FuelPerTonne</w:t>
      </w:r>
      <w:r>
        <w:t xml:space="preserve">, </w:t>
      </w:r>
      <w:r>
        <w:rPr>
          <w:rStyle w:val="VerbatimChar"/>
        </w:rPr>
        <w:t xml:space="preserve">ENERGY.IdleFuelRatio</w:t>
      </w:r>
      <w:r>
        <w:t xml:space="preserve">, </w:t>
      </w:r>
      <w:r>
        <w:rPr>
          <w:rStyle w:val="VerbatimChar"/>
        </w:rPr>
        <w:t xml:space="preserve">CARBON.CO2PerTonne</w:t>
      </w:r>
      <w:r>
        <w:t xml:space="preserve">.</w:t>
      </w:r>
    </w:p>
    <w:bookmarkEnd w:id="52"/>
    <w:bookmarkStart w:id="53" w:name="production.csv"/>
    <w:p>
      <w:pPr>
        <w:pStyle w:val="Heading3"/>
      </w:pPr>
      <w:bookmarkStart w:id="930026" w:name="_TocLBSv1_930026"/>
      <w:r>
        <w:t xml:space="preserve">production.csv</w:t>
      </w:r>
      <w:bookmarkEnd w:id="930026"/>
    </w:p>
    <w:p>
      <w:pPr>
        <w:pStyle w:val="FirstParagraph"/>
      </w:pPr>
      <w:r>
        <w:rPr>
          <w:bCs/>
          <w:b/>
        </w:rPr>
        <w:t xml:space="preserve">Purpose.</w:t>
      </w:r>
      <w:r>
        <w:t xml:space="preserve"> Shift-level production summary — the aggregated output consumed by </w:t>
      </w:r>
      <w:r>
        <w:rPr>
          <w:rStyle w:val="VerbatimChar"/>
        </w:rPr>
        <w:t xml:space="preserve">PROD.TPH</w:t>
      </w:r>
      <w:r>
        <w:t xml:space="preserve">, plan-attainment KPIs, and cost roll-ups.</w:t>
      </w:r>
    </w:p>
    <w:p>
      <w:pPr>
        <w:pStyle w:val="BodyText"/>
      </w:pPr>
      <w:r>
        <w:rPr>
          <w:bCs/>
          <w:b/>
        </w:rPr>
        <w:t xml:space="preserve">Primary key.</w:t>
      </w:r>
      <w:r>
        <w:t xml:space="preserve"> </w:t>
      </w:r>
      <w:r>
        <w:rPr>
          <w:rStyle w:val="VerbatimChar"/>
        </w:rPr>
        <w:t xml:space="preserve">production_id</w:t>
      </w:r>
    </w:p>
    <w:p>
      <w:pPr>
        <w:pStyle w:val="BodyText"/>
      </w:pPr>
      <w:r>
        <w:rPr>
          <w:bCs/>
          <w:b/>
        </w:rPr>
        <w:t xml:space="preserve">Foreign keys.</w:t>
      </w:r>
      <w:r>
        <w:t xml:space="preserve"> </w:t>
      </w:r>
      <w:r>
        <w:rPr>
          <w:rStyle w:val="VerbatimChar"/>
        </w:rPr>
        <w:t xml:space="preserve">shift_id</w:t>
      </w:r>
      <w:r>
        <w:t xml:space="preserve">, </w:t>
      </w:r>
      <w:r>
        <w:rPr>
          <w:rStyle w:val="VerbatimChar"/>
        </w:rPr>
        <w:t xml:space="preserve">pit_code</w:t>
      </w:r>
      <w:r>
        <w:t xml:space="preserve">, </w:t>
      </w:r>
      <w:r>
        <w:rPr>
          <w:rStyle w:val="VerbatimChar"/>
        </w:rPr>
        <w:t xml:space="preserve">material_type</w:t>
      </w:r>
      <w:r>
        <w:t xml:space="preserve">.</w:t>
      </w:r>
    </w:p>
    <w:p>
      <w:pPr>
        <w:pStyle w:val="BodyText"/>
      </w:pPr>
      <w:r>
        <w:rPr>
          <w:bCs/>
          <w:b/>
        </w:rPr>
        <w:t xml:space="preserve">Columns.</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Column</w:t>
            </w:r>
          </w:p>
        </w:tc>
        <w:tc>
          <w:tcPr/>
          <w:p>
            <w:pPr>
              <w:pStyle w:val="Compact"/>
              <w:jc w:val="left"/>
            </w:pPr>
            <w:r>
              <w:t xml:space="preserve">Type</w:t>
            </w:r>
          </w:p>
        </w:tc>
        <w:tc>
          <w:tcPr/>
          <w:p>
            <w:pPr>
              <w:pStyle w:val="Compact"/>
              <w:jc w:val="left"/>
            </w:pPr>
            <w:r>
              <w:t xml:space="preserve">Unit</w:t>
            </w:r>
          </w:p>
        </w:tc>
        <w:tc>
          <w:tcPr/>
          <w:p>
            <w:pPr>
              <w:pStyle w:val="Compact"/>
              <w:jc w:val="left"/>
            </w:pPr>
            <w:r>
              <w:t xml:space="preserve">Description</w:t>
            </w:r>
          </w:p>
        </w:tc>
      </w:tr>
      <w:tr>
        <w:tc>
          <w:tcPr/>
          <w:p>
            <w:pPr>
              <w:pStyle w:val="Compact"/>
              <w:jc w:val="left"/>
            </w:pPr>
            <w:r>
              <w:rPr>
                <w:rStyle w:val="VerbatimChar"/>
              </w:rPr>
              <w:t xml:space="preserve">production_id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Unique ID</w:t>
            </w:r>
          </w:p>
        </w:tc>
      </w:tr>
      <w:tr>
        <w:tc>
          <w:tcPr/>
          <w:p>
            <w:pPr>
              <w:pStyle w:val="Compact"/>
              <w:jc w:val="left"/>
            </w:pPr>
            <w:r>
              <w:rPr>
                <w:rStyle w:val="VerbatimChar"/>
              </w:rPr>
              <w:t xml:space="preserve">shift_id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w:t>
            </w:r>
          </w:p>
        </w:tc>
      </w:tr>
      <w:tr>
        <w:tc>
          <w:tcPr/>
          <w:p>
            <w:pPr>
              <w:pStyle w:val="Compact"/>
              <w:jc w:val="left"/>
            </w:pPr>
            <w:r>
              <w:rPr>
                <w:rStyle w:val="VerbatimChar"/>
              </w:rPr>
              <w:t xml:space="preserve">pit_code</w:t>
            </w:r>
          </w:p>
        </w:tc>
        <w:tc>
          <w:tcPr/>
          <w:p>
            <w:pPr>
              <w:pStyle w:val="Compact"/>
              <w:jc w:val="left"/>
            </w:pPr>
            <w:r>
              <w:t xml:space="preserve">string</w:t>
            </w:r>
          </w:p>
        </w:tc>
        <w:tc>
          <w:tcPr/>
          <w:p>
            <w:pPr>
              <w:pStyle w:val="Compact"/>
              <w:jc w:val="left"/>
            </w:pPr>
            <w:r>
              <w:t xml:space="preserve">—</w:t>
            </w:r>
          </w:p>
        </w:tc>
        <w:tc>
          <w:tcPr/>
          <w:p>
            <w:pPr>
              <w:pStyle w:val="Compact"/>
              <w:jc w:val="left"/>
            </w:pPr>
            <w:r>
              <w:t xml:space="preserve">Pit identifier</w:t>
            </w:r>
          </w:p>
        </w:tc>
      </w:tr>
      <w:tr>
        <w:tc>
          <w:tcPr/>
          <w:p>
            <w:pPr>
              <w:pStyle w:val="Compact"/>
              <w:jc w:val="left"/>
            </w:pPr>
            <w:r>
              <w:rPr>
                <w:rStyle w:val="VerbatimChar"/>
              </w:rPr>
              <w:t xml:space="preserve">material_type</w:t>
            </w:r>
          </w:p>
        </w:tc>
        <w:tc>
          <w:tcPr/>
          <w:p>
            <w:pPr>
              <w:pStyle w:val="Compact"/>
              <w:jc w:val="left"/>
            </w:pPr>
            <w:r>
              <w:t xml:space="preserve">enum</w:t>
            </w:r>
          </w:p>
        </w:tc>
        <w:tc>
          <w:tcPr/>
          <w:p>
            <w:pPr>
              <w:pStyle w:val="Compact"/>
              <w:jc w:val="left"/>
            </w:pPr>
            <w:r>
              <w:t xml:space="preserve">—</w:t>
            </w:r>
          </w:p>
        </w:tc>
        <w:tc>
          <w:tcPr/>
          <w:p>
            <w:pPr>
              <w:pStyle w:val="Compact"/>
              <w:jc w:val="left"/>
            </w:pPr>
            <w:r>
              <w:rPr>
                <w:rStyle w:val="VerbatimChar"/>
              </w:rPr>
              <w:t xml:space="preserve">Ore</w:t>
            </w:r>
            <w:r>
              <w:t xml:space="preserve">, </w:t>
            </w:r>
            <w:r>
              <w:rPr>
                <w:rStyle w:val="VerbatimChar"/>
              </w:rPr>
              <w:t xml:space="preserve">Waste</w:t>
            </w:r>
          </w:p>
        </w:tc>
      </w:tr>
      <w:tr>
        <w:tc>
          <w:tcPr/>
          <w:p>
            <w:pPr>
              <w:pStyle w:val="Compact"/>
              <w:jc w:val="left"/>
            </w:pPr>
            <w:r>
              <w:rPr>
                <w:rStyle w:val="VerbatimChar"/>
              </w:rPr>
              <w:t xml:space="preserve">tonnes_moved</w:t>
            </w:r>
          </w:p>
        </w:tc>
        <w:tc>
          <w:tcPr/>
          <w:p>
            <w:pPr>
              <w:pStyle w:val="Compact"/>
              <w:jc w:val="left"/>
            </w:pPr>
            <w:r>
              <w:t xml:space="preserve">float</w:t>
            </w:r>
          </w:p>
        </w:tc>
        <w:tc>
          <w:tcPr/>
          <w:p>
            <w:pPr>
              <w:pStyle w:val="Compact"/>
              <w:jc w:val="left"/>
            </w:pPr>
            <w:r>
              <w:t xml:space="preserve">t</w:t>
            </w:r>
          </w:p>
        </w:tc>
        <w:tc>
          <w:tcPr/>
          <w:p>
            <w:pPr>
              <w:pStyle w:val="Compact"/>
              <w:jc w:val="left"/>
            </w:pPr>
            <w:r>
              <w:t xml:space="preserve">Total tonnes in this shift/pit/material</w:t>
            </w:r>
          </w:p>
        </w:tc>
      </w:tr>
      <w:tr>
        <w:tc>
          <w:tcPr/>
          <w:p>
            <w:pPr>
              <w:pStyle w:val="Compact"/>
              <w:jc w:val="left"/>
            </w:pPr>
            <w:r>
              <w:rPr>
                <w:rStyle w:val="VerbatimChar"/>
              </w:rPr>
              <w:t xml:space="preserve">bcm_moved</w:t>
            </w:r>
          </w:p>
        </w:tc>
        <w:tc>
          <w:tcPr/>
          <w:p>
            <w:pPr>
              <w:pStyle w:val="Compact"/>
              <w:jc w:val="left"/>
            </w:pPr>
            <w:r>
              <w:t xml:space="preserve">float</w:t>
            </w:r>
          </w:p>
        </w:tc>
        <w:tc>
          <w:tcPr/>
          <w:p>
            <w:pPr>
              <w:pStyle w:val="Compact"/>
              <w:jc w:val="left"/>
            </w:pPr>
            <w:r>
              <w:t xml:space="preserve">BCM</w:t>
            </w:r>
          </w:p>
        </w:tc>
        <w:tc>
          <w:tcPr/>
          <w:p>
            <w:pPr>
              <w:pStyle w:val="Compact"/>
              <w:jc w:val="left"/>
            </w:pPr>
            <w:r>
              <w:t xml:space="preserve">Optional volumetric equivalent</w:t>
            </w:r>
          </w:p>
        </w:tc>
      </w:tr>
      <w:tr>
        <w:tc>
          <w:tcPr/>
          <w:p>
            <w:pPr>
              <w:pStyle w:val="Compact"/>
              <w:jc w:val="left"/>
            </w:pPr>
            <w:r>
              <w:rPr>
                <w:rStyle w:val="VerbatimChar"/>
              </w:rPr>
              <w:t xml:space="preserve">planned_tonnes</w:t>
            </w:r>
          </w:p>
        </w:tc>
        <w:tc>
          <w:tcPr/>
          <w:p>
            <w:pPr>
              <w:pStyle w:val="Compact"/>
              <w:jc w:val="left"/>
            </w:pPr>
            <w:r>
              <w:t xml:space="preserve">float</w:t>
            </w:r>
          </w:p>
        </w:tc>
        <w:tc>
          <w:tcPr/>
          <w:p>
            <w:pPr>
              <w:pStyle w:val="Compact"/>
              <w:jc w:val="left"/>
            </w:pPr>
            <w:r>
              <w:t xml:space="preserve">t</w:t>
            </w:r>
          </w:p>
        </w:tc>
        <w:tc>
          <w:tcPr/>
          <w:p>
            <w:pPr>
              <w:pStyle w:val="Compact"/>
              <w:jc w:val="left"/>
            </w:pPr>
            <w:r>
              <w:t xml:space="preserve">From planning.csv</w:t>
            </w:r>
          </w:p>
        </w:tc>
      </w:tr>
      <w:tr>
        <w:tc>
          <w:tcPr/>
          <w:p>
            <w:pPr>
              <w:pStyle w:val="Compact"/>
              <w:jc w:val="left"/>
            </w:pPr>
            <w:r>
              <w:rPr>
                <w:rStyle w:val="VerbatimChar"/>
              </w:rPr>
              <w:t xml:space="preserve">plan_attainment_pct</w:t>
            </w:r>
          </w:p>
        </w:tc>
        <w:tc>
          <w:tcPr/>
          <w:p>
            <w:pPr>
              <w:pStyle w:val="Compact"/>
              <w:jc w:val="left"/>
            </w:pPr>
            <w:r>
              <w:t xml:space="preserve">float</w:t>
            </w:r>
          </w:p>
        </w:tc>
        <w:tc>
          <w:tcPr/>
          <w:p>
            <w:pPr>
              <w:pStyle w:val="Compact"/>
              <w:jc w:val="left"/>
            </w:pPr>
            <w:r>
              <w:t xml:space="preserve">%</w:t>
            </w:r>
          </w:p>
        </w:tc>
        <w:tc>
          <w:tcPr/>
          <w:p>
            <w:pPr>
              <w:pStyle w:val="Compact"/>
              <w:jc w:val="left"/>
            </w:pPr>
            <w:r>
              <w:rPr>
                <w:rStyle w:val="VerbatimChar"/>
              </w:rPr>
              <w:t xml:space="preserve">tonnes_moved / planned_tonnes × 100</w:t>
            </w:r>
          </w:p>
        </w:tc>
      </w:tr>
      <w:tr>
        <w:tc>
          <w:tcPr/>
          <w:p>
            <w:pPr>
              <w:pStyle w:val="Compact"/>
              <w:jc w:val="left"/>
            </w:pPr>
            <w:r>
              <w:rPr>
                <w:rStyle w:val="VerbatimChar"/>
              </w:rPr>
              <w:t xml:space="preserve">operating_h</w:t>
            </w:r>
          </w:p>
        </w:tc>
        <w:tc>
          <w:tcPr/>
          <w:p>
            <w:pPr>
              <w:pStyle w:val="Compact"/>
              <w:jc w:val="left"/>
            </w:pPr>
            <w:r>
              <w:t xml:space="preserve">float</w:t>
            </w:r>
          </w:p>
        </w:tc>
        <w:tc>
          <w:tcPr/>
          <w:p>
            <w:pPr>
              <w:pStyle w:val="Compact"/>
              <w:jc w:val="left"/>
            </w:pPr>
            <w:r>
              <w:t xml:space="preserve">h</w:t>
            </w:r>
          </w:p>
        </w:tc>
        <w:tc>
          <w:tcPr/>
          <w:p>
            <w:pPr>
              <w:pStyle w:val="Compact"/>
              <w:jc w:val="left"/>
            </w:pPr>
            <w:r>
              <w:t xml:space="preserve">Operating hours (net of non-operating delay)</w:t>
            </w:r>
          </w:p>
        </w:tc>
      </w:tr>
      <w:tr>
        <w:tc>
          <w:tcPr/>
          <w:p>
            <w:pPr>
              <w:pStyle w:val="Compact"/>
              <w:jc w:val="left"/>
            </w:pPr>
            <w:r>
              <w:rPr>
                <w:rStyle w:val="VerbatimChar"/>
              </w:rPr>
              <w:t xml:space="preserve">tph_actual</w:t>
            </w:r>
          </w:p>
        </w:tc>
        <w:tc>
          <w:tcPr/>
          <w:p>
            <w:pPr>
              <w:pStyle w:val="Compact"/>
              <w:jc w:val="left"/>
            </w:pPr>
            <w:r>
              <w:t xml:space="preserve">float</w:t>
            </w:r>
          </w:p>
        </w:tc>
        <w:tc>
          <w:tcPr/>
          <w:p>
            <w:pPr>
              <w:pStyle w:val="Compact"/>
              <w:jc w:val="left"/>
            </w:pPr>
            <w:r>
              <w:t xml:space="preserve">t/h</w:t>
            </w:r>
          </w:p>
        </w:tc>
        <w:tc>
          <w:tcPr/>
          <w:p>
            <w:pPr>
              <w:pStyle w:val="Compact"/>
              <w:jc w:val="left"/>
            </w:pPr>
            <w:r>
              <w:rPr>
                <w:rStyle w:val="VerbatimChar"/>
              </w:rPr>
              <w:t xml:space="preserve">tonnes_moved / operating_h</w:t>
            </w:r>
          </w:p>
        </w:tc>
      </w:tr>
      <w:tr>
        <w:tc>
          <w:tcPr/>
          <w:p>
            <w:pPr>
              <w:pStyle w:val="Compact"/>
              <w:jc w:val="left"/>
            </w:pPr>
            <w:r>
              <w:rPr>
                <w:rStyle w:val="VerbatimChar"/>
              </w:rPr>
              <w:t xml:space="preserve">fe_head_grade</w:t>
            </w:r>
          </w:p>
        </w:tc>
        <w:tc>
          <w:tcPr/>
          <w:p>
            <w:pPr>
              <w:pStyle w:val="Compact"/>
              <w:jc w:val="left"/>
            </w:pPr>
            <w:r>
              <w:t xml:space="preserve">float</w:t>
            </w:r>
          </w:p>
        </w:tc>
        <w:tc>
          <w:tcPr/>
          <w:p>
            <w:pPr>
              <w:pStyle w:val="Compact"/>
              <w:jc w:val="left"/>
            </w:pPr>
            <w:r>
              <w:t xml:space="preserve">%</w:t>
            </w:r>
          </w:p>
        </w:tc>
        <w:tc>
          <w:tcPr/>
          <w:p>
            <w:pPr>
              <w:pStyle w:val="Compact"/>
              <w:jc w:val="left"/>
            </w:pPr>
            <w:r>
              <w:t xml:space="preserve">Head grade (ore only; iron ore Fe%)</w:t>
            </w:r>
          </w:p>
        </w:tc>
      </w:tr>
      <w:tr>
        <w:tc>
          <w:tcPr/>
          <w:p>
            <w:pPr>
              <w:pStyle w:val="Compact"/>
              <w:jc w:val="left"/>
            </w:pPr>
            <w:r>
              <w:rPr>
                <w:rStyle w:val="VerbatimChar"/>
              </w:rPr>
              <w:t xml:space="preserve">stripping_ratio</w:t>
            </w:r>
          </w:p>
        </w:tc>
        <w:tc>
          <w:tcPr/>
          <w:p>
            <w:pPr>
              <w:pStyle w:val="Compact"/>
              <w:jc w:val="left"/>
            </w:pPr>
            <w:r>
              <w:t xml:space="preserve">float</w:t>
            </w:r>
          </w:p>
        </w:tc>
        <w:tc>
          <w:tcPr/>
          <w:p>
            <w:pPr>
              <w:pStyle w:val="Compact"/>
              <w:jc w:val="left"/>
            </w:pPr>
            <w:r>
              <w:t xml:space="preserve">t/t</w:t>
            </w:r>
          </w:p>
        </w:tc>
        <w:tc>
          <w:tcPr/>
          <w:p>
            <w:pPr>
              <w:pStyle w:val="Compact"/>
              <w:jc w:val="left"/>
            </w:pPr>
            <w:r>
              <w:t xml:space="preserve">Waste ÷ Ore this shift</w:t>
            </w:r>
          </w:p>
        </w:tc>
      </w:tr>
    </w:tbl>
    <w:p>
      <w:pPr>
        <w:pStyle w:val="BodyText"/>
      </w:pPr>
      <w:r>
        <w:rPr>
          <w:bCs/>
          <w:b/>
        </w:rPr>
        <w:t xml:space="preserve">Example records.</w:t>
      </w:r>
    </w:p>
    <w:p>
      <w:pPr>
        <w:pStyle w:val="SourceCode"/>
      </w:pPr>
      <w:r>
        <w:rPr>
          <w:rStyle w:val="VerbatimChar"/>
        </w:rPr>
        <w:t xml:space="preserve">production_id,shift_id,pit_code,material_type,tonnes_moved,planned_tonnes,operating_h,tph_actual</w:t>
      </w:r>
      <w:r>
        <w:br/>
      </w:r>
      <w:r>
        <w:rPr>
          <w:rStyle w:val="VerbatimChar"/>
        </w:rPr>
        <w:t xml:space="preserve">PRD-PIL-0001,PIL_2026-01-15_D,PIT-NORTH,Ore,38400,40000,29.7,1292.9</w:t>
      </w:r>
      <w:r>
        <w:br/>
      </w:r>
      <w:r>
        <w:rPr>
          <w:rStyle w:val="VerbatimChar"/>
        </w:rPr>
        <w:t xml:space="preserve">PRD-PIL-0002,PIL_2026-01-15_D,PIT-NORTH,Waste,24600,25000,22.1,1113.1</w:t>
      </w:r>
    </w:p>
    <w:bookmarkEnd w:id="53"/>
    <w:bookmarkStart w:id="54" w:name="crusher.csv"/>
    <w:p>
      <w:pPr>
        <w:pStyle w:val="Heading3"/>
      </w:pPr>
      <w:bookmarkStart w:id="930027" w:name="_TocLBSv1_930027"/>
      <w:r>
        <w:t xml:space="preserve">crusher.csv</w:t>
      </w:r>
      <w:bookmarkEnd w:id="930027"/>
    </w:p>
    <w:p>
      <w:pPr>
        <w:pStyle w:val="FirstParagraph"/>
      </w:pPr>
      <w:r>
        <w:rPr>
          <w:bCs/>
          <w:b/>
        </w:rPr>
        <w:t xml:space="preserve">Purpose.</w:t>
      </w:r>
      <w:r>
        <w:t xml:space="preserve"> Crusher performance log — feeds </w:t>
      </w:r>
      <w:r>
        <w:rPr>
          <w:rStyle w:val="VerbatimChar"/>
        </w:rPr>
        <w:t xml:space="preserve">CRUSH.Throughput</w:t>
      </w:r>
      <w:r>
        <w:t xml:space="preserve">, </w:t>
      </w:r>
      <w:r>
        <w:rPr>
          <w:rStyle w:val="VerbatimChar"/>
        </w:rPr>
        <w:t xml:space="preserve">UTIL.OEE</w:t>
      </w:r>
      <w:r>
        <w:t xml:space="preserve"> (fixed plant), </w:t>
      </w:r>
      <w:r>
        <w:rPr>
          <w:rStyle w:val="VerbatimChar"/>
        </w:rPr>
        <w:t xml:space="preserve">CRUSH.Utilisation</w:t>
      </w:r>
      <w:r>
        <w:t xml:space="preserve">.</w:t>
      </w:r>
    </w:p>
    <w:p>
      <w:pPr>
        <w:pStyle w:val="BodyText"/>
      </w:pPr>
      <w:r>
        <w:rPr>
          <w:bCs/>
          <w:b/>
        </w:rPr>
        <w:t xml:space="preserve">Primary key.</w:t>
      </w:r>
      <w:r>
        <w:t xml:space="preserve"> </w:t>
      </w:r>
      <w:r>
        <w:rPr>
          <w:rStyle w:val="VerbatimChar"/>
        </w:rPr>
        <w:t xml:space="preserve">crusher_record_id</w:t>
      </w:r>
    </w:p>
    <w:p>
      <w:pPr>
        <w:pStyle w:val="BodyText"/>
      </w:pPr>
      <w:r>
        <w:rPr>
          <w:bCs/>
          <w:b/>
        </w:rPr>
        <w:t xml:space="preserve">Foreign keys.</w:t>
      </w:r>
      <w:r>
        <w:t xml:space="preserve"> </w:t>
      </w:r>
      <w:r>
        <w:rPr>
          <w:rStyle w:val="VerbatimChar"/>
        </w:rPr>
        <w:t xml:space="preserve">equipment_id</w:t>
      </w:r>
      <w:r>
        <w:t xml:space="preserve"> (crusher unit), </w:t>
      </w:r>
      <w:r>
        <w:rPr>
          <w:rStyle w:val="VerbatimChar"/>
        </w:rPr>
        <w:t xml:space="preserve">shift_id</w:t>
      </w:r>
      <w:r>
        <w:t xml:space="preserve">.</w:t>
      </w:r>
    </w:p>
    <w:p>
      <w:pPr>
        <w:pStyle w:val="BodyText"/>
      </w:pPr>
      <w:r>
        <w:rPr>
          <w:bCs/>
          <w:b/>
        </w:rPr>
        <w:t xml:space="preserve">Columns.</w:t>
      </w:r>
      <w:r>
        <w:t xml:space="preserve"> </w:t>
      </w:r>
      <w:r>
        <w:rPr>
          <w:rStyle w:val="VerbatimChar"/>
        </w:rPr>
        <w:t xml:space="preserve">crusher_record_id</w:t>
      </w:r>
      <w:r>
        <w:t xml:space="preserve">, </w:t>
      </w:r>
      <w:r>
        <w:rPr>
          <w:rStyle w:val="VerbatimChar"/>
        </w:rPr>
        <w:t xml:space="preserve">equipment_id</w:t>
      </w:r>
      <w:r>
        <w:t xml:space="preserve">, </w:t>
      </w:r>
      <w:r>
        <w:rPr>
          <w:rStyle w:val="VerbatimChar"/>
        </w:rPr>
        <w:t xml:space="preserve">shift_id</w:t>
      </w:r>
      <w:r>
        <w:t xml:space="preserve">, </w:t>
      </w:r>
      <w:r>
        <w:rPr>
          <w:rStyle w:val="VerbatimChar"/>
        </w:rPr>
        <w:t xml:space="preserve">tonnes_crushed</w:t>
      </w:r>
      <w:r>
        <w:t xml:space="preserve">, </w:t>
      </w:r>
      <w:r>
        <w:rPr>
          <w:rStyle w:val="VerbatimChar"/>
        </w:rPr>
        <w:t xml:space="preserve">operating_h</w:t>
      </w:r>
      <w:r>
        <w:t xml:space="preserve">, </w:t>
      </w:r>
      <w:r>
        <w:rPr>
          <w:rStyle w:val="VerbatimChar"/>
        </w:rPr>
        <w:t xml:space="preserve">available_h</w:t>
      </w:r>
      <w:r>
        <w:t xml:space="preserve">, </w:t>
      </w:r>
      <w:r>
        <w:rPr>
          <w:rStyle w:val="VerbatimChar"/>
        </w:rPr>
        <w:t xml:space="preserve">scheduled_h</w:t>
      </w:r>
      <w:r>
        <w:t xml:space="preserve">, </w:t>
      </w:r>
      <w:r>
        <w:rPr>
          <w:rStyle w:val="VerbatimChar"/>
        </w:rPr>
        <w:t xml:space="preserve">throughput_tph</w:t>
      </w:r>
      <w:r>
        <w:t xml:space="preserve">, </w:t>
      </w:r>
      <w:r>
        <w:rPr>
          <w:rStyle w:val="VerbatimChar"/>
        </w:rPr>
        <w:t xml:space="preserve">feed_size_p80_mm</w:t>
      </w:r>
      <w:r>
        <w:t xml:space="preserve">, </w:t>
      </w:r>
      <w:r>
        <w:rPr>
          <w:rStyle w:val="VerbatimChar"/>
        </w:rPr>
        <w:t xml:space="preserve">product_size_p80_mm</w:t>
      </w:r>
      <w:r>
        <w:t xml:space="preserve">, </w:t>
      </w:r>
      <w:r>
        <w:rPr>
          <w:rStyle w:val="VerbatimChar"/>
        </w:rPr>
        <w:t xml:space="preserve">power_kwh</w:t>
      </w:r>
      <w:r>
        <w:t xml:space="preserve">, </w:t>
      </w:r>
      <w:r>
        <w:rPr>
          <w:rStyle w:val="VerbatimChar"/>
        </w:rPr>
        <w:t xml:space="preserve">oee_availability</w:t>
      </w:r>
      <w:r>
        <w:t xml:space="preserve">, </w:t>
      </w:r>
      <w:r>
        <w:rPr>
          <w:rStyle w:val="VerbatimChar"/>
        </w:rPr>
        <w:t xml:space="preserve">oee_performance</w:t>
      </w:r>
      <w:r>
        <w:t xml:space="preserve">, </w:t>
      </w:r>
      <w:r>
        <w:rPr>
          <w:rStyle w:val="VerbatimChar"/>
        </w:rPr>
        <w:t xml:space="preserve">oee_quality</w:t>
      </w:r>
      <w:r>
        <w:t xml:space="preserve">, </w:t>
      </w:r>
      <w:r>
        <w:rPr>
          <w:rStyle w:val="VerbatimChar"/>
        </w:rPr>
        <w:t xml:space="preserve">oee_overall</w:t>
      </w:r>
      <w:r>
        <w:t xml:space="preserve">.</w:t>
      </w:r>
    </w:p>
    <w:bookmarkEnd w:id="54"/>
    <w:bookmarkStart w:id="55" w:name="bench_geometry.csv"/>
    <w:p>
      <w:pPr>
        <w:pStyle w:val="Heading3"/>
      </w:pPr>
      <w:bookmarkStart w:id="930028" w:name="_TocLBSv1_930028"/>
      <w:r>
        <w:t xml:space="preserve">bench_geometry.csv</w:t>
      </w:r>
      <w:bookmarkEnd w:id="930028"/>
    </w:p>
    <w:p>
      <w:pPr>
        <w:pStyle w:val="FirstParagraph"/>
      </w:pPr>
      <w:r>
        <w:rPr>
          <w:bCs/>
          <w:b/>
        </w:rPr>
        <w:t xml:space="preserve">Purpose.</w:t>
      </w:r>
      <w:r>
        <w:t xml:space="preserve"> Pit geometry reference — bench heights, face angles, GPS bounds. Used for context in planning, stripping-ratio, and volumetric KPIs.</w:t>
      </w:r>
    </w:p>
    <w:p>
      <w:pPr>
        <w:pStyle w:val="BodyText"/>
      </w:pPr>
      <w:r>
        <w:rPr>
          <w:bCs/>
          <w:b/>
        </w:rPr>
        <w:t xml:space="preserve">Columns.</w:t>
      </w:r>
      <w:r>
        <w:t xml:space="preserve"> </w:t>
      </w:r>
      <w:r>
        <w:rPr>
          <w:rStyle w:val="VerbatimChar"/>
        </w:rPr>
        <w:t xml:space="preserve">bench_id</w:t>
      </w:r>
      <w:r>
        <w:t xml:space="preserve">, </w:t>
      </w:r>
      <w:r>
        <w:rPr>
          <w:rStyle w:val="VerbatimChar"/>
        </w:rPr>
        <w:t xml:space="preserve">pit_code</w:t>
      </w:r>
      <w:r>
        <w:t xml:space="preserve">, </w:t>
      </w:r>
      <w:r>
        <w:rPr>
          <w:rStyle w:val="VerbatimChar"/>
        </w:rPr>
        <w:t xml:space="preserve">mine_code</w:t>
      </w:r>
      <w:r>
        <w:t xml:space="preserve">, </w:t>
      </w:r>
      <w:r>
        <w:rPr>
          <w:rStyle w:val="VerbatimChar"/>
        </w:rPr>
        <w:t xml:space="preserve">bench_rl_m</w:t>
      </w:r>
      <w:r>
        <w:t xml:space="preserve"> (elevation), </w:t>
      </w:r>
      <w:r>
        <w:rPr>
          <w:rStyle w:val="VerbatimChar"/>
        </w:rPr>
        <w:t xml:space="preserve">bench_height_m</w:t>
      </w:r>
      <w:r>
        <w:t xml:space="preserve">, </w:t>
      </w:r>
      <w:r>
        <w:rPr>
          <w:rStyle w:val="VerbatimChar"/>
        </w:rPr>
        <w:t xml:space="preserve">face_angle_deg</w:t>
      </w:r>
      <w:r>
        <w:t xml:space="preserve">, </w:t>
      </w:r>
      <w:r>
        <w:rPr>
          <w:rStyle w:val="VerbatimChar"/>
        </w:rPr>
        <w:t xml:space="preserve">material_dominant</w:t>
      </w:r>
      <w:r>
        <w:t xml:space="preserve"> (Ore/Waste/Mixed), </w:t>
      </w:r>
      <w:r>
        <w:rPr>
          <w:rStyle w:val="VerbatimChar"/>
        </w:rPr>
        <w:t xml:space="preserve">northing_m</w:t>
      </w:r>
      <w:r>
        <w:t xml:space="preserve">, </w:t>
      </w:r>
      <w:r>
        <w:rPr>
          <w:rStyle w:val="VerbatimChar"/>
        </w:rPr>
        <w:t xml:space="preserve">easting_m</w:t>
      </w:r>
      <w:r>
        <w:t xml:space="preserve">, </w:t>
      </w:r>
      <w:r>
        <w:rPr>
          <w:rStyle w:val="VerbatimChar"/>
        </w:rPr>
        <w:t xml:space="preserve">active</w:t>
      </w:r>
      <w:r>
        <w:t xml:space="preserve"> (boolean).</w:t>
      </w:r>
    </w:p>
    <w:bookmarkEnd w:id="55"/>
    <w:bookmarkStart w:id="56" w:name="weather.csv"/>
    <w:p>
      <w:pPr>
        <w:pStyle w:val="Heading3"/>
      </w:pPr>
      <w:bookmarkStart w:id="930029" w:name="_TocLBSv1_930029"/>
      <w:r>
        <w:t xml:space="preserve">weather.csv</w:t>
      </w:r>
      <w:bookmarkEnd w:id="930029"/>
    </w:p>
    <w:p>
      <w:pPr>
        <w:pStyle w:val="FirstParagraph"/>
      </w:pPr>
      <w:r>
        <w:rPr>
          <w:bCs/>
          <w:b/>
        </w:rPr>
        <w:t xml:space="preserve">Purpose.</w:t>
      </w:r>
      <w:r>
        <w:t xml:space="preserve"> Shift-level weather summary affecting operations (dust suppression, lightning stand-down, equipment limits).</w:t>
      </w:r>
    </w:p>
    <w:p>
      <w:pPr>
        <w:pStyle w:val="BodyText"/>
      </w:pPr>
      <w:r>
        <w:rPr>
          <w:bCs/>
          <w:b/>
        </w:rPr>
        <w:t xml:space="preserve">Foreign key.</w:t>
      </w:r>
      <w:r>
        <w:t xml:space="preserve"> </w:t>
      </w:r>
      <w:r>
        <w:rPr>
          <w:rStyle w:val="VerbatimChar"/>
        </w:rPr>
        <w:t xml:space="preserve">shift_id</w:t>
      </w:r>
      <w:r>
        <w:t xml:space="preserve">.</w:t>
      </w:r>
    </w:p>
    <w:p>
      <w:pPr>
        <w:pStyle w:val="BodyText"/>
      </w:pPr>
      <w:r>
        <w:rPr>
          <w:bCs/>
          <w:b/>
        </w:rPr>
        <w:t xml:space="preserve">Columns.</w:t>
      </w:r>
      <w:r>
        <w:t xml:space="preserve"> </w:t>
      </w:r>
      <w:r>
        <w:rPr>
          <w:rStyle w:val="VerbatimChar"/>
        </w:rPr>
        <w:t xml:space="preserve">shift_id</w:t>
      </w:r>
      <w:r>
        <w:t xml:space="preserve">, </w:t>
      </w:r>
      <w:r>
        <w:rPr>
          <w:rStyle w:val="VerbatimChar"/>
        </w:rPr>
        <w:t xml:space="preserve">mine_code</w:t>
      </w:r>
      <w:r>
        <w:t xml:space="preserve">, </w:t>
      </w:r>
      <w:r>
        <w:rPr>
          <w:rStyle w:val="VerbatimChar"/>
        </w:rPr>
        <w:t xml:space="preserve">max_temp_c</w:t>
      </w:r>
      <w:r>
        <w:t xml:space="preserve">, </w:t>
      </w:r>
      <w:r>
        <w:rPr>
          <w:rStyle w:val="VerbatimChar"/>
        </w:rPr>
        <w:t xml:space="preserve">min_temp_c</w:t>
      </w:r>
      <w:r>
        <w:t xml:space="preserve">, </w:t>
      </w:r>
      <w:r>
        <w:rPr>
          <w:rStyle w:val="VerbatimChar"/>
        </w:rPr>
        <w:t xml:space="preserve">rainfall_mm</w:t>
      </w:r>
      <w:r>
        <w:t xml:space="preserve">, </w:t>
      </w:r>
      <w:r>
        <w:rPr>
          <w:rStyle w:val="VerbatimChar"/>
        </w:rPr>
        <w:t xml:space="preserve">wind_speed_kmh</w:t>
      </w:r>
      <w:r>
        <w:t xml:space="preserve">, </w:t>
      </w:r>
      <w:r>
        <w:rPr>
          <w:rStyle w:val="VerbatimChar"/>
        </w:rPr>
        <w:t xml:space="preserve">wind_direction</w:t>
      </w:r>
      <w:r>
        <w:t xml:space="preserve">, </w:t>
      </w:r>
      <w:r>
        <w:rPr>
          <w:rStyle w:val="VerbatimChar"/>
        </w:rPr>
        <w:t xml:space="preserve">dust_index</w:t>
      </w:r>
      <w:r>
        <w:t xml:space="preserve"> (0–5), </w:t>
      </w:r>
      <w:r>
        <w:rPr>
          <w:rStyle w:val="VerbatimChar"/>
        </w:rPr>
        <w:t xml:space="preserve">lightning_alert</w:t>
      </w:r>
      <w:r>
        <w:t xml:space="preserve"> (boolean), </w:t>
      </w:r>
      <w:r>
        <w:rPr>
          <w:rStyle w:val="VerbatimChar"/>
        </w:rPr>
        <w:t xml:space="preserve">visibility_category</w:t>
      </w:r>
      <w:r>
        <w:t xml:space="preserve"> (Good/Reduced/Poor).</w:t>
      </w:r>
    </w:p>
    <w:bookmarkEnd w:id="56"/>
    <w:bookmarkEnd w:id="57"/>
    <w:bookmarkStart w:id="61" w:name="commodity-specific-extensions"/>
    <w:p>
      <w:pPr>
        <w:pStyle w:val="Heading2"/>
      </w:pPr>
      <w:bookmarkStart w:id="930030" w:name="_TocLBSv1_930030"/>
      <w:r>
        <w:t xml:space="preserve">Commodity-specific extensions</w:t>
      </w:r>
      <w:bookmarkEnd w:id="930030"/>
    </w:p>
    <w:bookmarkStart w:id="58" w:name="copperassay_events.csv-bingham-west"/>
    <w:p>
      <w:pPr>
        <w:pStyle w:val="Heading3"/>
      </w:pPr>
      <w:bookmarkStart w:id="930031" w:name="_TocLBSv1_930031"/>
      <w:r>
        <w:t xml:space="preserve">copper/assay_events.csv (Bingham West)</w:t>
      </w:r>
      <w:bookmarkEnd w:id="930031"/>
    </w:p>
    <w:p>
      <w:pPr>
        <w:pStyle w:val="FirstParagraph"/>
      </w:pPr>
      <w:r>
        <w:rPr>
          <w:bCs/>
          <w:b/>
        </w:rPr>
        <w:t xml:space="preserve">Purpose.</w:t>
      </w:r>
      <w:r>
        <w:t xml:space="preserve"> Assay results per plant shift. Source for </w:t>
      </w:r>
      <w:r>
        <w:rPr>
          <w:rStyle w:val="VerbatimChar"/>
        </w:rPr>
        <w:t xml:space="preserve">QUAL.Recovery</w:t>
      </w:r>
      <w:r>
        <w:t xml:space="preserve"> (two-product formula), </w:t>
      </w:r>
      <w:r>
        <w:rPr>
          <w:rStyle w:val="VerbatimChar"/>
        </w:rPr>
        <w:t xml:space="preserve">GRADE.HeadGrade</w:t>
      </w:r>
      <w:r>
        <w:t xml:space="preserve">, </w:t>
      </w:r>
      <w:r>
        <w:rPr>
          <w:rStyle w:val="VerbatimChar"/>
        </w:rPr>
        <w:t xml:space="preserve">PROC.ConcentrateGrade</w:t>
      </w:r>
      <w:r>
        <w:t xml:space="preserve">.</w:t>
      </w:r>
    </w:p>
    <w:p>
      <w:pPr>
        <w:pStyle w:val="BodyText"/>
      </w:pPr>
      <w:r>
        <w:rPr>
          <w:bCs/>
          <w:b/>
        </w:rPr>
        <w:t xml:space="preserve">Primary key.</w:t>
      </w:r>
      <w:r>
        <w:t xml:space="preserve"> </w:t>
      </w:r>
      <w:r>
        <w:rPr>
          <w:rStyle w:val="VerbatimChar"/>
        </w:rPr>
        <w:t xml:space="preserve">assay_id</w:t>
      </w:r>
    </w:p>
    <w:p>
      <w:pPr>
        <w:pStyle w:val="BodyText"/>
      </w:pPr>
      <w:r>
        <w:rPr>
          <w:bCs/>
          <w:b/>
        </w:rPr>
        <w:t xml:space="preserve">Foreign keys.</w:t>
      </w:r>
      <w:r>
        <w:t xml:space="preserve"> </w:t>
      </w:r>
      <w:r>
        <w:rPr>
          <w:rStyle w:val="VerbatimChar"/>
        </w:rPr>
        <w:t xml:space="preserve">shift_id</w:t>
      </w:r>
      <w:r>
        <w:t xml:space="preserve">, </w:t>
      </w:r>
      <w:r>
        <w:rPr>
          <w:rStyle w:val="VerbatimChar"/>
        </w:rPr>
        <w:t xml:space="preserve">plant_circuit_id</w:t>
      </w:r>
      <w:r>
        <w:t xml:space="preserve">.</w:t>
      </w:r>
    </w:p>
    <w:p>
      <w:pPr>
        <w:pStyle w:val="BodyText"/>
      </w:pPr>
      <w:r>
        <w:rPr>
          <w:bCs/>
          <w:b/>
        </w:rPr>
        <w:t xml:space="preserve">Columns.</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Column</w:t>
            </w:r>
          </w:p>
        </w:tc>
        <w:tc>
          <w:tcPr/>
          <w:p>
            <w:pPr>
              <w:pStyle w:val="Compact"/>
              <w:jc w:val="left"/>
            </w:pPr>
            <w:r>
              <w:t xml:space="preserve">Type</w:t>
            </w:r>
          </w:p>
        </w:tc>
        <w:tc>
          <w:tcPr/>
          <w:p>
            <w:pPr>
              <w:pStyle w:val="Compact"/>
              <w:jc w:val="left"/>
            </w:pPr>
            <w:r>
              <w:t xml:space="preserve">Unit</w:t>
            </w:r>
          </w:p>
        </w:tc>
        <w:tc>
          <w:tcPr/>
          <w:p>
            <w:pPr>
              <w:pStyle w:val="Compact"/>
              <w:jc w:val="left"/>
            </w:pPr>
            <w:r>
              <w:t xml:space="preserve">Description</w:t>
            </w:r>
          </w:p>
        </w:tc>
      </w:tr>
      <w:tr>
        <w:tc>
          <w:tcPr/>
          <w:p>
            <w:pPr>
              <w:pStyle w:val="Compact"/>
              <w:jc w:val="left"/>
            </w:pPr>
            <w:r>
              <w:rPr>
                <w:rStyle w:val="VerbatimChar"/>
              </w:rPr>
              <w:t xml:space="preserve">assay_id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Unique ID</w:t>
            </w:r>
          </w:p>
        </w:tc>
      </w:tr>
      <w:tr>
        <w:tc>
          <w:tcPr/>
          <w:p>
            <w:pPr>
              <w:pStyle w:val="Compact"/>
              <w:jc w:val="left"/>
            </w:pPr>
            <w:r>
              <w:rPr>
                <w:rStyle w:val="VerbatimChar"/>
              </w:rPr>
              <w:t xml:space="preserve">shift_id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FK</w:t>
            </w:r>
          </w:p>
        </w:tc>
      </w:tr>
      <w:tr>
        <w:tc>
          <w:tcPr/>
          <w:p>
            <w:pPr>
              <w:pStyle w:val="Compact"/>
              <w:jc w:val="left"/>
            </w:pPr>
            <w:r>
              <w:rPr>
                <w:rStyle w:val="VerbatimChar"/>
              </w:rPr>
              <w:t xml:space="preserve">plant_circuit_id</w:t>
            </w:r>
          </w:p>
        </w:tc>
        <w:tc>
          <w:tcPr/>
          <w:p>
            <w:pPr>
              <w:pStyle w:val="Compact"/>
              <w:jc w:val="left"/>
            </w:pPr>
            <w:r>
              <w:t xml:space="preserve">string</w:t>
            </w:r>
          </w:p>
        </w:tc>
        <w:tc>
          <w:tcPr/>
          <w:p>
            <w:pPr>
              <w:pStyle w:val="Compact"/>
              <w:jc w:val="left"/>
            </w:pPr>
            <w:r>
              <w:t xml:space="preserve">—</w:t>
            </w:r>
          </w:p>
        </w:tc>
        <w:tc>
          <w:tcPr/>
          <w:p>
            <w:pPr>
              <w:pStyle w:val="Compact"/>
              <w:jc w:val="left"/>
            </w:pPr>
            <w:r>
              <w:t xml:space="preserve">Circuit identifier, e.g. </w:t>
            </w:r>
            <w:r>
              <w:rPr>
                <w:rStyle w:val="VerbatimChar"/>
              </w:rPr>
              <w:t xml:space="preserve">CU-FLOAT-1</w:t>
            </w:r>
          </w:p>
        </w:tc>
      </w:tr>
      <w:tr>
        <w:tc>
          <w:tcPr/>
          <w:p>
            <w:pPr>
              <w:pStyle w:val="Compact"/>
              <w:jc w:val="left"/>
            </w:pPr>
            <w:r>
              <w:rPr>
                <w:rStyle w:val="VerbatimChar"/>
              </w:rPr>
              <w:t xml:space="preserve">metal</w:t>
            </w:r>
          </w:p>
        </w:tc>
        <w:tc>
          <w:tcPr/>
          <w:p>
            <w:pPr>
              <w:pStyle w:val="Compact"/>
              <w:jc w:val="left"/>
            </w:pPr>
            <w:r>
              <w:t xml:space="preserve">enum</w:t>
            </w:r>
          </w:p>
        </w:tc>
        <w:tc>
          <w:tcPr/>
          <w:p>
            <w:pPr>
              <w:pStyle w:val="Compact"/>
              <w:jc w:val="left"/>
            </w:pPr>
            <w:r>
              <w:t xml:space="preserve">—</w:t>
            </w:r>
          </w:p>
        </w:tc>
        <w:tc>
          <w:tcPr/>
          <w:p>
            <w:pPr>
              <w:pStyle w:val="Compact"/>
              <w:jc w:val="left"/>
            </w:pPr>
            <w:r>
              <w:rPr>
                <w:rStyle w:val="VerbatimChar"/>
              </w:rPr>
              <w:t xml:space="preserve">Cu</w:t>
            </w:r>
            <w:r>
              <w:t xml:space="preserve">, </w:t>
            </w:r>
            <w:r>
              <w:rPr>
                <w:rStyle w:val="VerbatimChar"/>
              </w:rPr>
              <w:t xml:space="preserve">Mo</w:t>
            </w:r>
            <w:r>
              <w:t xml:space="preserve">, </w:t>
            </w:r>
            <w:r>
              <w:rPr>
                <w:rStyle w:val="VerbatimChar"/>
              </w:rPr>
              <w:t xml:space="preserve">Au</w:t>
            </w:r>
          </w:p>
        </w:tc>
      </w:tr>
      <w:tr>
        <w:tc>
          <w:tcPr/>
          <w:p>
            <w:pPr>
              <w:pStyle w:val="Compact"/>
              <w:jc w:val="left"/>
            </w:pPr>
            <w:r>
              <w:rPr>
                <w:rStyle w:val="VerbatimChar"/>
              </w:rPr>
              <w:t xml:space="preserve">feed_grade_pct</w:t>
            </w:r>
          </w:p>
        </w:tc>
        <w:tc>
          <w:tcPr/>
          <w:p>
            <w:pPr>
              <w:pStyle w:val="Compact"/>
              <w:jc w:val="left"/>
            </w:pPr>
            <w:r>
              <w:t xml:space="preserve">float</w:t>
            </w:r>
          </w:p>
        </w:tc>
        <w:tc>
          <w:tcPr/>
          <w:p>
            <w:pPr>
              <w:pStyle w:val="Compact"/>
              <w:jc w:val="left"/>
            </w:pPr>
            <w:r>
              <w:t xml:space="preserve">%</w:t>
            </w:r>
          </w:p>
        </w:tc>
        <w:tc>
          <w:tcPr/>
          <w:p>
            <w:pPr>
              <w:pStyle w:val="Compact"/>
              <w:jc w:val="left"/>
            </w:pPr>
            <w:r>
              <w:t xml:space="preserve">Head assay</w:t>
            </w:r>
          </w:p>
        </w:tc>
      </w:tr>
      <w:tr>
        <w:tc>
          <w:tcPr/>
          <w:p>
            <w:pPr>
              <w:pStyle w:val="Compact"/>
              <w:jc w:val="left"/>
            </w:pPr>
            <w:r>
              <w:rPr>
                <w:rStyle w:val="VerbatimChar"/>
              </w:rPr>
              <w:t xml:space="preserve">conc_grade_pct</w:t>
            </w:r>
          </w:p>
        </w:tc>
        <w:tc>
          <w:tcPr/>
          <w:p>
            <w:pPr>
              <w:pStyle w:val="Compact"/>
              <w:jc w:val="left"/>
            </w:pPr>
            <w:r>
              <w:t xml:space="preserve">float</w:t>
            </w:r>
          </w:p>
        </w:tc>
        <w:tc>
          <w:tcPr/>
          <w:p>
            <w:pPr>
              <w:pStyle w:val="Compact"/>
              <w:jc w:val="left"/>
            </w:pPr>
            <w:r>
              <w:t xml:space="preserve">%</w:t>
            </w:r>
          </w:p>
        </w:tc>
        <w:tc>
          <w:tcPr/>
          <w:p>
            <w:pPr>
              <w:pStyle w:val="Compact"/>
              <w:jc w:val="left"/>
            </w:pPr>
            <w:r>
              <w:t xml:space="preserve">Concentrate assay</w:t>
            </w:r>
          </w:p>
        </w:tc>
      </w:tr>
      <w:tr>
        <w:tc>
          <w:tcPr/>
          <w:p>
            <w:pPr>
              <w:pStyle w:val="Compact"/>
              <w:jc w:val="left"/>
            </w:pPr>
            <w:r>
              <w:rPr>
                <w:rStyle w:val="VerbatimChar"/>
              </w:rPr>
              <w:t xml:space="preserve">tail_grade_pct</w:t>
            </w:r>
          </w:p>
        </w:tc>
        <w:tc>
          <w:tcPr/>
          <w:p>
            <w:pPr>
              <w:pStyle w:val="Compact"/>
              <w:jc w:val="left"/>
            </w:pPr>
            <w:r>
              <w:t xml:space="preserve">float</w:t>
            </w:r>
          </w:p>
        </w:tc>
        <w:tc>
          <w:tcPr/>
          <w:p>
            <w:pPr>
              <w:pStyle w:val="Compact"/>
              <w:jc w:val="left"/>
            </w:pPr>
            <w:r>
              <w:t xml:space="preserve">%</w:t>
            </w:r>
          </w:p>
        </w:tc>
        <w:tc>
          <w:tcPr/>
          <w:p>
            <w:pPr>
              <w:pStyle w:val="Compact"/>
              <w:jc w:val="left"/>
            </w:pPr>
            <w:r>
              <w:t xml:space="preserve">Tailings assay</w:t>
            </w:r>
          </w:p>
        </w:tc>
      </w:tr>
      <w:tr>
        <w:tc>
          <w:tcPr/>
          <w:p>
            <w:pPr>
              <w:pStyle w:val="Compact"/>
              <w:jc w:val="left"/>
            </w:pPr>
            <w:r>
              <w:rPr>
                <w:rStyle w:val="VerbatimChar"/>
              </w:rPr>
              <w:t xml:space="preserve">recovery_pct</w:t>
            </w:r>
          </w:p>
        </w:tc>
        <w:tc>
          <w:tcPr/>
          <w:p>
            <w:pPr>
              <w:pStyle w:val="Compact"/>
              <w:jc w:val="left"/>
            </w:pPr>
            <w:r>
              <w:t xml:space="preserve">float</w:t>
            </w:r>
          </w:p>
        </w:tc>
        <w:tc>
          <w:tcPr/>
          <w:p>
            <w:pPr>
              <w:pStyle w:val="Compact"/>
              <w:jc w:val="left"/>
            </w:pPr>
            <w:r>
              <w:t xml:space="preserve">%</w:t>
            </w:r>
          </w:p>
        </w:tc>
        <w:tc>
          <w:tcPr/>
          <w:p>
            <w:pPr>
              <w:pStyle w:val="Compact"/>
              <w:jc w:val="left"/>
            </w:pPr>
            <w:r>
              <w:t xml:space="preserve">Computed two-product recovery</w:t>
            </w:r>
          </w:p>
        </w:tc>
      </w:tr>
      <w:tr>
        <w:tc>
          <w:tcPr/>
          <w:p>
            <w:pPr>
              <w:pStyle w:val="Compact"/>
              <w:jc w:val="left"/>
            </w:pPr>
            <w:r>
              <w:rPr>
                <w:rStyle w:val="VerbatimChar"/>
              </w:rPr>
              <w:t xml:space="preserve">feed_tph</w:t>
            </w:r>
          </w:p>
        </w:tc>
        <w:tc>
          <w:tcPr/>
          <w:p>
            <w:pPr>
              <w:pStyle w:val="Compact"/>
              <w:jc w:val="left"/>
            </w:pPr>
            <w:r>
              <w:t xml:space="preserve">float</w:t>
            </w:r>
          </w:p>
        </w:tc>
        <w:tc>
          <w:tcPr/>
          <w:p>
            <w:pPr>
              <w:pStyle w:val="Compact"/>
              <w:jc w:val="left"/>
            </w:pPr>
            <w:r>
              <w:t xml:space="preserve">t/h</w:t>
            </w:r>
          </w:p>
        </w:tc>
        <w:tc>
          <w:tcPr/>
          <w:p>
            <w:pPr>
              <w:pStyle w:val="Compact"/>
              <w:jc w:val="left"/>
            </w:pPr>
            <w:r>
              <w:t xml:space="preserve">Mill throughput</w:t>
            </w:r>
          </w:p>
        </w:tc>
      </w:tr>
      <w:tr>
        <w:tc>
          <w:tcPr/>
          <w:p>
            <w:pPr>
              <w:pStyle w:val="Compact"/>
              <w:jc w:val="left"/>
            </w:pPr>
            <w:r>
              <w:rPr>
                <w:rStyle w:val="VerbatimChar"/>
              </w:rPr>
              <w:t xml:space="preserve">conc_dmt_shift</w:t>
            </w:r>
          </w:p>
        </w:tc>
        <w:tc>
          <w:tcPr/>
          <w:p>
            <w:pPr>
              <w:pStyle w:val="Compact"/>
              <w:jc w:val="left"/>
            </w:pPr>
            <w:r>
              <w:t xml:space="preserve">float</w:t>
            </w:r>
          </w:p>
        </w:tc>
        <w:tc>
          <w:tcPr/>
          <w:p>
            <w:pPr>
              <w:pStyle w:val="Compact"/>
              <w:jc w:val="left"/>
            </w:pPr>
            <w:r>
              <w:t xml:space="preserve">t</w:t>
            </w:r>
          </w:p>
        </w:tc>
        <w:tc>
          <w:tcPr/>
          <w:p>
            <w:pPr>
              <w:pStyle w:val="Compact"/>
              <w:jc w:val="left"/>
            </w:pPr>
            <w:r>
              <w:t xml:space="preserve">Dry metric tonnes of concentrate</w:t>
            </w:r>
          </w:p>
        </w:tc>
      </w:tr>
    </w:tbl>
    <w:p>
      <w:pPr>
        <w:pStyle w:val="BodyText"/>
      </w:pPr>
      <w:r>
        <w:rPr>
          <w:bCs/>
          <w:b/>
        </w:rPr>
        <w:t xml:space="preserve">Example records.</w:t>
      </w:r>
    </w:p>
    <w:p>
      <w:pPr>
        <w:pStyle w:val="SourceCode"/>
      </w:pPr>
      <w:r>
        <w:rPr>
          <w:rStyle w:val="VerbatimChar"/>
        </w:rPr>
        <w:t xml:space="preserve">assay_id,shift_id,metal,feed_grade_pct,conc_grade_pct,tail_grade_pct,recovery_pct</w:t>
      </w:r>
      <w:r>
        <w:br/>
      </w:r>
      <w:r>
        <w:rPr>
          <w:rStyle w:val="VerbatimChar"/>
        </w:rPr>
        <w:t xml:space="preserve">ASY-BWS-0001,BWS_2026-01-15_D,Cu,0.60,28.0,0.08,86.91</w:t>
      </w:r>
      <w:r>
        <w:br/>
      </w:r>
      <w:r>
        <w:rPr>
          <w:rStyle w:val="VerbatimChar"/>
        </w:rPr>
        <w:t xml:space="preserve">ASY-BWS-0002,BWS_2026-01-15_N,Cu,0.58,27.8,0.09,85.74</w:t>
      </w:r>
      <w:r>
        <w:br/>
      </w:r>
      <w:r>
        <w:rPr>
          <w:rStyle w:val="VerbatimChar"/>
        </w:rPr>
        <w:t xml:space="preserve">ASY-BWS-0003,BWS_2026-01-15_D,Mo,0.015,52.0,0.002,91.3</w:t>
      </w:r>
    </w:p>
    <w:p>
      <w:pPr>
        <w:pStyle w:val="FirstParagraph"/>
      </w:pPr>
      <w:r>
        <w:rPr>
          <w:bCs/>
          <w:b/>
        </w:rPr>
        <w:t xml:space="preserve">Note.</w:t>
      </w:r>
      <w:r>
        <w:t xml:space="preserve"> The canonical copper worked example (feed 0.60%, conc 28.0%, tail 0.08% → 86.91%) is directly reproduced in row </w:t>
      </w:r>
      <w:r>
        <w:rPr>
          <w:rStyle w:val="VerbatimChar"/>
        </w:rPr>
        <w:t xml:space="preserve">ASY-BWS-0001</w:t>
      </w:r>
      <w:r>
        <w:t xml:space="preserve">. Running </w:t>
      </w:r>
      <w:r>
        <w:rPr>
          <w:rStyle w:val="VerbatimChar"/>
        </w:rPr>
        <w:t xml:space="preserve">QUAL.Recovery</w:t>
      </w:r>
      <w:r>
        <w:t xml:space="preserve"> on this row reproduces the value in Part III.</w:t>
      </w:r>
    </w:p>
    <w:bookmarkEnd w:id="58"/>
    <w:bookmarkStart w:id="59" w:name="coaldevelopment_events.csv-black-diamond"/>
    <w:p>
      <w:pPr>
        <w:pStyle w:val="Heading3"/>
      </w:pPr>
      <w:bookmarkStart w:id="930032" w:name="_TocLBSv1_930032"/>
      <w:r>
        <w:t xml:space="preserve">coal/development_events.csv (Black Diamond)</w:t>
      </w:r>
      <w:bookmarkEnd w:id="930032"/>
    </w:p>
    <w:p>
      <w:pPr>
        <w:pStyle w:val="FirstParagraph"/>
      </w:pPr>
      <w:r>
        <w:rPr>
          <w:bCs/>
          <w:b/>
        </w:rPr>
        <w:t xml:space="preserve">Purpose.</w:t>
      </w:r>
      <w:r>
        <w:t xml:space="preserve"> Longwall development cut records — each row is one shearer cut. Source for </w:t>
      </w:r>
      <w:r>
        <w:rPr>
          <w:rStyle w:val="VerbatimChar"/>
        </w:rPr>
        <w:t xml:space="preserve">PROD.FaceAdvance</w:t>
      </w:r>
      <w:r>
        <w:t xml:space="preserve"> and </w:t>
      </w:r>
      <w:r>
        <w:rPr>
          <w:rStyle w:val="VerbatimChar"/>
        </w:rPr>
        <w:t xml:space="preserve">PROD.DevelopmentRate</w:t>
      </w:r>
      <w:r>
        <w:t xml:space="preserve">.</w:t>
      </w:r>
    </w:p>
    <w:p>
      <w:pPr>
        <w:pStyle w:val="BodyText"/>
      </w:pPr>
      <w:r>
        <w:rPr>
          <w:bCs/>
          <w:b/>
        </w:rPr>
        <w:t xml:space="preserve">Columns.</w:t>
      </w:r>
      <w:r>
        <w:t xml:space="preserve"> </w:t>
      </w:r>
      <w:r>
        <w:rPr>
          <w:rStyle w:val="VerbatimChar"/>
        </w:rPr>
        <w:t xml:space="preserve">dev_id</w:t>
      </w:r>
      <w:r>
        <w:t xml:space="preserve">, </w:t>
      </w:r>
      <w:r>
        <w:rPr>
          <w:rStyle w:val="VerbatimChar"/>
        </w:rPr>
        <w:t xml:space="preserve">equipment_id</w:t>
      </w:r>
      <w:r>
        <w:t xml:space="preserve"> (shearer), </w:t>
      </w:r>
      <w:r>
        <w:rPr>
          <w:rStyle w:val="VerbatimChar"/>
        </w:rPr>
        <w:t xml:space="preserve">shift_id</w:t>
      </w:r>
      <w:r>
        <w:t xml:space="preserve">, </w:t>
      </w:r>
      <w:r>
        <w:rPr>
          <w:rStyle w:val="VerbatimChar"/>
        </w:rPr>
        <w:t xml:space="preserve">panel_id</w:t>
      </w:r>
      <w:r>
        <w:t xml:space="preserve">, </w:t>
      </w:r>
      <w:r>
        <w:rPr>
          <w:rStyle w:val="VerbatimChar"/>
        </w:rPr>
        <w:t xml:space="preserve">cut_start_utc</w:t>
      </w:r>
      <w:r>
        <w:t xml:space="preserve">, </w:t>
      </w:r>
      <w:r>
        <w:rPr>
          <w:rStyle w:val="VerbatimChar"/>
        </w:rPr>
        <w:t xml:space="preserve">cut_end_utc</w:t>
      </w:r>
      <w:r>
        <w:t xml:space="preserve">, </w:t>
      </w:r>
      <w:r>
        <w:rPr>
          <w:rStyle w:val="VerbatimChar"/>
        </w:rPr>
        <w:t xml:space="preserve">advance_m</w:t>
      </w:r>
      <w:r>
        <w:t xml:space="preserve">, </w:t>
      </w:r>
      <w:r>
        <w:rPr>
          <w:rStyle w:val="VerbatimChar"/>
        </w:rPr>
        <w:t xml:space="preserve">cut_depth_m</w:t>
      </w:r>
      <w:r>
        <w:t xml:space="preserve">, </w:t>
      </w:r>
      <w:r>
        <w:rPr>
          <w:rStyle w:val="VerbatimChar"/>
        </w:rPr>
        <w:t xml:space="preserve">seam_height_m</w:t>
      </w:r>
      <w:r>
        <w:t xml:space="preserve">, </w:t>
      </w:r>
      <w:r>
        <w:rPr>
          <w:rStyle w:val="VerbatimChar"/>
        </w:rPr>
        <w:t xml:space="preserve">material_type</w:t>
      </w:r>
      <w:r>
        <w:t xml:space="preserve"> (Coal/Stone), </w:t>
      </w:r>
      <w:r>
        <w:rPr>
          <w:rStyle w:val="VerbatimChar"/>
        </w:rPr>
        <w:t xml:space="preserve">web_tonnes</w:t>
      </w:r>
      <w:r>
        <w:t xml:space="preserve">, </w:t>
      </w:r>
      <w:r>
        <w:rPr>
          <w:rStyle w:val="VerbatimChar"/>
        </w:rPr>
        <w:t xml:space="preserve">data_quality</w:t>
      </w:r>
      <w:r>
        <w:t xml:space="preserve">.</w:t>
      </w:r>
    </w:p>
    <w:bookmarkEnd w:id="59"/>
    <w:bookmarkStart w:id="60" w:name="lithiumassay_events.csv-green-valley"/>
    <w:p>
      <w:pPr>
        <w:pStyle w:val="Heading3"/>
      </w:pPr>
      <w:bookmarkStart w:id="930033" w:name="_TocLBSv1_930033"/>
      <w:r>
        <w:t xml:space="preserve">lithium/assay_events.csv (Green Valley)</w:t>
      </w:r>
      <w:bookmarkEnd w:id="930033"/>
    </w:p>
    <w:p>
      <w:pPr>
        <w:pStyle w:val="FirstParagraph"/>
      </w:pPr>
      <w:r>
        <w:rPr>
          <w:bCs/>
          <w:b/>
        </w:rPr>
        <w:t xml:space="preserve">Purpose.</w:t>
      </w:r>
      <w:r>
        <w:t xml:space="preserve"> Li₂O assay results per plant shift. Reproduces the 70.48% Li₂O recovery from Part III.</w:t>
      </w:r>
    </w:p>
    <w:p>
      <w:pPr>
        <w:pStyle w:val="BodyText"/>
      </w:pPr>
      <w:r>
        <w:rPr>
          <w:bCs/>
          <w:b/>
        </w:rPr>
        <w:t xml:space="preserve">Example record.</w:t>
      </w:r>
    </w:p>
    <w:p>
      <w:pPr>
        <w:pStyle w:val="SourceCode"/>
      </w:pPr>
      <w:r>
        <w:rPr>
          <w:rStyle w:val="VerbatimChar"/>
        </w:rPr>
        <w:t xml:space="preserve">assay_id,shift_id,metal,feed_grade_pct,conc_grade_pct,tail_grade_pct,recovery_pct</w:t>
      </w:r>
      <w:r>
        <w:br/>
      </w:r>
      <w:r>
        <w:rPr>
          <w:rStyle w:val="VerbatimChar"/>
        </w:rPr>
        <w:t xml:space="preserve">ASY-GVL-0001,GVL_2026-01-15_D,Li2O,1.00,4.50,0.35,70.48</w:t>
      </w:r>
    </w:p>
    <w:bookmarkEnd w:id="60"/>
    <w:bookmarkEnd w:id="61"/>
    <w:bookmarkStart w:id="62" w:name="dataset-generation"/>
    <w:p>
      <w:pPr>
        <w:pStyle w:val="Heading2"/>
      </w:pPr>
      <w:bookmarkStart w:id="930034" w:name="_TocLBSv1_930034"/>
      <w:r>
        <w:t xml:space="preserve">Dataset generation</w:t>
      </w:r>
      <w:bookmarkEnd w:id="930034"/>
    </w:p>
    <w:p>
      <w:pPr>
        <w:pStyle w:val="FirstParagraph"/>
      </w:pPr>
      <w:r>
        <w:t xml:space="preserve">All datasets are produced by </w:t>
      </w:r>
      <w:r>
        <w:rPr>
          <w:rStyle w:val="VerbatimChar"/>
        </w:rPr>
        <w:t xml:space="preserve">datasets/generators/generate_all.py</w:t>
      </w:r>
      <w:r>
        <w:t xml:space="preserve">. Running this script generates one year of synthetic data (365 days × 2 shifts × all mines) and writes all CSV files. The generator uses the canonical parameters from Part III and is itself a dataset: reading it teaches the operational logic behind the numbers.</w:t>
      </w:r>
    </w:p>
    <w:p>
      <w:pPr>
        <w:pStyle w:val="SourceCode"/>
      </w:pPr>
      <w:r>
        <w:rPr>
          <w:rStyle w:val="CommentTok"/>
        </w:rPr>
        <w:t xml:space="preserve"># datasets/generators/generate_all.py — excerpt</w:t>
      </w:r>
      <w:r>
        <w:br/>
      </w:r>
      <w:r>
        <w:rPr>
          <w:rStyle w:val="ImportTok"/>
        </w:rPr>
        <w:t xml:space="preserve">from</w:t>
      </w:r>
      <w:r>
        <w:rPr>
          <w:rStyle w:val="NormalTok"/>
        </w:rPr>
        <w:t xml:space="preserve"> mp_kpis_p3 </w:t>
      </w:r>
      <w:r>
        <w:rPr>
          <w:rStyle w:val="ImportTok"/>
        </w:rPr>
        <w:t xml:space="preserve">import</w:t>
      </w:r>
      <w:r>
        <w:rPr>
          <w:rStyle w:val="NormalTok"/>
        </w:rPr>
        <w:t xml:space="preserve"> tonnes_per_hour, truck_cycle_time, physical_availability</w:t>
      </w:r>
      <w:r>
        <w:br/>
      </w:r>
      <w:r>
        <w:rPr>
          <w:rStyle w:val="ImportTok"/>
        </w:rPr>
        <w:t xml:space="preserve">import</w:t>
      </w:r>
      <w:r>
        <w:rPr>
          <w:rStyle w:val="NormalTok"/>
        </w:rPr>
        <w:t xml:space="preserve"> random, csv, datetime</w:t>
      </w:r>
      <w:r>
        <w:br/>
        <w:br/>
      </w:r>
      <w:r>
        <w:rPr>
          <w:rStyle w:val="NormalTok"/>
        </w:rPr>
        <w:t xml:space="preserve">MINES </w:t>
      </w:r>
      <w:r>
        <w:rPr>
          <w:rStyle w:val="OperatorTok"/>
        </w:rPr>
        <w:t xml:space="preserve">=</w:t>
      </w:r>
      <w:r>
        <w:rPr>
          <w:rStyle w:val="NormalTok"/>
        </w:rPr>
        <w:t xml:space="preserve"> {</w:t>
      </w:r>
      <w:r>
        <w:br/>
      </w:r>
      <w:r>
        <w:rPr>
          <w:rStyle w:val="NormalTok"/>
        </w:rPr>
        <w:t xml:space="preserve">    </w:t>
      </w:r>
      <w:r>
        <w:rPr>
          <w:rStyle w:val="StringTok"/>
        </w:rPr>
        <w:t xml:space="preserve">"PIL"</w:t>
      </w:r>
      <w:r>
        <w:rPr>
          <w:rStyle w:val="NormalTok"/>
        </w:rPr>
        <w:t xml:space="preserve">: {</w:t>
      </w:r>
      <w:r>
        <w:rPr>
          <w:rStyle w:val="StringTok"/>
        </w:rPr>
        <w:t xml:space="preserve">"payloads"</w:t>
      </w:r>
      <w:r>
        <w:rPr>
          <w:rStyle w:val="NormalTok"/>
        </w:rPr>
        <w:t xml:space="preserve">: (</w:t>
      </w:r>
      <w:r>
        <w:rPr>
          <w:rStyle w:val="DecValTok"/>
        </w:rPr>
        <w:t xml:space="preserve">280</w:t>
      </w:r>
      <w:r>
        <w:rPr>
          <w:rStyle w:val="NormalTok"/>
        </w:rPr>
        <w:t xml:space="preserve">,</w:t>
      </w:r>
      <w:r>
        <w:rPr>
          <w:rStyle w:val="DecValTok"/>
        </w:rPr>
        <w:t xml:space="preserve">300</w:t>
      </w:r>
      <w:r>
        <w:rPr>
          <w:rStyle w:val="NormalTok"/>
        </w:rPr>
        <w:t xml:space="preserve">), </w:t>
      </w:r>
      <w:r>
        <w:rPr>
          <w:rStyle w:val="StringTok"/>
        </w:rPr>
        <w:t xml:space="preserve">"cycle_mean"</w:t>
      </w:r>
      <w:r>
        <w:rPr>
          <w:rStyle w:val="NormalTok"/>
        </w:rPr>
        <w:t xml:space="preserve">:</w:t>
      </w:r>
      <w:r>
        <w:rPr>
          <w:rStyle w:val="FloatTok"/>
        </w:rPr>
        <w:t xml:space="preserve">19.5</w:t>
      </w:r>
      <w:r>
        <w:rPr>
          <w:rStyle w:val="NormalTok"/>
        </w:rPr>
        <w:t xml:space="preserve">, </w:t>
      </w:r>
      <w:r>
        <w:rPr>
          <w:rStyle w:val="StringTok"/>
        </w:rPr>
        <w:t xml:space="preserve">"n_trucks"</w:t>
      </w:r>
      <w:r>
        <w:rPr>
          <w:rStyle w:val="NormalTok"/>
        </w:rPr>
        <w:t xml:space="preserve">:</w:t>
      </w:r>
      <w:r>
        <w:rPr>
          <w:rStyle w:val="DecValTok"/>
        </w:rPr>
        <w:t xml:space="preserve">12</w:t>
      </w:r>
      <w:r>
        <w:rPr>
          <w:rStyle w:val="NormalTok"/>
        </w:rPr>
        <w:t xml:space="preserve">, </w:t>
      </w:r>
      <w:r>
        <w:rPr>
          <w:rStyle w:val="StringTok"/>
        </w:rPr>
        <w:t xml:space="preserve">"route_km"</w:t>
      </w:r>
      <w:r>
        <w:rPr>
          <w:rStyle w:val="NormalTok"/>
        </w:rPr>
        <w:t xml:space="preserve">:</w:t>
      </w:r>
      <w:r>
        <w:rPr>
          <w:rStyle w:val="FloatTok"/>
        </w:rPr>
        <w:t xml:space="preserve">3.2</w:t>
      </w:r>
      <w:r>
        <w:rPr>
          <w:rStyle w:val="NormalTok"/>
        </w:rPr>
        <w:t xml:space="preserve">},</w:t>
      </w:r>
      <w:r>
        <w:br/>
      </w:r>
      <w:r>
        <w:rPr>
          <w:rStyle w:val="NormalTok"/>
        </w:rPr>
        <w:t xml:space="preserve">    </w:t>
      </w:r>
      <w:r>
        <w:rPr>
          <w:rStyle w:val="StringTok"/>
        </w:rPr>
        <w:t xml:space="preserve">"BWS"</w:t>
      </w:r>
      <w:r>
        <w:rPr>
          <w:rStyle w:val="NormalTok"/>
        </w:rPr>
        <w:t xml:space="preserve">: {</w:t>
      </w:r>
      <w:r>
        <w:rPr>
          <w:rStyle w:val="StringTok"/>
        </w:rPr>
        <w:t xml:space="preserve">"payloads"</w:t>
      </w:r>
      <w:r>
        <w:rPr>
          <w:rStyle w:val="NormalTok"/>
        </w:rPr>
        <w:t xml:space="preserve">: (</w:t>
      </w:r>
      <w:r>
        <w:rPr>
          <w:rStyle w:val="DecValTok"/>
        </w:rPr>
        <w:t xml:space="preserve">215</w:t>
      </w:r>
      <w:r>
        <w:rPr>
          <w:rStyle w:val="NormalTok"/>
        </w:rPr>
        <w:t xml:space="preserve">,</w:t>
      </w:r>
      <w:r>
        <w:rPr>
          <w:rStyle w:val="DecValTok"/>
        </w:rPr>
        <w:t xml:space="preserve">230</w:t>
      </w:r>
      <w:r>
        <w:rPr>
          <w:rStyle w:val="NormalTok"/>
        </w:rPr>
        <w:t xml:space="preserve">), </w:t>
      </w:r>
      <w:r>
        <w:rPr>
          <w:rStyle w:val="StringTok"/>
        </w:rPr>
        <w:t xml:space="preserve">"cycle_mean"</w:t>
      </w:r>
      <w:r>
        <w:rPr>
          <w:rStyle w:val="NormalTok"/>
        </w:rPr>
        <w:t xml:space="preserve">:</w:t>
      </w:r>
      <w:r>
        <w:rPr>
          <w:rStyle w:val="FloatTok"/>
        </w:rPr>
        <w:t xml:space="preserve">21.0</w:t>
      </w:r>
      <w:r>
        <w:rPr>
          <w:rStyle w:val="NormalTok"/>
        </w:rPr>
        <w:t xml:space="preserve">, </w:t>
      </w:r>
      <w:r>
        <w:rPr>
          <w:rStyle w:val="StringTok"/>
        </w:rPr>
        <w:t xml:space="preserve">"n_trucks"</w:t>
      </w:r>
      <w:r>
        <w:rPr>
          <w:rStyle w:val="NormalTok"/>
        </w:rPr>
        <w:t xml:space="preserve">:</w:t>
      </w:r>
      <w:r>
        <w:rPr>
          <w:rStyle w:val="DecValTok"/>
        </w:rPr>
        <w:t xml:space="preserve">10</w:t>
      </w:r>
      <w:r>
        <w:rPr>
          <w:rStyle w:val="NormalTok"/>
        </w:rPr>
        <w:t xml:space="preserve">, </w:t>
      </w:r>
      <w:r>
        <w:rPr>
          <w:rStyle w:val="StringTok"/>
        </w:rPr>
        <w:t xml:space="preserve">"route_km"</w:t>
      </w:r>
      <w:r>
        <w:rPr>
          <w:rStyle w:val="NormalTok"/>
        </w:rPr>
        <w:t xml:space="preserve">:</w:t>
      </w:r>
      <w:r>
        <w:rPr>
          <w:rStyle w:val="FloatTok"/>
        </w:rPr>
        <w:t xml:space="preserve">4.5</w:t>
      </w:r>
      <w:r>
        <w:rPr>
          <w:rStyle w:val="NormalTok"/>
        </w:rPr>
        <w:t xml:space="preserve">},</w:t>
      </w:r>
      <w:r>
        <w:br/>
      </w:r>
      <w:r>
        <w:rPr>
          <w:rStyle w:val="NormalTok"/>
        </w:rPr>
        <w:t xml:space="preserve">    </w:t>
      </w:r>
      <w:r>
        <w:rPr>
          <w:rStyle w:val="StringTok"/>
        </w:rPr>
        <w:t xml:space="preserve">"BDM"</w:t>
      </w:r>
      <w:r>
        <w:rPr>
          <w:rStyle w:val="NormalTok"/>
        </w:rPr>
        <w:t xml:space="preserve">: {</w:t>
      </w:r>
      <w:r>
        <w:rPr>
          <w:rStyle w:val="StringTok"/>
        </w:rPr>
        <w:t xml:space="preserve">"payloads"</w:t>
      </w:r>
      <w:r>
        <w:rPr>
          <w:rStyle w:val="NormalTok"/>
        </w:rPr>
        <w:t xml:space="preserve">: (</w:t>
      </w:r>
      <w:r>
        <w:rPr>
          <w:rStyle w:val="DecValTok"/>
        </w:rPr>
        <w:t xml:space="preserve">170</w:t>
      </w:r>
      <w:r>
        <w:rPr>
          <w:rStyle w:val="NormalTok"/>
        </w:rPr>
        <w:t xml:space="preserve">,</w:t>
      </w:r>
      <w:r>
        <w:rPr>
          <w:rStyle w:val="DecValTok"/>
        </w:rPr>
        <w:t xml:space="preserve">190</w:t>
      </w:r>
      <w:r>
        <w:rPr>
          <w:rStyle w:val="NormalTok"/>
        </w:rPr>
        <w:t xml:space="preserve">), </w:t>
      </w:r>
      <w:r>
        <w:rPr>
          <w:rStyle w:val="StringTok"/>
        </w:rPr>
        <w:t xml:space="preserve">"cycle_mean"</w:t>
      </w:r>
      <w:r>
        <w:rPr>
          <w:rStyle w:val="NormalTok"/>
        </w:rPr>
        <w:t xml:space="preserve">:</w:t>
      </w:r>
      <w:r>
        <w:rPr>
          <w:rStyle w:val="FloatTok"/>
        </w:rPr>
        <w:t xml:space="preserve">17.0</w:t>
      </w:r>
      <w:r>
        <w:rPr>
          <w:rStyle w:val="NormalTok"/>
        </w:rPr>
        <w:t xml:space="preserve">, </w:t>
      </w:r>
      <w:r>
        <w:rPr>
          <w:rStyle w:val="StringTok"/>
        </w:rPr>
        <w:t xml:space="preserve">"n_trucks"</w:t>
      </w:r>
      <w:r>
        <w:rPr>
          <w:rStyle w:val="NormalTok"/>
        </w:rPr>
        <w:t xml:space="preserve">:</w:t>
      </w:r>
      <w:r>
        <w:rPr>
          <w:rStyle w:val="DecValTok"/>
        </w:rPr>
        <w:t xml:space="preserve">8</w:t>
      </w:r>
      <w:r>
        <w:rPr>
          <w:rStyle w:val="NormalTok"/>
        </w:rPr>
        <w:t xml:space="preserve">,  </w:t>
      </w:r>
      <w:r>
        <w:rPr>
          <w:rStyle w:val="StringTok"/>
        </w:rPr>
        <w:t xml:space="preserve">"route_km"</w:t>
      </w:r>
      <w:r>
        <w:rPr>
          <w:rStyle w:val="NormalTok"/>
        </w:rPr>
        <w:t xml:space="preserve">:</w:t>
      </w:r>
      <w:r>
        <w:rPr>
          <w:rStyle w:val="FloatTok"/>
        </w:rPr>
        <w:t xml:space="preserve">2.8</w:t>
      </w:r>
      <w:r>
        <w:rPr>
          <w:rStyle w:val="NormalTok"/>
        </w:rPr>
        <w:t xml:space="preserve">},</w:t>
      </w:r>
      <w:r>
        <w:br/>
      </w:r>
      <w:r>
        <w:rPr>
          <w:rStyle w:val="NormalTok"/>
        </w:rPr>
        <w:t xml:space="preserve">    </w:t>
      </w:r>
      <w:r>
        <w:rPr>
          <w:rStyle w:val="StringTok"/>
        </w:rPr>
        <w:t xml:space="preserve">"AGM"</w:t>
      </w:r>
      <w:r>
        <w:rPr>
          <w:rStyle w:val="NormalTok"/>
        </w:rPr>
        <w:t xml:space="preserve">: {</w:t>
      </w:r>
      <w:r>
        <w:rPr>
          <w:rStyle w:val="StringTok"/>
        </w:rPr>
        <w:t xml:space="preserve">"payloads"</w:t>
      </w:r>
      <w:r>
        <w:rPr>
          <w:rStyle w:val="NormalTok"/>
        </w:rPr>
        <w:t xml:space="preserve">: (</w:t>
      </w:r>
      <w:r>
        <w:rPr>
          <w:rStyle w:val="DecValTok"/>
        </w:rPr>
        <w:t xml:space="preserve">60</w:t>
      </w:r>
      <w:r>
        <w:rPr>
          <w:rStyle w:val="NormalTok"/>
        </w:rPr>
        <w:t xml:space="preserve">,</w:t>
      </w:r>
      <w:r>
        <w:rPr>
          <w:rStyle w:val="DecValTok"/>
        </w:rPr>
        <w:t xml:space="preserve">75</w:t>
      </w:r>
      <w:r>
        <w:rPr>
          <w:rStyle w:val="NormalTok"/>
        </w:rPr>
        <w:t xml:space="preserve">),   </w:t>
      </w:r>
      <w:r>
        <w:rPr>
          <w:rStyle w:val="StringTok"/>
        </w:rPr>
        <w:t xml:space="preserve">"cycle_mean"</w:t>
      </w:r>
      <w:r>
        <w:rPr>
          <w:rStyle w:val="NormalTok"/>
        </w:rPr>
        <w:t xml:space="preserve">:</w:t>
      </w:r>
      <w:r>
        <w:rPr>
          <w:rStyle w:val="FloatTok"/>
        </w:rPr>
        <w:t xml:space="preserve">22.0</w:t>
      </w:r>
      <w:r>
        <w:rPr>
          <w:rStyle w:val="NormalTok"/>
        </w:rPr>
        <w:t xml:space="preserve">, </w:t>
      </w:r>
      <w:r>
        <w:rPr>
          <w:rStyle w:val="StringTok"/>
        </w:rPr>
        <w:t xml:space="preserve">"n_trucks"</w:t>
      </w:r>
      <w:r>
        <w:rPr>
          <w:rStyle w:val="NormalTok"/>
        </w:rPr>
        <w:t xml:space="preserve">:</w:t>
      </w:r>
      <w:r>
        <w:rPr>
          <w:rStyle w:val="DecValTok"/>
        </w:rPr>
        <w:t xml:space="preserve">6</w:t>
      </w:r>
      <w:r>
        <w:rPr>
          <w:rStyle w:val="NormalTok"/>
        </w:rPr>
        <w:t xml:space="preserve">,  </w:t>
      </w:r>
      <w:r>
        <w:rPr>
          <w:rStyle w:val="StringTok"/>
        </w:rPr>
        <w:t xml:space="preserve">"route_km"</w:t>
      </w:r>
      <w:r>
        <w:rPr>
          <w:rStyle w:val="NormalTok"/>
        </w:rPr>
        <w:t xml:space="preserve">:</w:t>
      </w:r>
      <w:r>
        <w:rPr>
          <w:rStyle w:val="FloatTok"/>
        </w:rPr>
        <w:t xml:space="preserve">5.0</w:t>
      </w:r>
      <w:r>
        <w:rPr>
          <w:rStyle w:val="NormalTok"/>
        </w:rPr>
        <w:t xml:space="preserve">},</w:t>
      </w:r>
      <w:r>
        <w:br/>
      </w:r>
      <w:r>
        <w:rPr>
          <w:rStyle w:val="NormalTok"/>
        </w:rPr>
        <w:t xml:space="preserve">    </w:t>
      </w:r>
      <w:r>
        <w:rPr>
          <w:rStyle w:val="StringTok"/>
        </w:rPr>
        <w:t xml:space="preserve">"GVL"</w:t>
      </w:r>
      <w:r>
        <w:rPr>
          <w:rStyle w:val="NormalTok"/>
        </w:rPr>
        <w:t xml:space="preserve">: {</w:t>
      </w:r>
      <w:r>
        <w:rPr>
          <w:rStyle w:val="StringTok"/>
        </w:rPr>
        <w:t xml:space="preserve">"payloads"</w:t>
      </w:r>
      <w:r>
        <w:rPr>
          <w:rStyle w:val="NormalTok"/>
        </w:rPr>
        <w:t xml:space="preserve">: (</w:t>
      </w:r>
      <w:r>
        <w:rPr>
          <w:rStyle w:val="DecValTok"/>
        </w:rPr>
        <w:t xml:space="preserve">90</w:t>
      </w:r>
      <w:r>
        <w:rPr>
          <w:rStyle w:val="NormalTok"/>
        </w:rPr>
        <w:t xml:space="preserve">,</w:t>
      </w:r>
      <w:r>
        <w:rPr>
          <w:rStyle w:val="DecValTok"/>
        </w:rPr>
        <w:t xml:space="preserve">110</w:t>
      </w:r>
      <w:r>
        <w:rPr>
          <w:rStyle w:val="NormalTok"/>
        </w:rPr>
        <w:t xml:space="preserve">),  </w:t>
      </w:r>
      <w:r>
        <w:rPr>
          <w:rStyle w:val="StringTok"/>
        </w:rPr>
        <w:t xml:space="preserve">"cycle_mean"</w:t>
      </w:r>
      <w:r>
        <w:rPr>
          <w:rStyle w:val="NormalTok"/>
        </w:rPr>
        <w:t xml:space="preserve">:</w:t>
      </w:r>
      <w:r>
        <w:rPr>
          <w:rStyle w:val="FloatTok"/>
        </w:rPr>
        <w:t xml:space="preserve">18.0</w:t>
      </w:r>
      <w:r>
        <w:rPr>
          <w:rStyle w:val="NormalTok"/>
        </w:rPr>
        <w:t xml:space="preserve">, </w:t>
      </w:r>
      <w:r>
        <w:rPr>
          <w:rStyle w:val="StringTok"/>
        </w:rPr>
        <w:t xml:space="preserve">"n_trucks"</w:t>
      </w:r>
      <w:r>
        <w:rPr>
          <w:rStyle w:val="NormalTok"/>
        </w:rPr>
        <w:t xml:space="preserve">:</w:t>
      </w:r>
      <w:r>
        <w:rPr>
          <w:rStyle w:val="DecValTok"/>
        </w:rPr>
        <w:t xml:space="preserve">7</w:t>
      </w:r>
      <w:r>
        <w:rPr>
          <w:rStyle w:val="NormalTok"/>
        </w:rPr>
        <w:t xml:space="preserve">,  </w:t>
      </w:r>
      <w:r>
        <w:rPr>
          <w:rStyle w:val="StringTok"/>
        </w:rPr>
        <w:t xml:space="preserve">"route_km"</w:t>
      </w:r>
      <w:r>
        <w:rPr>
          <w:rStyle w:val="NormalTok"/>
        </w:rPr>
        <w:t xml:space="preserve">:</w:t>
      </w:r>
      <w:r>
        <w:rPr>
          <w:rStyle w:val="FloatTok"/>
        </w:rPr>
        <w:t xml:space="preserve">2.5</w:t>
      </w:r>
      <w:r>
        <w:rPr>
          <w:rStyle w:val="NormalTok"/>
        </w:rPr>
        <w:t xml:space="preserve">},</w:t>
      </w:r>
      <w:r>
        <w:br/>
      </w:r>
      <w:r>
        <w:rPr>
          <w:rStyle w:val="NormalTok"/>
        </w:rPr>
        <w:t xml:space="preserve">}</w:t>
      </w:r>
      <w:r>
        <w:br/>
      </w:r>
      <w:r>
        <w:rPr>
          <w:rStyle w:val="CommentTok"/>
        </w:rPr>
        <w:t xml:space="preserve"># ... full generator in datasets/generators/generate_all.py</w:t>
      </w:r>
    </w:p>
    <w:bookmarkEnd w:id="62"/>
    <w:bookmarkStart w:id="71" w:name="X11132ce559dbfe38ea6b2eec2710af9dc7100d5"/>
    <w:p>
      <w:pPr>
        <w:pStyle w:val="Heading2"/>
      </w:pPr>
      <w:bookmarkStart w:id="930035" w:name="_TocLBSv1_930035"/>
      <w:r>
        <w:t xml:space="preserve">Enhancement 4 — Scenario Generator Framework</w:t>
      </w:r>
      <w:bookmarkEnd w:id="930035"/>
    </w:p>
    <w:p>
      <w:pPr>
        <w:pStyle w:val="FirstParagraph"/>
      </w:pPr>
      <w:r>
        <w:t xml:space="preserve">Fixed datasets teach learners what mining data looks like. The Scenario Generator Framework lets them </w:t>
      </w:r>
      <w:r>
        <w:rPr>
          <w:iCs/>
          <w:i/>
        </w:rPr>
        <w:t xml:space="preserve">create</w:t>
      </w:r>
      <w:r>
        <w:t xml:space="preserve"> it — unlimited realistic, ontology-conforming, seed-reproducible datasets for any operational condition.</w:t>
      </w:r>
    </w:p>
    <w:p>
      <w:pPr>
        <w:pStyle w:val="CaptionedFigure"/>
      </w:pPr>
      <w:r>
        <w:drawing>
          <wp:inline>
            <wp:extent cx="5334000" cy="2502584"/>
            <wp:effectExtent b="0" l="0" r="0" t="0"/>
            <wp:docPr descr="Scenario Generator Framework: parameterised inputs feed a stochastic simulation engine that is ontology-constrained and seed-reproducible; outputs are validated CSV datasets plus a quality report; deterministic replay with the same seed produces bit-identical datasets." title="" id="64" name="Picture"/>
            <a:graphic>
              <a:graphicData uri="http://schemas.openxmlformats.org/drawingml/2006/picture">
                <pic:pic>
                  <pic:nvPicPr>
                    <pic:cNvPr descr="/home/claude/lbs_figs/lbs_scenario_generator.png" id="65" name="Picture"/>
                    <pic:cNvPicPr>
                      <a:picLocks noChangeArrowheads="1" noChangeAspect="1"/>
                    </pic:cNvPicPr>
                  </pic:nvPicPr>
                  <pic:blipFill>
                    <a:blip r:embed="rId63"/>
                    <a:stretch>
                      <a:fillRect/>
                    </a:stretch>
                  </pic:blipFill>
                  <pic:spPr bwMode="auto">
                    <a:xfrm>
                      <a:off x="0" y="0"/>
                      <a:ext cx="5334000" cy="2502584"/>
                    </a:xfrm>
                    <a:prstGeom prst="rect">
                      <a:avLst/>
                    </a:prstGeom>
                    <a:noFill/>
                    <a:ln w="9525">
                      <a:noFill/>
                      <a:headEnd/>
                      <a:tailEnd/>
                    </a:ln>
                  </pic:spPr>
                </pic:pic>
              </a:graphicData>
            </a:graphic>
          </wp:inline>
        </w:drawing>
      </w:r>
    </w:p>
    <w:p>
      <w:pPr>
        <w:pStyle w:val="ImageCaption"/>
      </w:pPr>
      <w:r>
        <w:t xml:space="preserve">Scenario Generator Framework: parameterised inputs feed a stochastic simulation engine that is ontology-constrained and seed-reproducible; outputs are validated CSV datasets plus a quality report; deterministic replay with the same seed produces bit-identical datasets.</w:t>
      </w:r>
    </w:p>
    <w:bookmarkStart w:id="66" w:name="the-scenariogenerator-api"/>
    <w:p>
      <w:pPr>
        <w:pStyle w:val="Heading3"/>
      </w:pPr>
      <w:bookmarkStart w:id="930036" w:name="_TocLBSv1_930036"/>
      <w:r>
        <w:t xml:space="preserve">The ScenarioGenerator API</w:t>
      </w:r>
      <w:bookmarkEnd w:id="930036"/>
    </w:p>
    <w:p>
      <w:pPr>
        <w:pStyle w:val="SourceCode"/>
      </w:pPr>
      <w:r>
        <w:rPr>
          <w:rStyle w:val="ImportTok"/>
        </w:rPr>
        <w:t xml:space="preserve">from</w:t>
      </w:r>
      <w:r>
        <w:rPr>
          <w:rStyle w:val="NormalTok"/>
        </w:rPr>
        <w:t xml:space="preserve"> mineproductivity.datasets </w:t>
      </w:r>
      <w:r>
        <w:rPr>
          <w:rStyle w:val="ImportTok"/>
        </w:rPr>
        <w:t xml:space="preserve">import</w:t>
      </w:r>
      <w:r>
        <w:rPr>
          <w:rStyle w:val="NormalTok"/>
        </w:rPr>
        <w:t xml:space="preserve"> ScenarioGenerator</w:t>
      </w:r>
      <w:r>
        <w:br/>
        <w:br/>
      </w:r>
      <w:r>
        <w:rPr>
          <w:rStyle w:val="NormalTok"/>
        </w:rPr>
        <w:t xml:space="preserve">gen </w:t>
      </w:r>
      <w:r>
        <w:rPr>
          <w:rStyle w:val="OperatorTok"/>
        </w:rPr>
        <w:t xml:space="preserve">=</w:t>
      </w:r>
      <w:r>
        <w:rPr>
          <w:rStyle w:val="NormalTok"/>
        </w:rPr>
        <w:t xml:space="preserve"> ScenarioGenerator(</w:t>
      </w:r>
      <w:r>
        <w:br/>
      </w:r>
      <w:r>
        <w:rPr>
          <w:rStyle w:val="NormalTok"/>
        </w:rPr>
        <w:t xml:space="preserve">    commodity          </w:t>
      </w:r>
      <w:r>
        <w:rPr>
          <w:rStyle w:val="OperatorTok"/>
        </w:rPr>
        <w:t xml:space="preserve">=</w:t>
      </w:r>
      <w:r>
        <w:rPr>
          <w:rStyle w:val="NormalTok"/>
        </w:rPr>
        <w:t xml:space="preserve"> </w:t>
      </w:r>
      <w:r>
        <w:rPr>
          <w:rStyle w:val="StringTok"/>
        </w:rPr>
        <w:t xml:space="preserve">"iron_ore"</w:t>
      </w:r>
      <w:r>
        <w:rPr>
          <w:rStyle w:val="NormalTok"/>
        </w:rPr>
        <w:t xml:space="preserve">,</w:t>
      </w:r>
      <w:r>
        <w:br/>
      </w:r>
      <w:r>
        <w:rPr>
          <w:rStyle w:val="NormalTok"/>
        </w:rPr>
        <w:t xml:space="preserve">    mine_code          </w:t>
      </w:r>
      <w:r>
        <w:rPr>
          <w:rStyle w:val="OperatorTok"/>
        </w:rPr>
        <w:t xml:space="preserve">=</w:t>
      </w:r>
      <w:r>
        <w:rPr>
          <w:rStyle w:val="NormalTok"/>
        </w:rPr>
        <w:t xml:space="preserve"> </w:t>
      </w:r>
      <w:r>
        <w:rPr>
          <w:rStyle w:val="StringTok"/>
        </w:rPr>
        <w:t xml:space="preserve">"PIL"</w:t>
      </w:r>
      <w:r>
        <w:rPr>
          <w:rStyle w:val="NormalTok"/>
        </w:rPr>
        <w:t xml:space="preserve">,</w:t>
      </w:r>
      <w:r>
        <w:br/>
      </w:r>
      <w:r>
        <w:rPr>
          <w:rStyle w:val="NormalTok"/>
        </w:rPr>
        <w:t xml:space="preserve">    fleet_size         </w:t>
      </w:r>
      <w:r>
        <w:rPr>
          <w:rStyle w:val="OperatorTok"/>
        </w:rPr>
        <w:t xml:space="preserve">=</w:t>
      </w:r>
      <w:r>
        <w:rPr>
          <w:rStyle w:val="NormalTok"/>
        </w:rPr>
        <w:t xml:space="preserve"> </w:t>
      </w:r>
      <w:r>
        <w:rPr>
          <w:rStyle w:val="DecValTok"/>
        </w:rPr>
        <w:t xml:space="preserve">14</w:t>
      </w:r>
      <w:r>
        <w:rPr>
          <w:rStyle w:val="NormalTok"/>
        </w:rPr>
        <w:t xml:space="preserve">,</w:t>
      </w:r>
      <w:r>
        <w:br/>
      </w:r>
      <w:r>
        <w:rPr>
          <w:rStyle w:val="NormalTok"/>
        </w:rPr>
        <w:t xml:space="preserve">    n_shovels          </w:t>
      </w:r>
      <w:r>
        <w:rPr>
          <w:rStyle w:val="OperatorTok"/>
        </w:rPr>
        <w:t xml:space="preserve">=</w:t>
      </w:r>
      <w:r>
        <w:rPr>
          <w:rStyle w:val="NormalTok"/>
        </w:rPr>
        <w:t xml:space="preserve"> </w:t>
      </w:r>
      <w:r>
        <w:rPr>
          <w:rStyle w:val="DecValTok"/>
        </w:rPr>
        <w:t xml:space="preserve">2</w:t>
      </w:r>
      <w:r>
        <w:rPr>
          <w:rStyle w:val="NormalTok"/>
        </w:rPr>
        <w:t xml:space="preserve">,</w:t>
      </w:r>
      <w:r>
        <w:br/>
      </w:r>
      <w:r>
        <w:rPr>
          <w:rStyle w:val="NormalTok"/>
        </w:rPr>
        <w:t xml:space="preserve">    payload_bias       </w:t>
      </w:r>
      <w:r>
        <w:rPr>
          <w:rStyle w:val="OperatorTok"/>
        </w:rPr>
        <w:t xml:space="preserve">=</w:t>
      </w:r>
      <w:r>
        <w:rPr>
          <w:rStyle w:val="NormalTok"/>
        </w:rPr>
        <w:t xml:space="preserve"> </w:t>
      </w:r>
      <w:r>
        <w:rPr>
          <w:rStyle w:val="OperatorTok"/>
        </w:rPr>
        <w:t xml:space="preserve">-</w:t>
      </w:r>
      <w:r>
        <w:rPr>
          <w:rStyle w:val="FloatTok"/>
        </w:rPr>
        <w:t xml:space="preserve">3.5</w:t>
      </w:r>
      <w:r>
        <w:rPr>
          <w:rStyle w:val="NormalTok"/>
        </w:rPr>
        <w:t xml:space="preserve">,       </w:t>
      </w:r>
      <w:r>
        <w:rPr>
          <w:rStyle w:val="CommentTok"/>
        </w:rPr>
        <w:t xml:space="preserve"># % below rated — under-loading scenario</w:t>
      </w:r>
      <w:r>
        <w:br/>
      </w:r>
      <w:r>
        <w:rPr>
          <w:rStyle w:val="NormalTok"/>
        </w:rPr>
        <w:t xml:space="preserve">    haul_distance      </w:t>
      </w:r>
      <w:r>
        <w:rPr>
          <w:rStyle w:val="OperatorTok"/>
        </w:rPr>
        <w:t xml:space="preserve">=</w:t>
      </w:r>
      <w:r>
        <w:rPr>
          <w:rStyle w:val="NormalTok"/>
        </w:rPr>
        <w:t xml:space="preserve"> </w:t>
      </w:r>
      <w:r>
        <w:rPr>
          <w:rStyle w:val="FloatTok"/>
        </w:rPr>
        <w:t xml:space="preserve">3.2</w:t>
      </w:r>
      <w:r>
        <w:rPr>
          <w:rStyle w:val="NormalTok"/>
        </w:rPr>
        <w:t xml:space="preserve">,        </w:t>
      </w:r>
      <w:r>
        <w:rPr>
          <w:rStyle w:val="CommentTok"/>
        </w:rPr>
        <w:t xml:space="preserve"># km, single route</w:t>
      </w:r>
      <w:r>
        <w:br/>
      </w:r>
      <w:r>
        <w:rPr>
          <w:rStyle w:val="NormalTok"/>
        </w:rPr>
        <w:t xml:space="preserve">    weather            </w:t>
      </w:r>
      <w:r>
        <w:rPr>
          <w:rStyle w:val="OperatorTok"/>
        </w:rPr>
        <w:t xml:space="preserve">=</w:t>
      </w:r>
      <w:r>
        <w:rPr>
          <w:rStyle w:val="NormalTok"/>
        </w:rPr>
        <w:t xml:space="preserve"> </w:t>
      </w:r>
      <w:r>
        <w:rPr>
          <w:rStyle w:val="StringTok"/>
        </w:rPr>
        <w:t xml:space="preserve">"rain"</w:t>
      </w:r>
      <w:r>
        <w:rPr>
          <w:rStyle w:val="NormalTok"/>
        </w:rPr>
        <w:t xml:space="preserve">,</w:t>
      </w:r>
      <w:r>
        <w:br/>
      </w:r>
      <w:r>
        <w:rPr>
          <w:rStyle w:val="NormalTok"/>
        </w:rPr>
        <w:t xml:space="preserve">    maintenance_level  </w:t>
      </w:r>
      <w:r>
        <w:rPr>
          <w:rStyle w:val="OperatorTok"/>
        </w:rPr>
        <w:t xml:space="preserve">=</w:t>
      </w:r>
      <w:r>
        <w:rPr>
          <w:rStyle w:val="NormalTok"/>
        </w:rPr>
        <w:t xml:space="preserve"> </w:t>
      </w:r>
      <w:r>
        <w:rPr>
          <w:rStyle w:val="StringTok"/>
        </w:rPr>
        <w:t xml:space="preserve">"poor"</w:t>
      </w:r>
      <w:r>
        <w:rPr>
          <w:rStyle w:val="NormalTok"/>
        </w:rPr>
        <w:t xml:space="preserve">,</w:t>
      </w:r>
      <w:r>
        <w:br/>
      </w:r>
      <w:r>
        <w:rPr>
          <w:rStyle w:val="NormalTok"/>
        </w:rPr>
        <w:t xml:space="preserve">    operator_skill     </w:t>
      </w:r>
      <w:r>
        <w:rPr>
          <w:rStyle w:val="OperatorTok"/>
        </w:rPr>
        <w:t xml:space="preserve">=</w:t>
      </w:r>
      <w:r>
        <w:rPr>
          <w:rStyle w:val="NormalTok"/>
        </w:rPr>
        <w:t xml:space="preserve"> </w:t>
      </w:r>
      <w:r>
        <w:rPr>
          <w:rStyle w:val="StringTok"/>
        </w:rPr>
        <w:t xml:space="preserve">"mixed"</w:t>
      </w:r>
      <w:r>
        <w:rPr>
          <w:rStyle w:val="NormalTok"/>
        </w:rPr>
        <w:t xml:space="preserve">,</w:t>
      </w:r>
      <w:r>
        <w:br/>
      </w:r>
      <w:r>
        <w:rPr>
          <w:rStyle w:val="NormalTok"/>
        </w:rPr>
        <w:t xml:space="preserve">    traffic            </w:t>
      </w:r>
      <w:r>
        <w:rPr>
          <w:rStyle w:val="OperatorTok"/>
        </w:rPr>
        <w:t xml:space="preserve">=</w:t>
      </w:r>
      <w:r>
        <w:rPr>
          <w:rStyle w:val="NormalTok"/>
        </w:rPr>
        <w:t xml:space="preserve"> </w:t>
      </w:r>
      <w:r>
        <w:rPr>
          <w:rStyle w:val="StringTok"/>
        </w:rPr>
        <w:t xml:space="preserve">"heavy"</w:t>
      </w:r>
      <w:r>
        <w:rPr>
          <w:rStyle w:val="NormalTok"/>
        </w:rPr>
        <w:t xml:space="preserve">,</w:t>
      </w:r>
      <w:r>
        <w:br/>
      </w:r>
      <w:r>
        <w:rPr>
          <w:rStyle w:val="NormalTok"/>
        </w:rPr>
        <w:t xml:space="preserve">    dispatch_strategy  </w:t>
      </w:r>
      <w:r>
        <w:rPr>
          <w:rStyle w:val="OperatorTok"/>
        </w:rPr>
        <w:t xml:space="preserve">=</w:t>
      </w:r>
      <w:r>
        <w:rPr>
          <w:rStyle w:val="NormalTok"/>
        </w:rPr>
        <w:t xml:space="preserve"> </w:t>
      </w:r>
      <w:r>
        <w:rPr>
          <w:rStyle w:val="StringTok"/>
        </w:rPr>
        <w:t xml:space="preserve">"balanced"</w:t>
      </w:r>
      <w:r>
        <w:rPr>
          <w:rStyle w:val="NormalTok"/>
        </w:rPr>
        <w:t xml:space="preserve">,</w:t>
      </w:r>
      <w:r>
        <w:br/>
      </w:r>
      <w:r>
        <w:rPr>
          <w:rStyle w:val="NormalTok"/>
        </w:rPr>
        <w:t xml:space="preserve">    breakdown_probability </w:t>
      </w:r>
      <w:r>
        <w:rPr>
          <w:rStyle w:val="OperatorTok"/>
        </w:rPr>
        <w:t xml:space="preserve">=</w:t>
      </w:r>
      <w:r>
        <w:rPr>
          <w:rStyle w:val="NormalTok"/>
        </w:rPr>
        <w:t xml:space="preserve"> </w:t>
      </w:r>
      <w:r>
        <w:rPr>
          <w:rStyle w:val="FloatTok"/>
        </w:rPr>
        <w:t xml:space="preserve">0.08</w:t>
      </w:r>
      <w:r>
        <w:rPr>
          <w:rStyle w:val="NormalTok"/>
        </w:rPr>
        <w:t xml:space="preserve">,</w:t>
      </w:r>
      <w:r>
        <w:br/>
      </w:r>
      <w:r>
        <w:rPr>
          <w:rStyle w:val="NormalTok"/>
        </w:rPr>
        <w:t xml:space="preserve">    random_seed        </w:t>
      </w:r>
      <w:r>
        <w:rPr>
          <w:rStyle w:val="OperatorTok"/>
        </w:rPr>
        <w:t xml:space="preserve">=</w:t>
      </w:r>
      <w:r>
        <w:rPr>
          <w:rStyle w:val="NormalTok"/>
        </w:rPr>
        <w:t xml:space="preserve"> </w:t>
      </w:r>
      <w:r>
        <w:rPr>
          <w:rStyle w:val="DecValTok"/>
        </w:rPr>
        <w:t xml:space="preserve">42</w:t>
      </w:r>
      <w:r>
        <w:rPr>
          <w:rStyle w:val="NormalTok"/>
        </w:rPr>
        <w:t xml:space="preserve">,         </w:t>
      </w:r>
      <w:r>
        <w:rPr>
          <w:rStyle w:val="CommentTok"/>
        </w:rPr>
        <w:t xml:space="preserve"># deterministic and replayable</w:t>
      </w:r>
      <w:r>
        <w:br/>
      </w:r>
      <w:r>
        <w:rPr>
          <w:rStyle w:val="NormalTok"/>
        </w:rPr>
        <w:t xml:space="preserve">    n_shifts           </w:t>
      </w:r>
      <w:r>
        <w:rPr>
          <w:rStyle w:val="OperatorTok"/>
        </w:rPr>
        <w:t xml:space="preserve">=</w:t>
      </w:r>
      <w:r>
        <w:rPr>
          <w:rStyle w:val="NormalTok"/>
        </w:rPr>
        <w:t xml:space="preserve"> </w:t>
      </w:r>
      <w:r>
        <w:rPr>
          <w:rStyle w:val="DecValTok"/>
        </w:rPr>
        <w:t xml:space="preserve">56</w:t>
      </w:r>
      <w:r>
        <w:rPr>
          <w:rStyle w:val="NormalTok"/>
        </w:rPr>
        <w:t xml:space="preserve">,</w:t>
      </w:r>
      <w:r>
        <w:br/>
      </w:r>
      <w:r>
        <w:rPr>
          <w:rStyle w:val="NormalTok"/>
        </w:rPr>
        <w:t xml:space="preserve">    schema_version     </w:t>
      </w:r>
      <w:r>
        <w:rPr>
          <w:rStyle w:val="OperatorTok"/>
        </w:rPr>
        <w:t xml:space="preserve">=</w:t>
      </w:r>
      <w:r>
        <w:rPr>
          <w:rStyle w:val="NormalTok"/>
        </w:rPr>
        <w:t xml:space="preserve"> </w:t>
      </w:r>
      <w:r>
        <w:rPr>
          <w:rStyle w:val="StringTok"/>
        </w:rPr>
        <w:t xml:space="preserve">"1.0.0"</w:t>
      </w:r>
      <w:r>
        <w:rPr>
          <w:rStyle w:val="NormalTok"/>
        </w:rPr>
        <w:t xml:space="preserve">,</w:t>
      </w:r>
      <w:r>
        <w:br/>
      </w:r>
      <w:r>
        <w:rPr>
          <w:rStyle w:val="NormalTok"/>
        </w:rPr>
        <w:t xml:space="preserve">    ontology_version   </w:t>
      </w:r>
      <w:r>
        <w:rPr>
          <w:rStyle w:val="OperatorTok"/>
        </w:rPr>
        <w:t xml:space="preserve">=</w:t>
      </w:r>
      <w:r>
        <w:rPr>
          <w:rStyle w:val="NormalTok"/>
        </w:rPr>
        <w:t xml:space="preserve"> </w:t>
      </w:r>
      <w:r>
        <w:rPr>
          <w:rStyle w:val="StringTok"/>
        </w:rPr>
        <w:t xml:space="preserve">"1.0.0"</w:t>
      </w:r>
      <w:r>
        <w:rPr>
          <w:rStyle w:val="NormalTok"/>
        </w:rPr>
        <w:t xml:space="preserve">,</w:t>
      </w:r>
      <w:r>
        <w:br/>
      </w:r>
      <w:r>
        <w:rPr>
          <w:rStyle w:val="NormalTok"/>
        </w:rPr>
        <w:t xml:space="preserve">)</w:t>
      </w:r>
      <w:r>
        <w:br/>
      </w:r>
      <w:r>
        <w:rPr>
          <w:rStyle w:val="NormalTok"/>
        </w:rPr>
        <w:t xml:space="preserve">dataset </w:t>
      </w:r>
      <w:r>
        <w:rPr>
          <w:rStyle w:val="OperatorTok"/>
        </w:rPr>
        <w:t xml:space="preserve">=</w:t>
      </w:r>
      <w:r>
        <w:rPr>
          <w:rStyle w:val="NormalTok"/>
        </w:rPr>
        <w:t xml:space="preserve"> gen.generate()</w:t>
      </w:r>
      <w:r>
        <w:br/>
      </w:r>
      <w:r>
        <w:rPr>
          <w:rStyle w:val="NormalTok"/>
        </w:rPr>
        <w:t xml:space="preserve">dataset.write(</w:t>
      </w:r>
      <w:r>
        <w:rPr>
          <w:rStyle w:val="StringTok"/>
        </w:rPr>
        <w:t xml:space="preserve">"datasets/generated/iron_ore_average_seed42/"</w:t>
      </w:r>
      <w:r>
        <w:rPr>
          <w:rStyle w:val="NormalTok"/>
        </w:rPr>
        <w:t xml:space="preserve">)</w:t>
      </w:r>
      <w:r>
        <w:br/>
      </w:r>
      <w:r>
        <w:rPr>
          <w:rStyle w:val="BuiltInTok"/>
        </w:rPr>
        <w:t xml:space="preserve">print</w:t>
      </w:r>
      <w:r>
        <w:rPr>
          <w:rStyle w:val="NormalTok"/>
        </w:rPr>
        <w:t xml:space="preserve">(dataset.quality_report().kpi_readiness_score)</w:t>
      </w:r>
    </w:p>
    <w:bookmarkEnd w:id="66"/>
    <w:bookmarkStart w:id="67" w:name="parameterisation-kpi-effects"/>
    <w:p>
      <w:pPr>
        <w:pStyle w:val="Heading3"/>
      </w:pPr>
      <w:bookmarkStart w:id="930037" w:name="_TocLBSv1_930037"/>
      <w:r>
        <w:t xml:space="preserve">Parameterisation — KPI effects</w:t>
      </w:r>
      <w:bookmarkEnd w:id="930037"/>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Parameter</w:t>
            </w:r>
          </w:p>
        </w:tc>
        <w:tc>
          <w:tcPr/>
          <w:p>
            <w:pPr>
              <w:pStyle w:val="Compact"/>
              <w:jc w:val="left"/>
            </w:pPr>
            <w:r>
              <w:t xml:space="preserve">KPI effect</w:t>
            </w:r>
          </w:p>
        </w:tc>
      </w:tr>
      <w:tr>
        <w:tc>
          <w:tcPr/>
          <w:p>
            <w:pPr>
              <w:pStyle w:val="Compact"/>
              <w:jc w:val="left"/>
            </w:pPr>
            <w:r>
              <w:rPr>
                <w:rStyle w:val="VerbatimChar"/>
              </w:rPr>
              <w:t xml:space="preserve">payload_bias</w:t>
            </w:r>
          </w:p>
        </w:tc>
        <w:tc>
          <w:tcPr/>
          <w:p>
            <w:pPr>
              <w:pStyle w:val="Compact"/>
              <w:jc w:val="left"/>
            </w:pPr>
            <w:r>
              <w:rPr>
                <w:rStyle w:val="VerbatimChar"/>
              </w:rPr>
              <w:t xml:space="preserve">PROD.Payload</w:t>
            </w:r>
            <w:r>
              <w:t xml:space="preserve"> shifts by bias%; </w:t>
            </w:r>
            <w:r>
              <w:rPr>
                <w:rStyle w:val="VerbatimChar"/>
              </w:rPr>
              <w:t xml:space="preserve">PROD.TPH</w:t>
            </w:r>
            <w:r>
              <w:t xml:space="preserve"> scales proportionally</w:t>
            </w:r>
          </w:p>
        </w:tc>
      </w:tr>
      <w:tr>
        <w:tc>
          <w:tcPr/>
          <w:p>
            <w:pPr>
              <w:pStyle w:val="Compact"/>
              <w:jc w:val="left"/>
            </w:pPr>
            <w:r>
              <w:rPr>
                <w:rStyle w:val="VerbatimChar"/>
              </w:rPr>
              <w:t xml:space="preserve">maintenance_level</w:t>
            </w:r>
          </w:p>
        </w:tc>
        <w:tc>
          <w:tcPr/>
          <w:p>
            <w:pPr>
              <w:pStyle w:val="Compact"/>
              <w:jc w:val="left"/>
            </w:pPr>
            <w:r>
              <w:t xml:space="preserve">Sets MTBF/MTTR distribution; controls </w:t>
            </w:r>
            <w:r>
              <w:rPr>
                <w:rStyle w:val="VerbatimChar"/>
              </w:rPr>
              <w:t xml:space="preserve">UTIL.PA</w:t>
            </w:r>
            <w:r>
              <w:t xml:space="preserve"> range</w:t>
            </w:r>
          </w:p>
        </w:tc>
      </w:tr>
      <w:tr>
        <w:tc>
          <w:tcPr/>
          <w:p>
            <w:pPr>
              <w:pStyle w:val="Compact"/>
              <w:jc w:val="left"/>
            </w:pPr>
            <w:r>
              <w:rPr>
                <w:rStyle w:val="VerbatimChar"/>
              </w:rPr>
              <w:t xml:space="preserve">breakdown_probability</w:t>
            </w:r>
          </w:p>
        </w:tc>
        <w:tc>
          <w:tcPr/>
          <w:p>
            <w:pPr>
              <w:pStyle w:val="Compact"/>
              <w:jc w:val="left"/>
            </w:pPr>
            <w:r>
              <w:t xml:space="preserve">P(unplanned failure per shift); drives </w:t>
            </w:r>
            <w:r>
              <w:rPr>
                <w:rStyle w:val="VerbatimChar"/>
              </w:rPr>
              <w:t xml:space="preserve">DELAY.Hours_Equipment</w:t>
            </w:r>
          </w:p>
        </w:tc>
      </w:tr>
      <w:tr>
        <w:tc>
          <w:tcPr/>
          <w:p>
            <w:pPr>
              <w:pStyle w:val="Compact"/>
              <w:jc w:val="left"/>
            </w:pPr>
            <w:r>
              <w:rPr>
                <w:rStyle w:val="VerbatimChar"/>
              </w:rPr>
              <w:t xml:space="preserve">dispatch_strategy</w:t>
            </w:r>
          </w:p>
        </w:tc>
        <w:tc>
          <w:tcPr/>
          <w:p>
            <w:pPr>
              <w:pStyle w:val="Compact"/>
              <w:jc w:val="left"/>
            </w:pPr>
            <w:r>
              <w:t xml:space="preserve">Controls </w:t>
            </w:r>
            <w:r>
              <w:rPr>
                <w:rStyle w:val="VerbatimChar"/>
              </w:rPr>
              <w:t xml:space="preserve">HAUL.MatchFactor</w:t>
            </w:r>
            <w:r>
              <w:t xml:space="preserve"> target; affects </w:t>
            </w:r>
            <w:r>
              <w:rPr>
                <w:rStyle w:val="VerbatimChar"/>
              </w:rPr>
              <w:t xml:space="preserve">DISP.QueueTime</w:t>
            </w:r>
          </w:p>
        </w:tc>
      </w:tr>
      <w:tr>
        <w:tc>
          <w:tcPr/>
          <w:p>
            <w:pPr>
              <w:pStyle w:val="Compact"/>
              <w:jc w:val="left"/>
            </w:pPr>
            <w:r>
              <w:rPr>
                <w:rStyle w:val="VerbatimChar"/>
              </w:rPr>
              <w:t xml:space="preserve">weather</w:t>
            </w:r>
          </w:p>
        </w:tc>
        <w:tc>
          <w:tcPr/>
          <w:p>
            <w:pPr>
              <w:pStyle w:val="Compact"/>
              <w:jc w:val="left"/>
            </w:pPr>
            <w:r>
              <w:t xml:space="preserve">Activates </w:t>
            </w:r>
            <w:r>
              <w:rPr>
                <w:rStyle w:val="VerbatimChar"/>
              </w:rPr>
              <w:t xml:space="preserve">External</w:t>
            </w:r>
            <w:r>
              <w:t xml:space="preserve"> delay category events</w:t>
            </w:r>
          </w:p>
        </w:tc>
      </w:tr>
      <w:tr>
        <w:tc>
          <w:tcPr/>
          <w:p>
            <w:pPr>
              <w:pStyle w:val="Compact"/>
              <w:jc w:val="left"/>
            </w:pPr>
            <w:r>
              <w:rPr>
                <w:rStyle w:val="VerbatimChar"/>
              </w:rPr>
              <w:t xml:space="preserve">operator_skill</w:t>
            </w:r>
          </w:p>
        </w:tc>
        <w:tc>
          <w:tcPr/>
          <w:p>
            <w:pPr>
              <w:pStyle w:val="Compact"/>
              <w:jc w:val="left"/>
            </w:pPr>
            <w:r>
              <w:t xml:space="preserve">Controls payload variance and cycle-time variance</w:t>
            </w:r>
          </w:p>
        </w:tc>
      </w:tr>
    </w:tbl>
    <w:bookmarkEnd w:id="67"/>
    <w:bookmarkStart w:id="68" w:name="reproducibility-and-deterministic-replay"/>
    <w:p>
      <w:pPr>
        <w:pStyle w:val="Heading3"/>
      </w:pPr>
      <w:bookmarkStart w:id="930038" w:name="_TocLBSv1_930038"/>
      <w:r>
        <w:t xml:space="preserve">Reproducibility and deterministic replay</w:t>
      </w:r>
      <w:bookmarkEnd w:id="930038"/>
    </w:p>
    <w:p>
      <w:pPr>
        <w:pStyle w:val="FirstParagraph"/>
      </w:pPr>
      <w:r>
        <w:t xml:space="preserve">The generator uses </w:t>
      </w:r>
      <w:r>
        <w:rPr>
          <w:rStyle w:val="VerbatimChar"/>
        </w:rPr>
        <w:t xml:space="preserve">numpy.random.default_rng(seed)</w:t>
      </w:r>
      <w:r>
        <w:t xml:space="preserve"> for all stochastic draws. The same </w:t>
      </w:r>
      <w:r>
        <w:rPr>
          <w:rStyle w:val="VerbatimChar"/>
        </w:rPr>
        <w:t xml:space="preserve">random_seed</w:t>
      </w:r>
      <w:r>
        <w:t xml:space="preserve"> always produces bit-identical datasets — every timestamp, every payload, every failure event. The underlying simulation: (1) generate shifts from </w:t>
      </w:r>
      <w:r>
        <w:rPr>
          <w:rStyle w:val="VerbatimChar"/>
        </w:rPr>
        <w:t xml:space="preserve">shift_calendar.csv</w:t>
      </w:r>
      <w:r>
        <w:t xml:space="preserve">; (2) draw equipment availability from MTBF/MTTR distributions; (3) generate cycles using haul-route and payload distributions; (4) draw delay events from category distributions (MECE invariant enforced); (5) assign operators, weather, fuel; (6) validate FK integrity and ontology conformance; (7) compute KPI readiness score.</w:t>
      </w:r>
    </w:p>
    <w:bookmarkEnd w:id="68"/>
    <w:bookmarkStart w:id="69" w:name="ai-scenario-generation"/>
    <w:p>
      <w:pPr>
        <w:pStyle w:val="Heading3"/>
      </w:pPr>
      <w:bookmarkStart w:id="930039" w:name="_TocLBSv1_930039"/>
      <w:r>
        <w:t xml:space="preserve">AI scenario generation</w:t>
      </w:r>
      <w:bookmarkEnd w:id="930039"/>
    </w:p>
    <w:p>
      <w:pPr>
        <w:pStyle w:val="SourceCode"/>
      </w:pPr>
      <w:r>
        <w:rPr>
          <w:rStyle w:val="NormalTok"/>
        </w:rPr>
        <w:t xml:space="preserve">gen </w:t>
      </w:r>
      <w:r>
        <w:rPr>
          <w:rStyle w:val="OperatorTok"/>
        </w:rPr>
        <w:t xml:space="preserve">=</w:t>
      </w:r>
      <w:r>
        <w:rPr>
          <w:rStyle w:val="NormalTok"/>
        </w:rPr>
        <w:t xml:space="preserve"> ScenarioGenerator.from_ai_prompt(</w:t>
      </w:r>
      <w:r>
        <w:br/>
      </w:r>
      <w:r>
        <w:rPr>
          <w:rStyle w:val="NormalTok"/>
        </w:rPr>
        <w:t xml:space="preserve">    prompt </w:t>
      </w:r>
      <w:r>
        <w:rPr>
          <w:rStyle w:val="OperatorTok"/>
        </w:rPr>
        <w:t xml:space="preserve">=</w:t>
      </w:r>
      <w:r>
        <w:rPr>
          <w:rStyle w:val="NormalTok"/>
        </w:rPr>
        <w:t xml:space="preserve"> </w:t>
      </w:r>
      <w:r>
        <w:rPr>
          <w:rStyle w:val="StringTok"/>
        </w:rPr>
        <w:t xml:space="preserve">"Create a dataset where UTIL.PA drops in Week 3 "</w:t>
      </w:r>
      <w:r>
        <w:br/>
      </w:r>
      <w:r>
        <w:rPr>
          <w:rStyle w:val="NormalTok"/>
        </w:rPr>
        <w:t xml:space="preserve">             </w:t>
      </w:r>
      <w:r>
        <w:rPr>
          <w:rStyle w:val="StringTok"/>
        </w:rPr>
        <w:t xml:space="preserve">"due to a hydraulic failure cascade, making PA the clear root cause."</w:t>
      </w:r>
      <w:r>
        <w:rPr>
          <w:rStyle w:val="NormalTok"/>
        </w:rPr>
        <w:t xml:space="preserve">,</w:t>
      </w:r>
      <w:r>
        <w:br/>
      </w:r>
      <w:r>
        <w:rPr>
          <w:rStyle w:val="NormalTok"/>
        </w:rPr>
        <w:t xml:space="preserve">    commodity</w:t>
      </w:r>
      <w:r>
        <w:rPr>
          <w:rStyle w:val="OperatorTok"/>
        </w:rPr>
        <w:t xml:space="preserve">=</w:t>
      </w:r>
      <w:r>
        <w:rPr>
          <w:rStyle w:val="StringTok"/>
        </w:rPr>
        <w:t xml:space="preserve">"iron_ore"</w:t>
      </w:r>
      <w:r>
        <w:rPr>
          <w:rStyle w:val="NormalTok"/>
        </w:rPr>
        <w:t xml:space="preserve">, random_seed</w:t>
      </w:r>
      <w:r>
        <w:rPr>
          <w:rStyle w:val="OperatorTok"/>
        </w:rPr>
        <w:t xml:space="preserve">=</w:t>
      </w:r>
      <w:r>
        <w:rPr>
          <w:rStyle w:val="DecValTok"/>
        </w:rPr>
        <w:t xml:space="preserve">137</w:t>
      </w:r>
      <w:r>
        <w:rPr>
          <w:rStyle w:val="NormalTok"/>
        </w:rPr>
        <w:t xml:space="preserve">,</w:t>
      </w:r>
      <w:r>
        <w:br/>
      </w:r>
      <w:r>
        <w:rPr>
          <w:rStyle w:val="NormalTok"/>
        </w:rPr>
        <w:t xml:space="preserve">)</w:t>
      </w:r>
    </w:p>
    <w:p>
      <w:pPr>
        <w:pStyle w:val="FirstParagraph"/>
      </w:pPr>
      <w:r>
        <w:t xml:space="preserve">The prompt is translated to generator parameters by the </w:t>
      </w:r>
      <w:r>
        <w:rPr>
          <w:rStyle w:val="VerbatimChar"/>
        </w:rPr>
        <w:t xml:space="preserve">AIScenarioPlanner</w:t>
      </w:r>
      <w:r>
        <w:t xml:space="preserve"> module and logged in </w:t>
      </w:r>
      <w:r>
        <w:rPr>
          <w:rStyle w:val="VerbatimChar"/>
        </w:rPr>
        <w:t xml:space="preserve">metadata.yaml</w:t>
      </w:r>
      <w:r>
        <w:t xml:space="preserve"> — fully reproducible without re-running the AI planner.</w:t>
      </w:r>
    </w:p>
    <w:bookmarkEnd w:id="69"/>
    <w:bookmarkStart w:id="70" w:name="named-scenario-library"/>
    <w:p>
      <w:pPr>
        <w:pStyle w:val="Heading3"/>
      </w:pPr>
      <w:bookmarkStart w:id="930040" w:name="_TocLBSv1_930040"/>
      <w:r>
        <w:t xml:space="preserve">Named scenario library</w:t>
      </w:r>
      <w:bookmarkEnd w:id="930040"/>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Scenario name</w:t>
            </w:r>
          </w:p>
        </w:tc>
        <w:tc>
          <w:tcPr/>
          <w:p>
            <w:pPr>
              <w:pStyle w:val="Compact"/>
              <w:jc w:val="left"/>
            </w:pPr>
            <w:r>
              <w:t xml:space="preserve">Description</w:t>
            </w:r>
          </w:p>
        </w:tc>
        <w:tc>
          <w:tcPr/>
          <w:p>
            <w:pPr>
              <w:pStyle w:val="Compact"/>
              <w:jc w:val="left"/>
            </w:pPr>
            <w:r>
              <w:t xml:space="preserve">Use in curriculum</w:t>
            </w:r>
          </w:p>
        </w:tc>
      </w:tr>
      <w:tr>
        <w:tc>
          <w:tcPr/>
          <w:p>
            <w:pPr>
              <w:pStyle w:val="Compact"/>
              <w:jc w:val="left"/>
            </w:pPr>
            <w:r>
              <w:rPr>
                <w:rStyle w:val="VerbatimChar"/>
              </w:rPr>
              <w:t xml:space="preserve">pa_drop_week3</w:t>
            </w:r>
          </w:p>
        </w:tc>
        <w:tc>
          <w:tcPr/>
          <w:p>
            <w:pPr>
              <w:pStyle w:val="Compact"/>
              <w:jc w:val="left"/>
            </w:pPr>
            <w:r>
              <w:t xml:space="preserve">Sharp PA drop — Equipment driver</w:t>
            </w:r>
          </w:p>
        </w:tc>
        <w:tc>
          <w:tcPr/>
          <w:p>
            <w:pPr>
              <w:pStyle w:val="Compact"/>
              <w:jc w:val="left"/>
            </w:pPr>
            <w:r>
              <w:t xml:space="preserve">NB-37 (Root Cause Analysis)</w:t>
            </w:r>
          </w:p>
        </w:tc>
      </w:tr>
      <w:tr>
        <w:tc>
          <w:tcPr/>
          <w:p>
            <w:pPr>
              <w:pStyle w:val="Compact"/>
              <w:jc w:val="left"/>
            </w:pPr>
            <w:r>
              <w:rPr>
                <w:rStyle w:val="VerbatimChar"/>
              </w:rPr>
              <w:t xml:space="preserve">balanced_fleet_transition</w:t>
            </w:r>
          </w:p>
        </w:tc>
        <w:tc>
          <w:tcPr/>
          <w:p>
            <w:pPr>
              <w:pStyle w:val="Compact"/>
              <w:jc w:val="left"/>
            </w:pPr>
            <w:r>
              <w:t xml:space="preserve">MF grows from 0.77 to 1.08 over 28 shifts</w:t>
            </w:r>
          </w:p>
        </w:tc>
        <w:tc>
          <w:tcPr/>
          <w:p>
            <w:pPr>
              <w:pStyle w:val="Compact"/>
              <w:jc w:val="left"/>
            </w:pPr>
            <w:r>
              <w:t xml:space="preserve">NB-44 (Fleet Simulation)</w:t>
            </w:r>
          </w:p>
        </w:tc>
      </w:tr>
      <w:tr>
        <w:tc>
          <w:tcPr/>
          <w:p>
            <w:pPr>
              <w:pStyle w:val="Compact"/>
              <w:jc w:val="left"/>
            </w:pPr>
            <w:r>
              <w:rPr>
                <w:rStyle w:val="VerbatimChar"/>
              </w:rPr>
              <w:t xml:space="preserve">recovery_degradation</w:t>
            </w:r>
          </w:p>
        </w:tc>
        <w:tc>
          <w:tcPr/>
          <w:p>
            <w:pPr>
              <w:pStyle w:val="Compact"/>
              <w:jc w:val="left"/>
            </w:pPr>
            <w:r>
              <w:t xml:space="preserve">Li₂O recovery falls 72%→65%</w:t>
            </w:r>
          </w:p>
        </w:tc>
        <w:tc>
          <w:tcPr/>
          <w:p>
            <w:pPr>
              <w:pStyle w:val="Compact"/>
              <w:jc w:val="left"/>
            </w:pPr>
            <w:r>
              <w:t xml:space="preserve">NB-24 (Quality Analysis)</w:t>
            </w:r>
          </w:p>
        </w:tc>
      </w:tr>
      <w:tr>
        <w:tc>
          <w:tcPr/>
          <w:p>
            <w:pPr>
              <w:pStyle w:val="Compact"/>
              <w:jc w:val="left"/>
            </w:pPr>
            <w:r>
              <w:rPr>
                <w:rStyle w:val="VerbatimChar"/>
              </w:rPr>
              <w:t xml:space="preserve">excellent_baseline</w:t>
            </w:r>
          </w:p>
        </w:tc>
        <w:tc>
          <w:tcPr/>
          <w:p>
            <w:pPr>
              <w:pStyle w:val="Compact"/>
              <w:jc w:val="left"/>
            </w:pPr>
            <w:r>
              <w:t xml:space="preserve">All KPIs in Excellent band, 56 shifts</w:t>
            </w:r>
          </w:p>
        </w:tc>
        <w:tc>
          <w:tcPr/>
          <w:p>
            <w:pPr>
              <w:pStyle w:val="Compact"/>
              <w:jc w:val="left"/>
            </w:pPr>
            <w:r>
              <w:t xml:space="preserve">NB-81 (Certification Baseline)</w:t>
            </w:r>
          </w:p>
        </w:tc>
      </w:tr>
      <w:tr>
        <w:tc>
          <w:tcPr/>
          <w:p>
            <w:pPr>
              <w:pStyle w:val="Compact"/>
              <w:jc w:val="left"/>
            </w:pPr>
            <w:r>
              <w:rPr>
                <w:rStyle w:val="VerbatimChar"/>
              </w:rPr>
              <w:t xml:space="preserve">poor_cascade</w:t>
            </w:r>
          </w:p>
        </w:tc>
        <w:tc>
          <w:tcPr/>
          <w:p>
            <w:pPr>
              <w:pStyle w:val="Compact"/>
              <w:jc w:val="left"/>
            </w:pPr>
            <w:r>
              <w:t xml:space="preserve">Equipment→Standby→Cost cascade</w:t>
            </w:r>
          </w:p>
        </w:tc>
        <w:tc>
          <w:tcPr/>
          <w:p>
            <w:pPr>
              <w:pStyle w:val="Compact"/>
              <w:jc w:val="left"/>
            </w:pPr>
            <w:r>
              <w:t xml:space="preserve">NB-91 (Benchmark Teaching)</w:t>
            </w:r>
          </w:p>
        </w:tc>
      </w:tr>
    </w:tbl>
    <w:p>
      <w:pPr>
        <w:pStyle w:val="PythonInsight"/>
      </w:pPr>
      <w:r>
        <w:rPr>
          <w:bCs/>
          <w:b/>
        </w:rPr>
        <w:t xml:space="preserve">Python Insight.</w:t>
      </w:r>
      <w:r>
        <w:t xml:space="preserve"> The </w:t>
      </w:r>
      <w:r>
        <w:rPr>
          <w:rStyle w:val="VerbatimChar"/>
        </w:rPr>
        <w:t xml:space="preserve">ScenarioGenerator</w:t>
      </w:r>
      <w:r>
        <w:t xml:space="preserve"> is itself a MineProductivity plugin registered under the same mechanism as a KPI plugin (Part I, Chapter 9). New commodity generators are discovered automatically. The </w:t>
      </w:r>
      <w:r>
        <w:rPr>
          <w:rStyle w:val="VerbatimChar"/>
        </w:rPr>
        <w:t xml:space="preserve">from_ai_prompt</w:t>
      </w:r>
      <w:r>
        <w:t xml:space="preserve"> method is a Decision Intelligence pattern (</w:t>
      </w:r>
      <w:r>
        <w:rPr>
          <w:rStyle w:val="VerbatimChar"/>
        </w:rPr>
        <w:t xml:space="preserve">DI</w:t>
      </w:r>
      <w:r>
        <w:t xml:space="preserve"> namespace, Part III) applied to data generation.</w:t>
      </w:r>
    </w:p>
    <w:bookmarkEnd w:id="70"/>
    <w:bookmarkEnd w:id="71"/>
    <w:bookmarkStart w:id="72" w:name="summary-part-i"/>
    <w:p>
      <w:pPr>
        <w:pStyle w:val="Heading2"/>
      </w:pPr>
      <w:bookmarkStart w:id="930041" w:name="_TocLBSv1_930041"/>
      <w:r>
        <w:t xml:space="preserve">Summary — Part I</w:t>
      </w:r>
      <w:bookmarkEnd w:id="930041"/>
    </w:p>
    <w:p>
      <w:pPr>
        <w:pStyle w:val="FirstParagraph"/>
      </w:pPr>
      <w:r>
        <w:t xml:space="preserve">The Dataset Library provides seven commodity datasets sharing a common schema, five canonical mine implementations with realistic operational parameters, synthetic generators that reproduce every Part III canonical worked example, and referential integrity enforced by foreign keys. Any notebook, benchmark, or certification test that consumes these datasets has a guaranteed, reproducible data source.</w:t>
      </w:r>
    </w:p>
    <w:p>
      <w:r>
        <w:br w:type="page"/>
      </w:r>
    </w:p>
    <w:p>
      <w:r>
        <w:br w:type="page"/>
      </w:r>
    </w:p>
    <w:bookmarkEnd w:id="72"/>
    <w:bookmarkEnd w:id="73"/>
    <w:bookmarkStart w:id="82" w:name="part-i-b-temporal-data-philosophy"/>
    <w:p>
      <w:pPr>
        <w:pStyle w:val="Heading1"/>
      </w:pPr>
      <w:bookmarkStart w:id="930042" w:name="_TocLBSv1_930042"/>
      <w:r>
        <w:t xml:space="preserve">Part I-B — Temporal Data Philosophy</w:t>
      </w:r>
      <w:bookmarkEnd w:id="930042"/>
    </w:p>
    <w:p>
      <w:pPr>
        <w:pStyle w:val="LearningObjectives"/>
      </w:pPr>
      <w:r>
        <w:rPr>
          <w:bCs/>
          <w:b/>
        </w:rPr>
        <w:t xml:space="preserve">Learning Objectives.</w:t>
      </w:r>
      <w:r>
        <w:t xml:space="preserve"> After reading this section you will understand: the three time concepts fundamental to mining event data; how shift boundaries, cross-midnight shifts, and timezones are handled canonically; what watermarks, late events, and idempotency mean in practice; and why time is a first-class architectural concept at every stage of the data pipeline.</w:t>
      </w:r>
    </w:p>
    <w:p>
      <w:pPr>
        <w:pStyle w:val="BodyText"/>
      </w:pPr>
      <w:r>
        <w:t xml:space="preserve">Mining data is fundamentally temporal. A haul cycle is not a row — it is a sequence of timestamped transitions. An equipment breakdown is not a flag — it is an interval on a timeline. A shift is not a label — it is a boundary in UTC time that determines which cycles, delays, and maintenance events belong to it. Every KPI is, at its core, an aggregation over a time window. Getting time wrong silently corrupts every KPI that depends on it.</w:t>
      </w:r>
    </w:p>
    <w:p>
      <w:pPr>
        <w:pStyle w:val="CaptionedFigure"/>
      </w:pPr>
      <w:r>
        <w:drawing>
          <wp:inline>
            <wp:extent cx="5334000" cy="2502584"/>
            <wp:effectExtent b="0" l="0" r="0" t="0"/>
            <wp:docPr descr="Temporal Data Architecture: Event Time (when it happened), Processing Time (when the system received it), and Ingestion Time (when it entered the event store) are three distinct concepts. Watermarks, late events, idempotency, and cross-midnight shifts are derived consequences of this architecture." title="" id="75" name="Picture"/>
            <a:graphic>
              <a:graphicData uri="http://schemas.openxmlformats.org/drawingml/2006/picture">
                <pic:pic>
                  <pic:nvPicPr>
                    <pic:cNvPr descr="/home/claude/lbs_figs/lbs_temporal_arch.png" id="76" name="Picture"/>
                    <pic:cNvPicPr>
                      <a:picLocks noChangeArrowheads="1" noChangeAspect="1"/>
                    </pic:cNvPicPr>
                  </pic:nvPicPr>
                  <pic:blipFill>
                    <a:blip r:embed="rId74"/>
                    <a:stretch>
                      <a:fillRect/>
                    </a:stretch>
                  </pic:blipFill>
                  <pic:spPr bwMode="auto">
                    <a:xfrm>
                      <a:off x="0" y="0"/>
                      <a:ext cx="5334000" cy="2502584"/>
                    </a:xfrm>
                    <a:prstGeom prst="rect">
                      <a:avLst/>
                    </a:prstGeom>
                    <a:noFill/>
                    <a:ln w="9525">
                      <a:noFill/>
                      <a:headEnd/>
                      <a:tailEnd/>
                    </a:ln>
                  </pic:spPr>
                </pic:pic>
              </a:graphicData>
            </a:graphic>
          </wp:inline>
        </w:drawing>
      </w:r>
    </w:p>
    <w:p>
      <w:pPr>
        <w:pStyle w:val="ImageCaption"/>
      </w:pPr>
      <w:r>
        <w:t xml:space="preserve">Temporal Data Architecture: Event Time (when it happened), Processing Time (when the system received it), and Ingestion Time (when it entered the event store) are three distinct concepts. Watermarks, late events, idempotency, and cross-midnight shifts are derived consequences of this architecture.</w:t>
      </w:r>
    </w:p>
    <w:bookmarkStart w:id="77" w:name="the-three-time-concepts"/>
    <w:p>
      <w:pPr>
        <w:pStyle w:val="Heading2"/>
      </w:pPr>
      <w:bookmarkStart w:id="930043" w:name="_TocLBSv1_930043"/>
      <w:r>
        <w:t xml:space="preserve">The three time concepts</w:t>
      </w:r>
      <w:bookmarkEnd w:id="930043"/>
    </w:p>
    <w:p>
      <w:pPr>
        <w:pStyle w:val="FirstParagraph"/>
      </w:pPr>
      <w:r>
        <w:rPr>
          <w:bCs/>
          <w:b/>
        </w:rPr>
        <w:t xml:space="preserve">Event Time</w:t>
      </w:r>
      <w:r>
        <w:t xml:space="preserve"> is when the event actually happened in the physical world — when the shovel bucket touched rock, when the tyre failed, when the truck stopped at the crusher. Event Time is the canonical time axis for all KPI calculations. It is always stored in UTC.</w:t>
      </w:r>
    </w:p>
    <w:p>
      <w:pPr>
        <w:pStyle w:val="BodyText"/>
      </w:pPr>
      <w:r>
        <w:rPr>
          <w:bCs/>
          <w:b/>
        </w:rPr>
        <w:t xml:space="preserve">Processing Time</w:t>
      </w:r>
      <w:r>
        <w:t xml:space="preserve"> is when the FMS or telemetry system first processed the event — typically seconds to minutes after Event Time in a well-functioning network, potentially hours in a degraded one. Processing Time matters for diagnosing data latency and understanding the freshness of live Digital Twin values. It is stored as a diagnostic column (</w:t>
      </w:r>
      <w:r>
        <w:rPr>
          <w:rStyle w:val="VerbatimChar"/>
        </w:rPr>
        <w:t xml:space="preserve">processed_utc</w:t>
      </w:r>
      <w:r>
        <w:t xml:space="preserve">) and is </w:t>
      </w:r>
      <w:r>
        <w:rPr>
          <w:bCs/>
          <w:b/>
        </w:rPr>
        <w:t xml:space="preserve">never</w:t>
      </w:r>
      <w:r>
        <w:t xml:space="preserve"> used as the KPI calculation basis.</w:t>
      </w:r>
    </w:p>
    <w:p>
      <w:pPr>
        <w:pStyle w:val="BodyText"/>
      </w:pPr>
      <w:r>
        <w:rPr>
          <w:bCs/>
          <w:b/>
        </w:rPr>
        <w:t xml:space="preserve">Ingestion Time</w:t>
      </w:r>
      <w:r>
        <w:t xml:space="preserve"> is when the event entered the MineProductivity </w:t>
      </w:r>
      <w:r>
        <w:rPr>
          <w:rStyle w:val="VerbatimChar"/>
        </w:rPr>
        <w:t xml:space="preserve">EventStore</w:t>
      </w:r>
      <w:r>
        <w:t xml:space="preserve">. It is the audit trail. Ingestion Time ≥ Processing Time ≥ Event Time in normal operation. A spike in </w:t>
      </w:r>
      <w:r>
        <w:rPr>
          <w:rStyle w:val="VerbatimChar"/>
        </w:rPr>
        <w:t xml:space="preserve">Ingestion Time − Event Time</w:t>
      </w:r>
      <w:r>
        <w:t xml:space="preserve"> reveals a pipeline fault; it is never a proxy for “when things happened.”</w:t>
      </w:r>
    </w:p>
    <w:p>
      <w:pPr>
        <w:pStyle w:val="Warning"/>
      </w:pPr>
      <w:r>
        <w:rPr>
          <w:bCs/>
          <w:b/>
        </w:rPr>
        <w:t xml:space="preserve">Warning — never confuse the three times in a KPI calculation.</w:t>
      </w:r>
      <w:r>
        <w:t xml:space="preserve"> The single most common temporal error in mining analytics is computing shift operating hours from Processing Time instead of Event Time. When a FMS message is delayed, the truck appears to operate longer than it did. Always use Event Time, always stored in UTC, always joined to </w:t>
      </w:r>
      <w:r>
        <w:rPr>
          <w:rStyle w:val="VerbatimChar"/>
        </w:rPr>
        <w:t xml:space="preserve">shift_calendar.csv</w:t>
      </w:r>
      <w:r>
        <w:t xml:space="preserve"> on </w:t>
      </w:r>
      <w:r>
        <w:rPr>
          <w:rStyle w:val="VerbatimChar"/>
        </w:rPr>
        <w:t xml:space="preserve">event_time_utc</w:t>
      </w:r>
      <w:r>
        <w:t xml:space="preserve"> to assign events to shifts.</w:t>
      </w:r>
    </w:p>
    <w:bookmarkEnd w:id="77"/>
    <w:bookmarkStart w:id="78" w:name="Xefc0309ece5ed6dd8ddb59ac8689bf0701584e1"/>
    <w:p>
      <w:pPr>
        <w:pStyle w:val="Heading2"/>
      </w:pPr>
      <w:bookmarkStart w:id="930044" w:name="_TocLBSv1_930044"/>
      <w:r>
        <w:t xml:space="preserve">Shift boundaries and cross-midnight shifts</w:t>
      </w:r>
      <w:bookmarkEnd w:id="930044"/>
    </w:p>
    <w:p>
      <w:pPr>
        <w:pStyle w:val="FirstParagraph"/>
      </w:pPr>
      <w:r>
        <w:t xml:space="preserve">The canonical shift structure (</w:t>
      </w:r>
      <w:r>
        <w:rPr>
          <w:rStyle w:val="VerbatimChar"/>
        </w:rPr>
        <w:t xml:space="preserve">shared/shift_calendar.csv</w:t>
      </w:r>
      <w:r>
        <w:t xml:space="preserve">) defines every shift as a UTC interval. The day shift at Pilbara Ridge begins at 22:00 UTC the </w:t>
      </w:r>
      <w:r>
        <w:rPr>
          <w:iCs/>
          <w:i/>
        </w:rPr>
        <w:t xml:space="preserve">previous</w:t>
      </w:r>
      <w:r>
        <w:t xml:space="preserve"> calendar day (= 06:00 AWST, no daylight saving) and ends at 10:00 UTC. Cross-midnight in local time is irrelevant — the UTC interval is unambiguous.</w:t>
      </w:r>
    </w:p>
    <w:p>
      <w:pPr>
        <w:pStyle w:val="BodyText"/>
      </w:pPr>
      <w:r>
        <w:rPr>
          <w:bCs/>
          <w:b/>
        </w:rPr>
        <w:t xml:space="preserve">Assignment rule.</w:t>
      </w:r>
      <w:r>
        <w:t xml:space="preserve"> An event belongs to a shift if </w:t>
      </w:r>
      <w:r>
        <w:rPr>
          <w:rStyle w:val="VerbatimChar"/>
        </w:rPr>
        <w:t xml:space="preserve">shift.start_utc ≤ event_time_utc &lt; shift.end_utc</w:t>
      </w:r>
      <w:r>
        <w:t xml:space="preserve"> (half-open interval). </w:t>
      </w:r>
      <w:r>
        <w:rPr>
          <w:bCs/>
          <w:b/>
        </w:rPr>
        <w:t xml:space="preserve">DST.</w:t>
      </w:r>
      <w:r>
        <w:t xml:space="preserve"> Mines in DST-observing timezones have shifts that are 11.0 h or 13.0 h on DST transition dates; </w:t>
      </w:r>
      <w:r>
        <w:rPr>
          <w:rStyle w:val="VerbatimChar"/>
        </w:rPr>
        <w:t xml:space="preserve">scheduled_h</w:t>
      </w:r>
      <w:r>
        <w:t xml:space="preserve"> in </w:t>
      </w:r>
      <w:r>
        <w:rPr>
          <w:rStyle w:val="VerbatimChar"/>
        </w:rPr>
        <w:t xml:space="preserve">shift_calendar.csv</w:t>
      </w:r>
      <w:r>
        <w:t xml:space="preserve"> records the actual duration, and KPIs that use </w:t>
      </w:r>
      <w:r>
        <w:rPr>
          <w:rStyle w:val="VerbatimChar"/>
        </w:rPr>
        <w:t xml:space="preserve">scheduled_h</w:t>
      </w:r>
      <w:r>
        <w:t xml:space="preserve"> as a denominator (</w:t>
      </w:r>
      <w:r>
        <w:rPr>
          <w:rStyle w:val="VerbatimChar"/>
        </w:rPr>
        <w:t xml:space="preserve">UTIL.PA</w:t>
      </w:r>
      <w:r>
        <w:t xml:space="preserve">, </w:t>
      </w:r>
      <w:r>
        <w:rPr>
          <w:rStyle w:val="VerbatimChar"/>
        </w:rPr>
        <w:t xml:space="preserve">UTIL.UA</w:t>
      </w:r>
      <w:r>
        <w:t xml:space="preserve">) automatically handle DST correctly.</w:t>
      </w:r>
    </w:p>
    <w:bookmarkEnd w:id="78"/>
    <w:bookmarkStart w:id="79" w:name="watermarks-and-late-events"/>
    <w:p>
      <w:pPr>
        <w:pStyle w:val="Heading2"/>
      </w:pPr>
      <w:bookmarkStart w:id="930045" w:name="_TocLBSv1_930045"/>
      <w:r>
        <w:t xml:space="preserve">Watermarks and late events</w:t>
      </w:r>
      <w:bookmarkEnd w:id="930045"/>
    </w:p>
    <w:p>
      <w:pPr>
        <w:pStyle w:val="FirstParagraph"/>
      </w:pPr>
      <w:r>
        <w:t xml:space="preserve">In streaming analytics (NB-72) and the Digital Twin (NB-62), a </w:t>
      </w:r>
      <w:r>
        <w:rPr>
          <w:bCs/>
          <w:b/>
        </w:rPr>
        <w:t xml:space="preserve">watermark</w:t>
      </w:r>
      <w:r>
        <w:t xml:space="preserve"> asserts that all events with Event Time ≤ W are believed to have arrived. A </w:t>
      </w:r>
      <w:r>
        <w:rPr>
          <w:bCs/>
          <w:b/>
        </w:rPr>
        <w:t xml:space="preserve">late event</w:t>
      </w:r>
      <w:r>
        <w:t xml:space="preserve"> arrives after its watermark has advanced. Late events are handled as: (1) </w:t>
      </w:r>
      <w:r>
        <w:rPr>
          <w:bCs/>
          <w:b/>
        </w:rPr>
        <w:t xml:space="preserve">accept and correct</w:t>
      </w:r>
      <w:r>
        <w:t xml:space="preserve"> — recompute affected KPIs and mark the revision (canonical behaviour for batch mode); (2) </w:t>
      </w:r>
      <w:r>
        <w:rPr>
          <w:bCs/>
          <w:b/>
        </w:rPr>
        <w:t xml:space="preserve">accept and flag</w:t>
      </w:r>
      <w:r>
        <w:t xml:space="preserve"> — record with a </w:t>
      </w:r>
      <w:r>
        <w:rPr>
          <w:rStyle w:val="VerbatimChar"/>
        </w:rPr>
        <w:t xml:space="preserve">late_arrival</w:t>
      </w:r>
      <w:r>
        <w:t xml:space="preserve"> flag and alert the operator if the event changes a acted-upon recommendation; (3) </w:t>
      </w:r>
      <w:r>
        <w:rPr>
          <w:bCs/>
          <w:b/>
        </w:rPr>
        <w:t xml:space="preserve">reject</w:t>
      </w:r>
      <w:r>
        <w:t xml:space="preserve"> — appropriate only after a shift has been certified. Rejected events are logged, never silently dropped. The </w:t>
      </w:r>
      <w:r>
        <w:rPr>
          <w:rStyle w:val="VerbatimChar"/>
        </w:rPr>
        <w:t xml:space="preserve">late_event_policy</w:t>
      </w:r>
      <w:r>
        <w:t xml:space="preserve"> is a configurable KPI engine parameter.</w:t>
      </w:r>
    </w:p>
    <w:bookmarkEnd w:id="79"/>
    <w:bookmarkStart w:id="80" w:name="event-corrections-and-idempotency"/>
    <w:p>
      <w:pPr>
        <w:pStyle w:val="Heading2"/>
      </w:pPr>
      <w:bookmarkStart w:id="930046" w:name="_TocLBSv1_930046"/>
      <w:r>
        <w:t xml:space="preserve">Event corrections and idempotency</w:t>
      </w:r>
      <w:bookmarkEnd w:id="930046"/>
    </w:p>
    <w:p>
      <w:pPr>
        <w:pStyle w:val="FirstParagraph"/>
      </w:pPr>
      <w:r>
        <w:t xml:space="preserve">An </w:t>
      </w:r>
      <w:r>
        <w:rPr>
          <w:bCs/>
          <w:b/>
        </w:rPr>
        <w:t xml:space="preserve">event correction</w:t>
      </w:r>
      <w:r>
        <w:t xml:space="preserve"> is a revised version of an ingested event (e.g. a manually corrected payload). Every event carries a </w:t>
      </w:r>
      <w:r>
        <w:rPr>
          <w:rStyle w:val="VerbatimChar"/>
        </w:rPr>
        <w:t xml:space="preserve">version</w:t>
      </w:r>
      <w:r>
        <w:t xml:space="preserve"> field; the EventStore retains all versions keyed on </w:t>
      </w:r>
      <w:r>
        <w:rPr>
          <w:rStyle w:val="VerbatimChar"/>
        </w:rPr>
        <w:t xml:space="preserve">(event_id, version)</w:t>
      </w:r>
      <w:r>
        <w:t xml:space="preserve">; the engine always uses the highest version by default, with a configurable </w:t>
      </w:r>
      <w:r>
        <w:rPr>
          <w:rStyle w:val="VerbatimChar"/>
        </w:rPr>
        <w:t xml:space="preserve">as_of_version</w:t>
      </w:r>
      <w:r>
        <w:t xml:space="preserve"> for historical replay.</w:t>
      </w:r>
    </w:p>
    <w:p>
      <w:pPr>
        <w:pStyle w:val="BodyText"/>
      </w:pPr>
      <w:r>
        <w:rPr>
          <w:bCs/>
          <w:b/>
        </w:rPr>
        <w:t xml:space="preserve">Idempotency</w:t>
      </w:r>
      <w:r>
        <w:t xml:space="preserve"> means re-processing the same </w:t>
      </w:r>
      <w:r>
        <w:rPr>
          <w:rStyle w:val="VerbatimChar"/>
        </w:rPr>
        <w:t xml:space="preserve">(event_id, version)</w:t>
      </w:r>
      <w:r>
        <w:t xml:space="preserve"> pair produces the same result and creates no duplicates. This is what makes the </w:t>
      </w:r>
      <w:r>
        <w:rPr>
          <w:rStyle w:val="VerbatimChar"/>
        </w:rPr>
        <w:t xml:space="preserve">ScenarioGenerator</w:t>
      </w:r>
      <w:r>
        <w:t xml:space="preserve">’s deterministic replay guarantee meaningful: same seed → same </w:t>
      </w:r>
      <w:r>
        <w:rPr>
          <w:rStyle w:val="VerbatimChar"/>
        </w:rPr>
        <w:t xml:space="preserve">(event_id, version)</w:t>
      </w:r>
      <w:r>
        <w:t xml:space="preserve"> pairs → same results.</w:t>
      </w:r>
    </w:p>
    <w:bookmarkEnd w:id="80"/>
    <w:bookmarkStart w:id="81" w:name="Xab33bfe83de2ea0382918b6c8548a3cd7c3c3c3"/>
    <w:p>
      <w:pPr>
        <w:pStyle w:val="Heading2"/>
      </w:pPr>
      <w:bookmarkStart w:id="930047" w:name="_TocLBSv1_930047"/>
      <w:r>
        <w:t xml:space="preserve">Relation to Event Sourcing and the Digital Twin</w:t>
      </w:r>
      <w:bookmarkEnd w:id="930047"/>
    </w:p>
    <w:p>
      <w:pPr>
        <w:pStyle w:val="FirstParagraph"/>
      </w:pPr>
      <w:r>
        <w:t xml:space="preserve">These properties directly implement the Event Sourcing pattern (Architecture Handbook): the event log is the system of record; all state is derived from it; any past state can be reconstructed by replaying the log to any </w:t>
      </w:r>
      <w:r>
        <w:rPr>
          <w:rStyle w:val="VerbatimChar"/>
        </w:rPr>
        <w:t xml:space="preserve">as_of_utc</w:t>
      </w:r>
      <w:r>
        <w:t xml:space="preserve">. The Digital Twin’s </w:t>
      </w:r>
      <w:r>
        <w:rPr>
          <w:rStyle w:val="VerbatimChar"/>
        </w:rPr>
        <w:t xml:space="preserve">replay(as_of_utc, scenario)</w:t>
      </w:r>
      <w:r>
        <w:t xml:space="preserve"> method is a core operational capability — not a debugging tool — precisely because Event Time is stored faithfully and the EventStore is immutable append-only.</w:t>
      </w:r>
    </w:p>
    <w:p>
      <w:pPr>
        <w:pStyle w:val="DigitalTwinInsight"/>
      </w:pPr>
      <w:r>
        <w:rPr>
          <w:bCs/>
          <w:b/>
        </w:rPr>
        <w:t xml:space="preserve">Digital Twin Insight — time travel as a first-class feature.</w:t>
      </w:r>
      <w:r>
        <w:t xml:space="preserve"> Supervisors use </w:t>
      </w:r>
      <w:r>
        <w:rPr>
          <w:rStyle w:val="VerbatimChar"/>
        </w:rPr>
        <w:t xml:space="preserve">replay()</w:t>
      </w:r>
      <w:r>
        <w:t xml:space="preserve"> to reconstruct the mine state at any past moment; engineers use it to validate predictive models against counterfactual scenarios. This capability exists only because Event Time is stored faithfully and the EventStore is immutable.</w:t>
      </w:r>
    </w:p>
    <w:p>
      <w:pPr>
        <w:pStyle w:val="AIContributorNote"/>
      </w:pPr>
      <w:r>
        <w:rPr>
          <w:bCs/>
          <w:b/>
        </w:rPr>
        <w:t xml:space="preserve">AI Contributor Note.</w:t>
      </w:r>
      <w:r>
        <w:t xml:space="preserve"> When authoring a KPI, state whether it is an Event Time or Processing Time aggregate (almost all are Event Time). When authoring a notebook, always join on </w:t>
      </w:r>
      <w:r>
        <w:rPr>
          <w:rStyle w:val="VerbatimChar"/>
        </w:rPr>
        <w:t xml:space="preserve">event_time_utc</w:t>
      </w:r>
      <w:r>
        <w:t xml:space="preserve">. When authoring a generator, ensure </w:t>
      </w:r>
      <w:r>
        <w:rPr>
          <w:rStyle w:val="VerbatimChar"/>
        </w:rPr>
        <w:t xml:space="preserve">event_time_utc ≤ processed_utc ≤ ingestion_time_utc</w:t>
      </w:r>
      <w:r>
        <w:t xml:space="preserve"> for every event.</w:t>
      </w:r>
    </w:p>
    <w:bookmarkEnd w:id="81"/>
    <w:bookmarkEnd w:id="82"/>
    <w:bookmarkStart w:id="104" w:name="part-ii-notebook-gallery"/>
    <w:p>
      <w:pPr>
        <w:pStyle w:val="Heading1"/>
      </w:pPr>
      <w:bookmarkStart w:id="930048" w:name="_TocLBSv1_930048"/>
      <w:r>
        <w:t xml:space="preserve">Part II — Notebook Gallery</w:t>
      </w:r>
      <w:bookmarkEnd w:id="930048"/>
    </w:p>
    <w:p>
      <w:pPr>
        <w:pStyle w:val="LearningObjectives"/>
      </w:pPr>
      <w:r>
        <w:rPr>
          <w:bCs/>
          <w:b/>
        </w:rPr>
        <w:t xml:space="preserve">Learning Objectives.</w:t>
      </w:r>
      <w:r>
        <w:t xml:space="preserve"> After reading this part you will understand: the overall curriculum structure (100 notebooks across six levels); how notebooks are sequenced to build skills progressively; what each notebook teaches, which datasets it uses, what KPIs it covers, and what the expected outputs are; and how to navigate the gallery for a specific learning goal.</w:t>
      </w:r>
    </w:p>
    <w:bookmarkStart w:id="83" w:name="enhancement-6-notebook-metadata-standard"/>
    <w:p>
      <w:pPr>
        <w:pStyle w:val="Heading2"/>
      </w:pPr>
      <w:bookmarkStart w:id="930049" w:name="_TocLBSv1_930049"/>
      <w:r>
        <w:t xml:space="preserve">Enhancement 6 — Notebook Metadata Standard</w:t>
      </w:r>
      <w:bookmarkEnd w:id="930049"/>
    </w:p>
    <w:p>
      <w:pPr>
        <w:pStyle w:val="FirstParagraph"/>
      </w:pPr>
      <w:r>
        <w:t xml:space="preserve">Every notebook in the gallery carries a structured metadata block as its first cell. This block makes each notebook self-describing, version-traceable, and CI-auditable. It prevents educational drift by making incompatibilities explicit and machine-detectable.</w:t>
      </w:r>
    </w:p>
    <w:p>
      <w:pPr>
        <w:pStyle w:val="SourceCode"/>
      </w:pPr>
      <w:r>
        <w:rPr>
          <w:rStyle w:val="CommentTok"/>
        </w:rPr>
        <w:t xml:space="preserve"># Mandatory first cell — notebook_metadata.yaml</w:t>
      </w:r>
      <w:r>
        <w:br/>
      </w:r>
      <w:r>
        <w:rPr>
          <w:rStyle w:val="FunctionTok"/>
        </w:rPr>
        <w:t xml:space="preserve">notebook_id</w:t>
      </w:r>
      <w:r>
        <w:rPr>
          <w:rStyle w:val="KeywordTok"/>
        </w:rPr>
        <w:t xml:space="preserve">:</w:t>
      </w:r>
      <w:r>
        <w:rPr>
          <w:rStyle w:val="AttributeTok"/>
        </w:rPr>
        <w:t xml:space="preserve"> </w:t>
      </w:r>
      <w:r>
        <w:rPr>
          <w:rStyle w:val="StringTok"/>
        </w:rPr>
        <w:t xml:space="preserve">"NB-06"</w:t>
      </w:r>
      <w:r>
        <w:br/>
      </w:r>
      <w:r>
        <w:rPr>
          <w:rStyle w:val="FunctionTok"/>
        </w:rPr>
        <w:t xml:space="preserve">title</w:t>
      </w:r>
      <w:r>
        <w:rPr>
          <w:rStyle w:val="KeywordTok"/>
        </w:rPr>
        <w:t xml:space="preserve">:</w:t>
      </w:r>
      <w:r>
        <w:rPr>
          <w:rStyle w:val="AttributeTok"/>
        </w:rPr>
        <w:t xml:space="preserve"> </w:t>
      </w:r>
      <w:r>
        <w:rPr>
          <w:rStyle w:val="StringTok"/>
        </w:rPr>
        <w:t xml:space="preserve">"Your First Availability Calculation"</w:t>
      </w:r>
      <w:r>
        <w:br/>
      </w:r>
      <w:r>
        <w:rPr>
          <w:rStyle w:val="FunctionTok"/>
        </w:rPr>
        <w:t xml:space="preserve">version</w:t>
      </w:r>
      <w:r>
        <w:rPr>
          <w:rStyle w:val="KeywordTok"/>
        </w:rPr>
        <w:t xml:space="preserve">:</w:t>
      </w:r>
      <w:r>
        <w:rPr>
          <w:rStyle w:val="AttributeTok"/>
        </w:rPr>
        <w:t xml:space="preserve"> </w:t>
      </w:r>
      <w:r>
        <w:rPr>
          <w:rStyle w:val="StringTok"/>
        </w:rPr>
        <w:t xml:space="preserve">"1.0.0"</w:t>
      </w:r>
      <w:r>
        <w:br/>
      </w:r>
      <w:r>
        <w:rPr>
          <w:rStyle w:val="FunctionTok"/>
        </w:rPr>
        <w:t xml:space="preserve">dataset_version</w:t>
      </w:r>
      <w:r>
        <w:rPr>
          <w:rStyle w:val="KeywordTok"/>
        </w:rPr>
        <w:t xml:space="preserve">:</w:t>
      </w:r>
      <w:r>
        <w:rPr>
          <w:rStyle w:val="AttributeTok"/>
        </w:rPr>
        <w:t xml:space="preserve"> </w:t>
      </w:r>
      <w:r>
        <w:rPr>
          <w:rStyle w:val="StringTok"/>
        </w:rPr>
        <w:t xml:space="preserve">"1.0.0"</w:t>
      </w:r>
      <w:r>
        <w:rPr>
          <w:rStyle w:val="CommentTok"/>
        </w:rPr>
        <w:t xml:space="preserve">        # minimum compatible dataset version</w:t>
      </w:r>
      <w:r>
        <w:br/>
      </w:r>
      <w:r>
        <w:rPr>
          <w:rStyle w:val="FunctionTok"/>
        </w:rPr>
        <w:t xml:space="preserve">package_version</w:t>
      </w:r>
      <w:r>
        <w:rPr>
          <w:rStyle w:val="KeywordTok"/>
        </w:rPr>
        <w:t xml:space="preserve">:</w:t>
      </w:r>
      <w:r>
        <w:rPr>
          <w:rStyle w:val="AttributeTok"/>
        </w:rPr>
        <w:t xml:space="preserve"> </w:t>
      </w:r>
      <w:r>
        <w:rPr>
          <w:rStyle w:val="StringTok"/>
        </w:rPr>
        <w:t xml:space="preserve">"&gt;=1.0.0"</w:t>
      </w:r>
      <w:r>
        <w:br/>
      </w:r>
      <w:r>
        <w:rPr>
          <w:rStyle w:val="FunctionTok"/>
        </w:rPr>
        <w:t xml:space="preserve">ontology_version</w:t>
      </w:r>
      <w:r>
        <w:rPr>
          <w:rStyle w:val="KeywordTok"/>
        </w:rPr>
        <w:t xml:space="preserve">:</w:t>
      </w:r>
      <w:r>
        <w:rPr>
          <w:rStyle w:val="AttributeTok"/>
        </w:rPr>
        <w:t xml:space="preserve"> </w:t>
      </w:r>
      <w:r>
        <w:rPr>
          <w:rStyle w:val="StringTok"/>
        </w:rPr>
        <w:t xml:space="preserve">"1.0.0"</w:t>
      </w:r>
      <w:r>
        <w:br/>
      </w:r>
      <w:r>
        <w:rPr>
          <w:rStyle w:val="FunctionTok"/>
        </w:rPr>
        <w:t xml:space="preserve">kpi_versions</w:t>
      </w:r>
      <w:r>
        <w:rPr>
          <w:rStyle w:val="KeywordTok"/>
        </w:rPr>
        <w:t xml:space="preserve">:</w:t>
      </w:r>
      <w:r>
        <w:br/>
      </w:r>
      <w:r>
        <w:rPr>
          <w:rStyle w:val="AttributeTok"/>
        </w:rPr>
        <w:t xml:space="preserve">  </w:t>
      </w:r>
      <w:r>
        <w:rPr>
          <w:rStyle w:val="FunctionTok"/>
        </w:rPr>
        <w:t xml:space="preserve">UTIL.PA</w:t>
      </w:r>
      <w:r>
        <w:rPr>
          <w:rStyle w:val="KeywordTok"/>
        </w:rPr>
        <w:t xml:space="preserve">:</w:t>
      </w:r>
      <w:r>
        <w:rPr>
          <w:rStyle w:val="AttributeTok"/>
        </w:rPr>
        <w:t xml:space="preserve"> </w:t>
      </w:r>
      <w:r>
        <w:rPr>
          <w:rStyle w:val="StringTok"/>
        </w:rPr>
        <w:t xml:space="preserve">"1.0.0"</w:t>
      </w:r>
      <w:r>
        <w:br/>
      </w:r>
      <w:r>
        <w:rPr>
          <w:rStyle w:val="AttributeTok"/>
        </w:rPr>
        <w:t xml:space="preserve">  </w:t>
      </w:r>
      <w:r>
        <w:rPr>
          <w:rStyle w:val="FunctionTok"/>
        </w:rPr>
        <w:t xml:space="preserve">UTIL.UA</w:t>
      </w:r>
      <w:r>
        <w:rPr>
          <w:rStyle w:val="KeywordTok"/>
        </w:rPr>
        <w:t xml:space="preserve">:</w:t>
      </w:r>
      <w:r>
        <w:rPr>
          <w:rStyle w:val="AttributeTok"/>
        </w:rPr>
        <w:t xml:space="preserve"> </w:t>
      </w:r>
      <w:r>
        <w:rPr>
          <w:rStyle w:val="StringTok"/>
        </w:rPr>
        <w:t xml:space="preserve">"1.0.0"</w:t>
      </w:r>
      <w:r>
        <w:br/>
      </w:r>
      <w:r>
        <w:rPr>
          <w:rStyle w:val="AttributeTok"/>
        </w:rPr>
        <w:t xml:space="preserve">  </w:t>
      </w:r>
      <w:r>
        <w:rPr>
          <w:rStyle w:val="FunctionTok"/>
        </w:rPr>
        <w:t xml:space="preserve">UTIL.EU</w:t>
      </w:r>
      <w:r>
        <w:rPr>
          <w:rStyle w:val="KeywordTok"/>
        </w:rPr>
        <w:t xml:space="preserve">:</w:t>
      </w:r>
      <w:r>
        <w:rPr>
          <w:rStyle w:val="AttributeTok"/>
        </w:rPr>
        <w:t xml:space="preserve"> </w:t>
      </w:r>
      <w:r>
        <w:rPr>
          <w:rStyle w:val="StringTok"/>
        </w:rPr>
        <w:t xml:space="preserve">"1.0.0"</w:t>
      </w:r>
      <w:r>
        <w:br/>
      </w:r>
      <w:r>
        <w:rPr>
          <w:rStyle w:val="FunctionTok"/>
        </w:rPr>
        <w:t xml:space="preserve">difficulty</w:t>
      </w:r>
      <w:r>
        <w:rPr>
          <w:rStyle w:val="KeywordTok"/>
        </w:rPr>
        <w:t xml:space="preserve">:</w:t>
      </w:r>
      <w:r>
        <w:rPr>
          <w:rStyle w:val="AttributeTok"/>
        </w:rPr>
        <w:t xml:space="preserve"> </w:t>
      </w:r>
      <w:r>
        <w:rPr>
          <w:rStyle w:val="StringTok"/>
        </w:rPr>
        <w:t xml:space="preserve">"Beginner"</w:t>
      </w:r>
      <w:r>
        <w:br/>
      </w:r>
      <w:r>
        <w:rPr>
          <w:rStyle w:val="FunctionTok"/>
        </w:rPr>
        <w:t xml:space="preserve">estimated_runtime_min</w:t>
      </w:r>
      <w:r>
        <w:rPr>
          <w:rStyle w:val="KeywordTok"/>
        </w:rPr>
        <w:t xml:space="preserve">:</w:t>
      </w:r>
      <w:r>
        <w:rPr>
          <w:rStyle w:val="AttributeTok"/>
        </w:rPr>
        <w:t xml:space="preserve"> </w:t>
      </w:r>
      <w:r>
        <w:rPr>
          <w:rStyle w:val="DecValTok"/>
        </w:rPr>
        <w:t xml:space="preserve">30</w:t>
      </w:r>
      <w:r>
        <w:br/>
      </w:r>
      <w:r>
        <w:rPr>
          <w:rStyle w:val="FunctionTok"/>
        </w:rPr>
        <w:t xml:space="preserve">memory_mb</w:t>
      </w:r>
      <w:r>
        <w:rPr>
          <w:rStyle w:val="KeywordTok"/>
        </w:rPr>
        <w:t xml:space="preserve">:</w:t>
      </w:r>
      <w:r>
        <w:rPr>
          <w:rStyle w:val="AttributeTok"/>
        </w:rPr>
        <w:t xml:space="preserve"> </w:t>
      </w:r>
      <w:r>
        <w:rPr>
          <w:rStyle w:val="DecValTok"/>
        </w:rPr>
        <w:t xml:space="preserve">512</w:t>
      </w:r>
      <w:r>
        <w:br/>
      </w:r>
      <w:r>
        <w:rPr>
          <w:rStyle w:val="FunctionTok"/>
        </w:rPr>
        <w:t xml:space="preserve">learning_objectives</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StringTok"/>
        </w:rPr>
        <w:t xml:space="preserve">"Derive UTIL.PA, UTIL.UA, UTIL.EU from shift events"</w:t>
      </w:r>
      <w:r>
        <w:br/>
      </w:r>
      <w:r>
        <w:rPr>
          <w:rStyle w:val="AttributeTok"/>
        </w:rPr>
        <w:t xml:space="preserve">  </w:t>
      </w:r>
      <w:r>
        <w:rPr>
          <w:rStyle w:val="KeywordTok"/>
        </w:rPr>
        <w:t xml:space="preserve">-</w:t>
      </w:r>
      <w:r>
        <w:rPr>
          <w:rStyle w:val="AttributeTok"/>
        </w:rPr>
        <w:t xml:space="preserve"> </w:t>
      </w:r>
      <w:r>
        <w:rPr>
          <w:rStyle w:val="StringTok"/>
        </w:rPr>
        <w:t xml:space="preserve">"Verify the EU = PA x UA identity"</w:t>
      </w:r>
      <w:r>
        <w:br/>
      </w:r>
      <w:r>
        <w:rPr>
          <w:rStyle w:val="FunctionTok"/>
        </w:rPr>
        <w:t xml:space="preserve">required_skills</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StringTok"/>
        </w:rPr>
        <w:t xml:space="preserve">"Python basics"</w:t>
      </w:r>
      <w:r>
        <w:br/>
      </w:r>
      <w:r>
        <w:rPr>
          <w:rStyle w:val="AttributeTok"/>
        </w:rPr>
        <w:t xml:space="preserve">  </w:t>
      </w:r>
      <w:r>
        <w:rPr>
          <w:rStyle w:val="KeywordTok"/>
        </w:rPr>
        <w:t xml:space="preserve">-</w:t>
      </w:r>
      <w:r>
        <w:rPr>
          <w:rStyle w:val="AttributeTok"/>
        </w:rPr>
        <w:t xml:space="preserve"> </w:t>
      </w:r>
      <w:r>
        <w:rPr>
          <w:rStyle w:val="StringTok"/>
        </w:rPr>
        <w:t xml:space="preserve">"pandas DataFrame operations"</w:t>
      </w:r>
      <w:r>
        <w:br/>
      </w:r>
      <w:r>
        <w:rPr>
          <w:rStyle w:val="AttributeTok"/>
        </w:rPr>
        <w:t xml:space="preserve">  </w:t>
      </w:r>
      <w:r>
        <w:rPr>
          <w:rStyle w:val="KeywordTok"/>
        </w:rPr>
        <w:t xml:space="preserve">-</w:t>
      </w:r>
      <w:r>
        <w:rPr>
          <w:rStyle w:val="AttributeTok"/>
        </w:rPr>
        <w:t xml:space="preserve"> </w:t>
      </w:r>
      <w:r>
        <w:rPr>
          <w:rStyle w:val="StringTok"/>
        </w:rPr>
        <w:t xml:space="preserve">"NB-04 completed"</w:t>
      </w:r>
      <w:r>
        <w:br/>
      </w:r>
      <w:r>
        <w:rPr>
          <w:rStyle w:val="FunctionTok"/>
        </w:rPr>
        <w:t xml:space="preserve">expected_outputs</w:t>
      </w:r>
      <w:r>
        <w:rPr>
          <w:rStyle w:val="KeywordTok"/>
        </w:rPr>
        <w:t xml:space="preserve">:</w:t>
      </w:r>
      <w:r>
        <w:br/>
      </w:r>
      <w:r>
        <w:rPr>
          <w:rStyle w:val="AttributeTok"/>
        </w:rPr>
        <w:t xml:space="preserve">  </w:t>
      </w:r>
      <w:r>
        <w:rPr>
          <w:rStyle w:val="FunctionTok"/>
        </w:rPr>
        <w:t xml:space="preserve">UTIL.PA</w:t>
      </w:r>
      <w:r>
        <w:rPr>
          <w:rStyle w:val="KeywordTok"/>
        </w:rPr>
        <w:t xml:space="preserve">:</w:t>
      </w:r>
      <w:r>
        <w:rPr>
          <w:rStyle w:val="AttributeTok"/>
        </w:rPr>
        <w:t xml:space="preserve"> </w:t>
      </w:r>
      <w:r>
        <w:rPr>
          <w:rStyle w:val="KeywordTok"/>
        </w:rPr>
        <w:t xml:space="preserve">{</w:t>
      </w:r>
      <w:r>
        <w:rPr>
          <w:rStyle w:val="FunctionTok"/>
        </w:rPr>
        <w:t xml:space="preserve">value</w:t>
      </w:r>
      <w:r>
        <w:rPr>
          <w:rStyle w:val="KeywordTok"/>
        </w:rPr>
        <w:t xml:space="preserve">:</w:t>
      </w:r>
      <w:r>
        <w:rPr>
          <w:rStyle w:val="AttributeTok"/>
        </w:rPr>
        <w:t xml:space="preserve"> </w:t>
      </w:r>
      <w:r>
        <w:rPr>
          <w:rStyle w:val="FloatTok"/>
        </w:rPr>
        <w:t xml:space="preserve">86.9</w:t>
      </w:r>
      <w:r>
        <w:rPr>
          <w:rStyle w:val="KeywordTok"/>
        </w:rPr>
        <w:t xml:space="preserve">,</w:t>
      </w:r>
      <w:r>
        <w:rPr>
          <w:rStyle w:val="AttributeTok"/>
        </w:rPr>
        <w:t xml:space="preserve"> </w:t>
      </w:r>
      <w:r>
        <w:rPr>
          <w:rStyle w:val="FunctionTok"/>
        </w:rPr>
        <w:t xml:space="preserve">tolerance</w:t>
      </w:r>
      <w:r>
        <w:rPr>
          <w:rStyle w:val="KeywordTok"/>
        </w:rPr>
        <w:t xml:space="preserve">:</w:t>
      </w:r>
      <w:r>
        <w:rPr>
          <w:rStyle w:val="AttributeTok"/>
        </w:rPr>
        <w:t xml:space="preserve"> </w:t>
      </w:r>
      <w:r>
        <w:rPr>
          <w:rStyle w:val="FloatTok"/>
        </w:rPr>
        <w:t xml:space="preserve">0.1</w:t>
      </w:r>
      <w:r>
        <w:rPr>
          <w:rStyle w:val="KeywordTok"/>
        </w:rPr>
        <w:t xml:space="preserve">,</w:t>
      </w:r>
      <w:r>
        <w:rPr>
          <w:rStyle w:val="AttributeTok"/>
        </w:rPr>
        <w:t xml:space="preserve"> </w:t>
      </w:r>
      <w:r>
        <w:rPr>
          <w:rStyle w:val="FunctionTok"/>
        </w:rPr>
        <w:t xml:space="preserve">unit</w:t>
      </w:r>
      <w:r>
        <w:rPr>
          <w:rStyle w:val="KeywordTok"/>
        </w:rPr>
        <w:t xml:space="preserve">:</w:t>
      </w:r>
      <w:r>
        <w:rPr>
          <w:rStyle w:val="AttributeTok"/>
        </w:rPr>
        <w:t xml:space="preserve"> </w:t>
      </w:r>
      <w:r>
        <w:rPr>
          <w:rStyle w:val="StringTok"/>
        </w:rPr>
        <w:t xml:space="preserve">"%"</w:t>
      </w:r>
      <w:r>
        <w:rPr>
          <w:rStyle w:val="KeywordTok"/>
        </w:rPr>
        <w:t xml:space="preserve">}</w:t>
      </w:r>
      <w:r>
        <w:br/>
      </w:r>
      <w:r>
        <w:rPr>
          <w:rStyle w:val="AttributeTok"/>
        </w:rPr>
        <w:t xml:space="preserve">  </w:t>
      </w:r>
      <w:r>
        <w:rPr>
          <w:rStyle w:val="FunctionTok"/>
        </w:rPr>
        <w:t xml:space="preserve">UTIL.UA</w:t>
      </w:r>
      <w:r>
        <w:rPr>
          <w:rStyle w:val="KeywordTok"/>
        </w:rPr>
        <w:t xml:space="preserve">:</w:t>
      </w:r>
      <w:r>
        <w:rPr>
          <w:rStyle w:val="AttributeTok"/>
        </w:rPr>
        <w:t xml:space="preserve"> </w:t>
      </w:r>
      <w:r>
        <w:rPr>
          <w:rStyle w:val="KeywordTok"/>
        </w:rPr>
        <w:t xml:space="preserve">{</w:t>
      </w:r>
      <w:r>
        <w:rPr>
          <w:rStyle w:val="FunctionTok"/>
        </w:rPr>
        <w:t xml:space="preserve">value</w:t>
      </w:r>
      <w:r>
        <w:rPr>
          <w:rStyle w:val="KeywordTok"/>
        </w:rPr>
        <w:t xml:space="preserve">:</w:t>
      </w:r>
      <w:r>
        <w:rPr>
          <w:rStyle w:val="AttributeTok"/>
        </w:rPr>
        <w:t xml:space="preserve"> </w:t>
      </w:r>
      <w:r>
        <w:rPr>
          <w:rStyle w:val="FloatTok"/>
        </w:rPr>
        <w:t xml:space="preserve">89.0</w:t>
      </w:r>
      <w:r>
        <w:rPr>
          <w:rStyle w:val="KeywordTok"/>
        </w:rPr>
        <w:t xml:space="preserve">,</w:t>
      </w:r>
      <w:r>
        <w:rPr>
          <w:rStyle w:val="AttributeTok"/>
        </w:rPr>
        <w:t xml:space="preserve"> </w:t>
      </w:r>
      <w:r>
        <w:rPr>
          <w:rStyle w:val="FunctionTok"/>
        </w:rPr>
        <w:t xml:space="preserve">tolerance</w:t>
      </w:r>
      <w:r>
        <w:rPr>
          <w:rStyle w:val="KeywordTok"/>
        </w:rPr>
        <w:t xml:space="preserve">:</w:t>
      </w:r>
      <w:r>
        <w:rPr>
          <w:rStyle w:val="AttributeTok"/>
        </w:rPr>
        <w:t xml:space="preserve"> </w:t>
      </w:r>
      <w:r>
        <w:rPr>
          <w:rStyle w:val="FloatTok"/>
        </w:rPr>
        <w:t xml:space="preserve">0.1</w:t>
      </w:r>
      <w:r>
        <w:rPr>
          <w:rStyle w:val="KeywordTok"/>
        </w:rPr>
        <w:t xml:space="preserve">,</w:t>
      </w:r>
      <w:r>
        <w:rPr>
          <w:rStyle w:val="AttributeTok"/>
        </w:rPr>
        <w:t xml:space="preserve"> </w:t>
      </w:r>
      <w:r>
        <w:rPr>
          <w:rStyle w:val="FunctionTok"/>
        </w:rPr>
        <w:t xml:space="preserve">unit</w:t>
      </w:r>
      <w:r>
        <w:rPr>
          <w:rStyle w:val="KeywordTok"/>
        </w:rPr>
        <w:t xml:space="preserve">:</w:t>
      </w:r>
      <w:r>
        <w:rPr>
          <w:rStyle w:val="AttributeTok"/>
        </w:rPr>
        <w:t xml:space="preserve"> </w:t>
      </w:r>
      <w:r>
        <w:rPr>
          <w:rStyle w:val="StringTok"/>
        </w:rPr>
        <w:t xml:space="preserve">"%"</w:t>
      </w:r>
      <w:r>
        <w:rPr>
          <w:rStyle w:val="KeywordTok"/>
        </w:rPr>
        <w:t xml:space="preserve">}</w:t>
      </w:r>
      <w:r>
        <w:br/>
      </w:r>
      <w:r>
        <w:rPr>
          <w:rStyle w:val="AttributeTok"/>
        </w:rPr>
        <w:t xml:space="preserve">  </w:t>
      </w:r>
      <w:r>
        <w:rPr>
          <w:rStyle w:val="FunctionTok"/>
        </w:rPr>
        <w:t xml:space="preserve">UTIL.EU</w:t>
      </w:r>
      <w:r>
        <w:rPr>
          <w:rStyle w:val="KeywordTok"/>
        </w:rPr>
        <w:t xml:space="preserve">:</w:t>
      </w:r>
      <w:r>
        <w:rPr>
          <w:rStyle w:val="AttributeTok"/>
        </w:rPr>
        <w:t xml:space="preserve"> </w:t>
      </w:r>
      <w:r>
        <w:rPr>
          <w:rStyle w:val="KeywordTok"/>
        </w:rPr>
        <w:t xml:space="preserve">{</w:t>
      </w:r>
      <w:r>
        <w:rPr>
          <w:rStyle w:val="FunctionTok"/>
        </w:rPr>
        <w:t xml:space="preserve">value</w:t>
      </w:r>
      <w:r>
        <w:rPr>
          <w:rStyle w:val="KeywordTok"/>
        </w:rPr>
        <w:t xml:space="preserve">:</w:t>
      </w:r>
      <w:r>
        <w:rPr>
          <w:rStyle w:val="AttributeTok"/>
        </w:rPr>
        <w:t xml:space="preserve"> </w:t>
      </w:r>
      <w:r>
        <w:rPr>
          <w:rStyle w:val="FloatTok"/>
        </w:rPr>
        <w:t xml:space="preserve">77.4</w:t>
      </w:r>
      <w:r>
        <w:rPr>
          <w:rStyle w:val="KeywordTok"/>
        </w:rPr>
        <w:t xml:space="preserve">,</w:t>
      </w:r>
      <w:r>
        <w:rPr>
          <w:rStyle w:val="AttributeTok"/>
        </w:rPr>
        <w:t xml:space="preserve"> </w:t>
      </w:r>
      <w:r>
        <w:rPr>
          <w:rStyle w:val="FunctionTok"/>
        </w:rPr>
        <w:t xml:space="preserve">tolerance</w:t>
      </w:r>
      <w:r>
        <w:rPr>
          <w:rStyle w:val="KeywordTok"/>
        </w:rPr>
        <w:t xml:space="preserve">:</w:t>
      </w:r>
      <w:r>
        <w:rPr>
          <w:rStyle w:val="AttributeTok"/>
        </w:rPr>
        <w:t xml:space="preserve"> </w:t>
      </w:r>
      <w:r>
        <w:rPr>
          <w:rStyle w:val="FloatTok"/>
        </w:rPr>
        <w:t xml:space="preserve">0.1</w:t>
      </w:r>
      <w:r>
        <w:rPr>
          <w:rStyle w:val="KeywordTok"/>
        </w:rPr>
        <w:t xml:space="preserve">,</w:t>
      </w:r>
      <w:r>
        <w:rPr>
          <w:rStyle w:val="AttributeTok"/>
        </w:rPr>
        <w:t xml:space="preserve"> </w:t>
      </w:r>
      <w:r>
        <w:rPr>
          <w:rStyle w:val="FunctionTok"/>
        </w:rPr>
        <w:t xml:space="preserve">unit</w:t>
      </w:r>
      <w:r>
        <w:rPr>
          <w:rStyle w:val="KeywordTok"/>
        </w:rPr>
        <w:t xml:space="preserve">:</w:t>
      </w:r>
      <w:r>
        <w:rPr>
          <w:rStyle w:val="AttributeTok"/>
        </w:rPr>
        <w:t xml:space="preserve"> </w:t>
      </w:r>
      <w:r>
        <w:rPr>
          <w:rStyle w:val="StringTok"/>
        </w:rPr>
        <w:t xml:space="preserve">"%"</w:t>
      </w:r>
      <w:r>
        <w:rPr>
          <w:rStyle w:val="KeywordTok"/>
        </w:rPr>
        <w:t xml:space="preserve">}</w:t>
      </w:r>
      <w:r>
        <w:br/>
      </w:r>
      <w:r>
        <w:rPr>
          <w:rStyle w:val="AttributeTok"/>
        </w:rPr>
        <w:t xml:space="preserve">  </w:t>
      </w:r>
      <w:r>
        <w:rPr>
          <w:rStyle w:val="FunctionTok"/>
        </w:rPr>
        <w:t xml:space="preserve">EU_identity_check</w:t>
      </w:r>
      <w:r>
        <w:rPr>
          <w:rStyle w:val="KeywordTok"/>
        </w:rPr>
        <w:t xml:space="preserve">:</w:t>
      </w:r>
      <w:r>
        <w:rPr>
          <w:rStyle w:val="AttributeTok"/>
        </w:rPr>
        <w:t xml:space="preserve"> </w:t>
      </w:r>
      <w:r>
        <w:rPr>
          <w:rStyle w:val="KeywordTok"/>
        </w:rPr>
        <w:t xml:space="preserve">{</w:t>
      </w:r>
      <w:r>
        <w:rPr>
          <w:rStyle w:val="FunctionTok"/>
        </w:rPr>
        <w:t xml:space="preserve">pass</w:t>
      </w:r>
      <w:r>
        <w:rPr>
          <w:rStyle w:val="KeywordTok"/>
        </w:rPr>
        <w:t xml:space="preserve">:</w:t>
      </w:r>
      <w:r>
        <w:rPr>
          <w:rStyle w:val="AttributeTok"/>
        </w:rPr>
        <w:t xml:space="preserve"> </w:t>
      </w:r>
      <w:r>
        <w:rPr>
          <w:rStyle w:val="CharTok"/>
        </w:rPr>
        <w:t xml:space="preserve">true</w:t>
      </w:r>
      <w:r>
        <w:rPr>
          <w:rStyle w:val="KeywordTok"/>
        </w:rPr>
        <w:t xml:space="preserve">}</w:t>
      </w:r>
      <w:r>
        <w:br/>
      </w:r>
      <w:r>
        <w:rPr>
          <w:rStyle w:val="FunctionTok"/>
        </w:rPr>
        <w:t xml:space="preserve">validation_status</w:t>
      </w:r>
      <w:r>
        <w:rPr>
          <w:rStyle w:val="KeywordTok"/>
        </w:rPr>
        <w:t xml:space="preserve">:</w:t>
      </w:r>
      <w:r>
        <w:rPr>
          <w:rStyle w:val="AttributeTok"/>
        </w:rPr>
        <w:t xml:space="preserve"> </w:t>
      </w:r>
      <w:r>
        <w:rPr>
          <w:rStyle w:val="StringTok"/>
        </w:rPr>
        <w:t xml:space="preserve">"Certified"</w:t>
      </w:r>
      <w:r>
        <w:rPr>
          <w:rStyle w:val="CommentTok"/>
        </w:rPr>
        <w:t xml:space="preserve">   # Experimental | Reviewed | Certified</w:t>
      </w:r>
      <w:r>
        <w:br/>
      </w:r>
      <w:r>
        <w:rPr>
          <w:rStyle w:val="FunctionTok"/>
        </w:rPr>
        <w:t xml:space="preserve">last_reviewed</w:t>
      </w:r>
      <w:r>
        <w:rPr>
          <w:rStyle w:val="KeywordTok"/>
        </w:rPr>
        <w:t xml:space="preserve">:</w:t>
      </w:r>
      <w:r>
        <w:rPr>
          <w:rStyle w:val="AttributeTok"/>
        </w:rPr>
        <w:t xml:space="preserve"> </w:t>
      </w:r>
      <w:r>
        <w:rPr>
          <w:rStyle w:val="StringTok"/>
        </w:rPr>
        <w:t xml:space="preserve">"2026-06-01"</w:t>
      </w:r>
      <w:r>
        <w:br/>
      </w:r>
      <w:r>
        <w:rPr>
          <w:rStyle w:val="FunctionTok"/>
        </w:rPr>
        <w:t xml:space="preserve">handbook_chapters</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StringTok"/>
        </w:rPr>
        <w:t xml:space="preserve">"Part II Ch.18"</w:t>
      </w:r>
      <w:r>
        <w:br/>
      </w:r>
      <w:r>
        <w:rPr>
          <w:rStyle w:val="AttributeTok"/>
        </w:rPr>
        <w:t xml:space="preserve">  </w:t>
      </w:r>
      <w:r>
        <w:rPr>
          <w:rStyle w:val="KeywordTok"/>
        </w:rPr>
        <w:t xml:space="preserve">-</w:t>
      </w:r>
      <w:r>
        <w:rPr>
          <w:rStyle w:val="AttributeTok"/>
        </w:rPr>
        <w:t xml:space="preserve"> </w:t>
      </w:r>
      <w:r>
        <w:rPr>
          <w:rStyle w:val="StringTok"/>
        </w:rPr>
        <w:t xml:space="preserve">"Part III Canonical Semantics"</w:t>
      </w:r>
    </w:p>
    <w:p>
      <w:pPr>
        <w:pStyle w:val="FirstParagraph"/>
      </w:pPr>
      <w:r>
        <w:rPr>
          <w:bCs/>
          <w:b/>
        </w:rPr>
        <w:t xml:space="preserve">Why notebook versioning prevents educational drift.</w:t>
      </w:r>
      <w:r>
        <w:t xml:space="preserve"> When </w:t>
      </w:r>
      <w:r>
        <w:rPr>
          <w:rStyle w:val="VerbatimChar"/>
        </w:rPr>
        <w:t xml:space="preserve">UTIL.PA</w:t>
      </w:r>
      <w:r>
        <w:t xml:space="preserve"> is upgraded to a future MAJOR version that alters its denominator, the CI pipeline detects that NB-06’s </w:t>
      </w:r>
      <w:r>
        <w:rPr>
          <w:rStyle w:val="VerbatimChar"/>
        </w:rPr>
        <w:t xml:space="preserve">kpi_versions.UTIL.PA: "1.0.0"</w:t>
      </w:r>
      <w:r>
        <w:t xml:space="preserve"> conflicts with the installed </w:t>
      </w:r>
      <w:r>
        <w:rPr>
          <w:rStyle w:val="VerbatimChar"/>
        </w:rPr>
        <w:t xml:space="preserve">UTIL.PA 2.0.0</w:t>
      </w:r>
      <w:r>
        <w:t xml:space="preserve">, flags NB-06 for review, and blocks certification until the author explicitly updates the metadata and expected outputs. The metadata block is the contract — and the contract is machine-checkable.</w:t>
      </w:r>
    </w:p>
    <w:p>
      <w:pPr>
        <w:pStyle w:val="BodyText"/>
      </w:pPr>
      <w:r>
        <w:rPr>
          <w:bCs/>
          <w:b/>
        </w:rPr>
        <w:t xml:space="preserve">Validation status lifecycle.</w:t>
      </w:r>
      <w:r>
        <w:t xml:space="preserve"> Set </w:t>
      </w:r>
      <w:r>
        <w:rPr>
          <w:rStyle w:val="VerbatimChar"/>
        </w:rPr>
        <w:t xml:space="preserve">Experimental</w:t>
      </w:r>
      <w:r>
        <w:t xml:space="preserve"> when first authoring. Move to </w:t>
      </w:r>
      <w:r>
        <w:rPr>
          <w:rStyle w:val="VerbatimChar"/>
        </w:rPr>
        <w:t xml:space="preserve">Reviewed</w:t>
      </w:r>
      <w:r>
        <w:t xml:space="preserve"> after a peer has run the notebook end-to-end against the declared dataset version. Move to </w:t>
      </w:r>
      <w:r>
        <w:rPr>
          <w:rStyle w:val="VerbatimChar"/>
        </w:rPr>
        <w:t xml:space="preserve">Certified</w:t>
      </w:r>
      <w:r>
        <w:t xml:space="preserve"> only after the certification harness (NB-81) confirms all expected outputs within tolerance. Gallery policy: no notebook ships with </w:t>
      </w:r>
      <w:r>
        <w:rPr>
          <w:rStyle w:val="VerbatimChar"/>
        </w:rPr>
        <w:t xml:space="preserve">Experimental</w:t>
      </w:r>
      <w:r>
        <w:t xml:space="preserve"> status.</w:t>
      </w:r>
    </w:p>
    <w:p>
      <w:pPr>
        <w:pStyle w:val="BestPractice"/>
      </w:pPr>
      <w:r>
        <w:rPr>
          <w:bCs/>
          <w:b/>
        </w:rPr>
        <w:t xml:space="preserve">Best Practice — the metadata block is the notebook’s identity document.</w:t>
      </w:r>
      <w:r>
        <w:t xml:space="preserve"> It tells the CI pipeline, AI contributors, university instructors, and conference facilitators everything they need to know to use the notebook correctly: what version of everything it requires, what it will produce, and whether those outputs have been independently verified.</w:t>
      </w:r>
    </w:p>
    <w:bookmarkEnd w:id="83"/>
    <w:bookmarkStart w:id="87" w:name="curriculum-overview"/>
    <w:p>
      <w:pPr>
        <w:pStyle w:val="Heading2"/>
      </w:pPr>
      <w:bookmarkStart w:id="930050" w:name="_TocLBSv1_930050"/>
      <w:r>
        <w:t xml:space="preserve">Curriculum overview</w:t>
      </w:r>
      <w:bookmarkEnd w:id="930050"/>
    </w:p>
    <w:p>
      <w:pPr>
        <w:pStyle w:val="FirstParagraph"/>
      </w:pPr>
      <w:r>
        <w:t xml:space="preserve">The Notebook Gallery is a structured, progressive curriculum comparable to the scikit-learn examples or the TensorFlow Tutorial series — but grounded in mining operations. Its 100 notebooks are organised into six difficulty levels, each building on the last.</w:t>
      </w:r>
    </w:p>
    <w:p>
      <w:pPr>
        <w:pStyle w:val="CaptionedFigure"/>
      </w:pPr>
      <w:r>
        <w:drawing>
          <wp:inline>
            <wp:extent cx="5334000" cy="2703344"/>
            <wp:effectExtent b="0" l="0" r="0" t="0"/>
            <wp:docPr descr="Notebook Curriculum: 100 notebooks across six difficulty levels — Beginner (10 notebooks, Getting Started), Intermediate (25, Operational KPIs), Advanced (25, Analytics &amp; Optimisation), Expert (20, Digital Twin &amp; AI Agents), Specialist (15, Benchmark &amp; Certification), Research (5, Academic &amp; Conference)." title="" id="85" name="Picture"/>
            <a:graphic>
              <a:graphicData uri="http://schemas.openxmlformats.org/drawingml/2006/picture">
                <pic:pic>
                  <pic:nvPicPr>
                    <pic:cNvPr descr="/home/claude/lbs_figs/lbs_curriculum.png" id="86" name="Picture"/>
                    <pic:cNvPicPr>
                      <a:picLocks noChangeArrowheads="1" noChangeAspect="1"/>
                    </pic:cNvPicPr>
                  </pic:nvPicPr>
                  <pic:blipFill>
                    <a:blip r:embed="rId84"/>
                    <a:stretch>
                      <a:fillRect/>
                    </a:stretch>
                  </pic:blipFill>
                  <pic:spPr bwMode="auto">
                    <a:xfrm>
                      <a:off x="0" y="0"/>
                      <a:ext cx="5334000" cy="2703344"/>
                    </a:xfrm>
                    <a:prstGeom prst="rect">
                      <a:avLst/>
                    </a:prstGeom>
                    <a:noFill/>
                    <a:ln w="9525">
                      <a:noFill/>
                      <a:headEnd/>
                      <a:tailEnd/>
                    </a:ln>
                  </pic:spPr>
                </pic:pic>
              </a:graphicData>
            </a:graphic>
          </wp:inline>
        </w:drawing>
      </w:r>
    </w:p>
    <w:p>
      <w:pPr>
        <w:pStyle w:val="ImageCaption"/>
      </w:pPr>
      <w:r>
        <w:t xml:space="preserve">Notebook Curriculum: 100 notebooks across six difficulty levels — Beginner (10 notebooks, Getting Started), Intermediate (25, Operational KPIs), Advanced (25, Analytics &amp; Optimisation), Expert (20, Digital Twin &amp; AI Agents), Specialist (15, Benchmark &amp; Certification), Research (5, Academic &amp; Conference).</w:t>
      </w:r>
    </w:p>
    <w:p>
      <w:pPr>
        <w:pStyle w:val="BodyText"/>
      </w:pPr>
      <w:r>
        <w:t xml:space="preserve">Every notebook follows the same structure: </w:t>
      </w:r>
      <w:r>
        <w:rPr>
          <w:bCs/>
          <w:b/>
        </w:rPr>
        <w:t xml:space="preserve">Learning Objectives → Background → Dataset Overview → Business Context → Python Walkthrough → MineProductivity Walkthrough → Expected Outputs → Exercises → Challenge Exercises → Solutions → Further Reading → Related KPIs → Related Ontologies → Related Handbook Chapters.</w:t>
      </w:r>
    </w:p>
    <w:bookmarkEnd w:id="87"/>
    <w:bookmarkStart w:id="98" w:name="level-1-beginner-nb-01-to-nb-10"/>
    <w:p>
      <w:pPr>
        <w:pStyle w:val="Heading2"/>
      </w:pPr>
      <w:bookmarkStart w:id="930051" w:name="_TocLBSv1_930051"/>
      <w:r>
        <w:t xml:space="preserve">Level 1 — Beginner (NB-01 to NB-10)</w:t>
      </w:r>
      <w:bookmarkEnd w:id="930051"/>
    </w:p>
    <w:p>
      <w:pPr>
        <w:pStyle w:val="FirstParagraph"/>
      </w:pPr>
      <w:r>
        <w:rPr>
          <w:bCs/>
          <w:b/>
        </w:rPr>
        <w:t xml:space="preserve">Theme.</w:t>
      </w:r>
      <w:r>
        <w:t xml:space="preserve"> Getting Started. Each notebook is self-contained, takes under 30 minutes, and requires only the </w:t>
      </w:r>
      <w:r>
        <w:rPr>
          <w:rStyle w:val="VerbatimChar"/>
        </w:rPr>
        <w:t xml:space="preserve">shared/</w:t>
      </w:r>
      <w:r>
        <w:t xml:space="preserve"> and one commodity dataset. The beginner track introduces one concept per notebook.</w:t>
      </w:r>
    </w:p>
    <w:bookmarkStart w:id="88" w:name="nb-01-installation-first-run"/>
    <w:p>
      <w:pPr>
        <w:pStyle w:val="Heading3"/>
      </w:pPr>
      <w:bookmarkStart w:id="930052" w:name="_TocLBSv1_930052"/>
      <w:r>
        <w:t xml:space="preserve">NB-01 — Installation &amp; First Run</w:t>
      </w:r>
      <w:bookmarkEnd w:id="930052"/>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 xml:space="preserve">Verify installation; run the library’s built-in self-test; confirm a single KPI output</w:t>
            </w:r>
          </w:p>
        </w:tc>
      </w:tr>
      <w:tr>
        <w:tc>
          <w:tcPr/>
          <w:p>
            <w:pPr>
              <w:pStyle w:val="Compact"/>
              <w:jc w:val="left"/>
            </w:pPr>
            <w:r>
              <w:rPr>
                <w:bCs/>
                <w:b/>
              </w:rPr>
              <w:t xml:space="preserve">Datasets</w:t>
            </w:r>
          </w:p>
        </w:tc>
        <w:tc>
          <w:tcPr/>
          <w:p>
            <w:pPr>
              <w:pStyle w:val="Compact"/>
              <w:jc w:val="left"/>
            </w:pPr>
            <w:r>
              <w:t xml:space="preserve">None (synthetic inline data)</w:t>
            </w:r>
          </w:p>
        </w:tc>
      </w:tr>
      <w:tr>
        <w:tc>
          <w:tcPr/>
          <w:p>
            <w:pPr>
              <w:pStyle w:val="Compact"/>
              <w:jc w:val="left"/>
            </w:pPr>
            <w:r>
              <w:rPr>
                <w:bCs/>
                <w:b/>
              </w:rPr>
              <w:t xml:space="preserve">KPIs</w:t>
            </w:r>
          </w:p>
        </w:tc>
        <w:tc>
          <w:tcPr/>
          <w:p>
            <w:pPr>
              <w:pStyle w:val="Compact"/>
              <w:jc w:val="left"/>
            </w:pPr>
            <w:r>
              <w:rPr>
                <w:rStyle w:val="VerbatimChar"/>
              </w:rPr>
              <w:t xml:space="preserve">PROD.TPH</w:t>
            </w:r>
          </w:p>
        </w:tc>
      </w:tr>
      <w:tr>
        <w:tc>
          <w:tcPr/>
          <w:p>
            <w:pPr>
              <w:pStyle w:val="Compact"/>
              <w:jc w:val="left"/>
            </w:pPr>
            <w:r>
              <w:rPr>
                <w:bCs/>
                <w:b/>
              </w:rPr>
              <w:t xml:space="preserve">Expected output</w:t>
            </w:r>
          </w:p>
        </w:tc>
        <w:tc>
          <w:tcPr/>
          <w:p>
            <w:pPr>
              <w:pStyle w:val="Compact"/>
              <w:jc w:val="left"/>
            </w:pPr>
            <w:r>
              <w:rPr>
                <w:rStyle w:val="VerbatimChar"/>
              </w:rPr>
              <w:t xml:space="preserve">tonnes_per_hour(36000, 29.7)</w:t>
            </w:r>
            <w:r>
              <w:t xml:space="preserve"> → </w:t>
            </w:r>
            <w:r>
              <w:rPr>
                <w:rStyle w:val="VerbatimChar"/>
              </w:rPr>
              <w:t xml:space="preserve">1212.1 t/h</w:t>
            </w:r>
          </w:p>
        </w:tc>
      </w:tr>
      <w:tr>
        <w:tc>
          <w:tcPr/>
          <w:p>
            <w:pPr>
              <w:pStyle w:val="Compact"/>
              <w:jc w:val="left"/>
            </w:pPr>
            <w:r>
              <w:rPr>
                <w:bCs/>
                <w:b/>
              </w:rPr>
              <w:t xml:space="preserve">Skills learned</w:t>
            </w:r>
          </w:p>
        </w:tc>
        <w:tc>
          <w:tcPr/>
          <w:p>
            <w:pPr>
              <w:pStyle w:val="Compact"/>
              <w:jc w:val="left"/>
            </w:pPr>
            <w:r>
              <w:t xml:space="preserve">Install, import, call a function, read the result</w:t>
            </w:r>
          </w:p>
        </w:tc>
      </w:tr>
      <w:tr>
        <w:tc>
          <w:tcPr/>
          <w:p>
            <w:pPr>
              <w:pStyle w:val="Compact"/>
              <w:jc w:val="left"/>
            </w:pPr>
            <w:r>
              <w:rPr>
                <w:bCs/>
                <w:b/>
              </w:rPr>
              <w:t xml:space="preserve">Completion time</w:t>
            </w:r>
          </w:p>
        </w:tc>
        <w:tc>
          <w:tcPr/>
          <w:p>
            <w:pPr>
              <w:pStyle w:val="Compact"/>
              <w:jc w:val="left"/>
            </w:pPr>
            <w:r>
              <w:t xml:space="preserve">10 minutes</w:t>
            </w:r>
          </w:p>
        </w:tc>
      </w:tr>
      <w:tr>
        <w:tc>
          <w:tcPr/>
          <w:p>
            <w:pPr>
              <w:pStyle w:val="Compact"/>
              <w:jc w:val="left"/>
            </w:pPr>
            <w:r>
              <w:rPr>
                <w:bCs/>
                <w:b/>
              </w:rPr>
              <w:t xml:space="preserve">Difficulty</w:t>
            </w:r>
          </w:p>
        </w:tc>
        <w:tc>
          <w:tcPr/>
          <w:p>
            <w:pPr>
              <w:pStyle w:val="Compact"/>
              <w:jc w:val="left"/>
            </w:pPr>
            <w:r>
              <w:t xml:space="preserve">Beginner</w:t>
            </w:r>
          </w:p>
        </w:tc>
      </w:tr>
      <w:tr>
        <w:tc>
          <w:tcPr/>
          <w:p>
            <w:pPr>
              <w:pStyle w:val="Compact"/>
              <w:jc w:val="left"/>
            </w:pPr>
            <w:r>
              <w:rPr>
                <w:bCs/>
                <w:b/>
              </w:rPr>
              <w:t xml:space="preserve">Handbook chapter</w:t>
            </w:r>
          </w:p>
        </w:tc>
        <w:tc>
          <w:tcPr/>
          <w:p>
            <w:pPr>
              <w:pStyle w:val="Compact"/>
              <w:jc w:val="left"/>
            </w:pPr>
            <w:r>
              <w:t xml:space="preserve">Part I, Chapter 1</w:t>
            </w:r>
          </w:p>
        </w:tc>
      </w:tr>
    </w:tbl>
    <w:bookmarkEnd w:id="88"/>
    <w:bookmarkStart w:id="89" w:name="nb-02-your-first-event-cycleevent"/>
    <w:p>
      <w:pPr>
        <w:pStyle w:val="Heading3"/>
      </w:pPr>
      <w:bookmarkStart w:id="930053" w:name="_TocLBSv1_930053"/>
      <w:r>
        <w:t xml:space="preserve">NB-02 — Your First Event (CycleEvent)</w:t>
      </w:r>
      <w:bookmarkEnd w:id="930053"/>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 xml:space="preserve">Load </w:t>
            </w:r>
            <w:r>
              <w:rPr>
                <w:rStyle w:val="VerbatimChar"/>
              </w:rPr>
              <w:t xml:space="preserve">iron_ore/cycle_events.csv</w:t>
            </w:r>
            <w:r>
              <w:t xml:space="preserve">; filter one shift; compute </w:t>
            </w:r>
            <w:r>
              <w:rPr>
                <w:rStyle w:val="VerbatimChar"/>
              </w:rPr>
              <w:t xml:space="preserve">PROD.TPH</w:t>
            </w:r>
            <w:r>
              <w:t xml:space="preserve"> from real cycles</w:t>
            </w:r>
          </w:p>
        </w:tc>
      </w:tr>
      <w:tr>
        <w:tc>
          <w:tcPr/>
          <w:p>
            <w:pPr>
              <w:pStyle w:val="Compact"/>
              <w:jc w:val="left"/>
            </w:pPr>
            <w:r>
              <w:rPr>
                <w:bCs/>
                <w:b/>
              </w:rPr>
              <w:t xml:space="preserve">Datasets</w:t>
            </w:r>
          </w:p>
        </w:tc>
        <w:tc>
          <w:tcPr/>
          <w:p>
            <w:pPr>
              <w:pStyle w:val="Compact"/>
              <w:jc w:val="left"/>
            </w:pPr>
            <w:r>
              <w:rPr>
                <w:rStyle w:val="VerbatimChar"/>
              </w:rPr>
              <w:t xml:space="preserve">iron_ore/cycle_events.csv</w:t>
            </w:r>
            <w:r>
              <w:t xml:space="preserve">, </w:t>
            </w:r>
            <w:r>
              <w:rPr>
                <w:rStyle w:val="VerbatimChar"/>
              </w:rPr>
              <w:t xml:space="preserve">shared/shift_calendar.csv</w:t>
            </w:r>
          </w:p>
        </w:tc>
      </w:tr>
      <w:tr>
        <w:tc>
          <w:tcPr/>
          <w:p>
            <w:pPr>
              <w:pStyle w:val="Compact"/>
              <w:jc w:val="left"/>
            </w:pPr>
            <w:r>
              <w:rPr>
                <w:bCs/>
                <w:b/>
              </w:rPr>
              <w:t xml:space="preserve">KPIs</w:t>
            </w:r>
          </w:p>
        </w:tc>
        <w:tc>
          <w:tcPr/>
          <w:p>
            <w:pPr>
              <w:pStyle w:val="Compact"/>
              <w:jc w:val="left"/>
            </w:pPr>
            <w:r>
              <w:rPr>
                <w:rStyle w:val="VerbatimChar"/>
              </w:rPr>
              <w:t xml:space="preserve">PROD.TPH</w:t>
            </w:r>
            <w:r>
              <w:t xml:space="preserve">, </w:t>
            </w:r>
            <w:r>
              <w:rPr>
                <w:rStyle w:val="VerbatimChar"/>
              </w:rPr>
              <w:t xml:space="preserve">PROD.Payload</w:t>
            </w:r>
          </w:p>
        </w:tc>
      </w:tr>
      <w:tr>
        <w:tc>
          <w:tcPr/>
          <w:p>
            <w:pPr>
              <w:pStyle w:val="Compact"/>
              <w:jc w:val="left"/>
            </w:pPr>
            <w:r>
              <w:rPr>
                <w:bCs/>
                <w:b/>
              </w:rPr>
              <w:t xml:space="preserve">Expected output</w:t>
            </w:r>
          </w:p>
        </w:tc>
        <w:tc>
          <w:tcPr/>
          <w:p>
            <w:pPr>
              <w:pStyle w:val="Compact"/>
              <w:jc w:val="left"/>
            </w:pPr>
            <w:r>
              <w:t xml:space="preserve">Pilbara Ridge shift </w:t>
            </w:r>
            <w:r>
              <w:rPr>
                <w:rStyle w:val="VerbatimChar"/>
              </w:rPr>
              <w:t xml:space="preserve">PIL_2026-01-15_D</w:t>
            </w:r>
            <w:r>
              <w:t xml:space="preserve">: TPH ≈ 1,290 t/h; mean payload ≈ 288 t</w:t>
            </w:r>
          </w:p>
        </w:tc>
      </w:tr>
      <w:tr>
        <w:tc>
          <w:tcPr/>
          <w:p>
            <w:pPr>
              <w:pStyle w:val="Compact"/>
              <w:jc w:val="left"/>
            </w:pPr>
            <w:r>
              <w:rPr>
                <w:bCs/>
                <w:b/>
              </w:rPr>
              <w:t xml:space="preserve">Skills learned</w:t>
            </w:r>
          </w:p>
        </w:tc>
        <w:tc>
          <w:tcPr/>
          <w:p>
            <w:pPr>
              <w:pStyle w:val="Compact"/>
              <w:jc w:val="left"/>
            </w:pPr>
            <w:r>
              <w:t xml:space="preserve">CSV loading, FK join, shift filtering, KPI function call</w:t>
            </w:r>
          </w:p>
        </w:tc>
      </w:tr>
      <w:tr>
        <w:tc>
          <w:tcPr/>
          <w:p>
            <w:pPr>
              <w:pStyle w:val="Compact"/>
              <w:jc w:val="left"/>
            </w:pPr>
            <w:r>
              <w:rPr>
                <w:bCs/>
                <w:b/>
              </w:rPr>
              <w:t xml:space="preserve">Completion time</w:t>
            </w:r>
          </w:p>
        </w:tc>
        <w:tc>
          <w:tcPr/>
          <w:p>
            <w:pPr>
              <w:pStyle w:val="Compact"/>
              <w:jc w:val="left"/>
            </w:pPr>
            <w:r>
              <w:t xml:space="preserve">20 minutes</w:t>
            </w:r>
          </w:p>
        </w:tc>
      </w:tr>
      <w:tr>
        <w:tc>
          <w:tcPr/>
          <w:p>
            <w:pPr>
              <w:pStyle w:val="Compact"/>
              <w:jc w:val="left"/>
            </w:pPr>
            <w:r>
              <w:rPr>
                <w:bCs/>
                <w:b/>
              </w:rPr>
              <w:t xml:space="preserve">Difficulty</w:t>
            </w:r>
          </w:p>
        </w:tc>
        <w:tc>
          <w:tcPr/>
          <w:p>
            <w:pPr>
              <w:pStyle w:val="Compact"/>
              <w:jc w:val="left"/>
            </w:pPr>
            <w:r>
              <w:t xml:space="preserve">Beginner</w:t>
            </w:r>
          </w:p>
        </w:tc>
      </w:tr>
    </w:tbl>
    <w:bookmarkEnd w:id="89"/>
    <w:bookmarkStart w:id="90" w:name="nb-03-your-first-ontology-object"/>
    <w:p>
      <w:pPr>
        <w:pStyle w:val="Heading3"/>
      </w:pPr>
      <w:bookmarkStart w:id="930054" w:name="_TocLBSv1_930054"/>
      <w:r>
        <w:t xml:space="preserve">NB-03 — Your First Ontology Object</w:t>
      </w:r>
      <w:bookmarkEnd w:id="930054"/>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 xml:space="preserve">Instantiate </w:t>
            </w:r>
            <w:r>
              <w:rPr>
                <w:rStyle w:val="VerbatimChar"/>
              </w:rPr>
              <w:t xml:space="preserve">Equipment</w:t>
            </w:r>
            <w:r>
              <w:t xml:space="preserve"> and </w:t>
            </w:r>
            <w:r>
              <w:rPr>
                <w:rStyle w:val="VerbatimChar"/>
              </w:rPr>
              <w:t xml:space="preserve">Fleet</w:t>
            </w:r>
            <w:r>
              <w:t xml:space="preserve"> from the equipment registry; traverse the ontology hierarchy</w:t>
            </w:r>
          </w:p>
        </w:tc>
      </w:tr>
      <w:tr>
        <w:tc>
          <w:tcPr/>
          <w:p>
            <w:pPr>
              <w:pStyle w:val="Compact"/>
              <w:jc w:val="left"/>
            </w:pPr>
            <w:r>
              <w:rPr>
                <w:bCs/>
                <w:b/>
              </w:rPr>
              <w:t xml:space="preserve">Datasets</w:t>
            </w:r>
          </w:p>
        </w:tc>
        <w:tc>
          <w:tcPr/>
          <w:p>
            <w:pPr>
              <w:pStyle w:val="Compact"/>
              <w:jc w:val="left"/>
            </w:pPr>
            <w:r>
              <w:rPr>
                <w:rStyle w:val="VerbatimChar"/>
              </w:rPr>
              <w:t xml:space="preserve">iron_ore/equipment.csv</w:t>
            </w:r>
          </w:p>
        </w:tc>
      </w:tr>
      <w:tr>
        <w:tc>
          <w:tcPr/>
          <w:p>
            <w:pPr>
              <w:pStyle w:val="Compact"/>
              <w:jc w:val="left"/>
            </w:pPr>
            <w:r>
              <w:rPr>
                <w:bCs/>
                <w:b/>
              </w:rPr>
              <w:t xml:space="preserve">KPIs</w:t>
            </w:r>
          </w:p>
        </w:tc>
        <w:tc>
          <w:tcPr/>
          <w:p>
            <w:pPr>
              <w:pStyle w:val="Compact"/>
              <w:jc w:val="left"/>
            </w:pPr>
            <w:r>
              <w:t xml:space="preserve">None (ontology focus)</w:t>
            </w:r>
          </w:p>
        </w:tc>
      </w:tr>
      <w:tr>
        <w:tc>
          <w:tcPr/>
          <w:p>
            <w:pPr>
              <w:pStyle w:val="Compact"/>
              <w:jc w:val="left"/>
            </w:pPr>
            <w:r>
              <w:rPr>
                <w:bCs/>
                <w:b/>
              </w:rPr>
              <w:t xml:space="preserve">Expected output</w:t>
            </w:r>
          </w:p>
        </w:tc>
        <w:tc>
          <w:tcPr/>
          <w:p>
            <w:pPr>
              <w:pStyle w:val="Compact"/>
              <w:jc w:val="left"/>
            </w:pPr>
            <w:r>
              <w:t xml:space="preserve">Fleet </w:t>
            </w:r>
            <w:r>
              <w:rPr>
                <w:rStyle w:val="VerbatimChar"/>
              </w:rPr>
              <w:t xml:space="preserve">FL-NORTH</w:t>
            </w:r>
            <w:r>
              <w:t xml:space="preserve">: 8 trucks, rated 290 t each; total fleet capacity 2320 t/load</w:t>
            </w:r>
          </w:p>
        </w:tc>
      </w:tr>
      <w:tr>
        <w:tc>
          <w:tcPr/>
          <w:p>
            <w:pPr>
              <w:pStyle w:val="Compact"/>
              <w:jc w:val="left"/>
            </w:pPr>
            <w:r>
              <w:rPr>
                <w:bCs/>
                <w:b/>
              </w:rPr>
              <w:t xml:space="preserve">Skills learned</w:t>
            </w:r>
          </w:p>
        </w:tc>
        <w:tc>
          <w:tcPr/>
          <w:p>
            <w:pPr>
              <w:pStyle w:val="Compact"/>
              <w:jc w:val="left"/>
            </w:pPr>
            <w:r>
              <w:t xml:space="preserve">Ontology objects, hierarchy traversal, fleet aggregation</w:t>
            </w:r>
          </w:p>
        </w:tc>
      </w:tr>
      <w:tr>
        <w:tc>
          <w:tcPr/>
          <w:p>
            <w:pPr>
              <w:pStyle w:val="Compact"/>
              <w:jc w:val="left"/>
            </w:pPr>
            <w:r>
              <w:rPr>
                <w:bCs/>
                <w:b/>
              </w:rPr>
              <w:t xml:space="preserve">Handbook chapter</w:t>
            </w:r>
          </w:p>
        </w:tc>
        <w:tc>
          <w:tcPr/>
          <w:p>
            <w:pPr>
              <w:pStyle w:val="Compact"/>
              <w:jc w:val="left"/>
            </w:pPr>
            <w:r>
              <w:t xml:space="preserve">Part II, Chapter 14</w:t>
            </w:r>
          </w:p>
        </w:tc>
      </w:tr>
      <w:tr>
        <w:tc>
          <w:tcPr/>
          <w:p>
            <w:pPr>
              <w:pStyle w:val="Compact"/>
              <w:jc w:val="left"/>
            </w:pPr>
            <w:r>
              <w:rPr>
                <w:bCs/>
                <w:b/>
              </w:rPr>
              <w:t xml:space="preserve">Completion time</w:t>
            </w:r>
          </w:p>
        </w:tc>
        <w:tc>
          <w:tcPr/>
          <w:p>
            <w:pPr>
              <w:pStyle w:val="Compact"/>
              <w:jc w:val="left"/>
            </w:pPr>
            <w:r>
              <w:t xml:space="preserve">25 minutes</w:t>
            </w:r>
          </w:p>
        </w:tc>
      </w:tr>
    </w:tbl>
    <w:bookmarkEnd w:id="90"/>
    <w:bookmarkStart w:id="91" w:name="nb-04-your-first-connector-csv"/>
    <w:p>
      <w:pPr>
        <w:pStyle w:val="Heading3"/>
      </w:pPr>
      <w:bookmarkStart w:id="930055" w:name="_TocLBSv1_930055"/>
      <w:r>
        <w:t xml:space="preserve">NB-04 — Your First Connector (CSV)</w:t>
      </w:r>
      <w:bookmarkEnd w:id="930055"/>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 xml:space="preserve">Use </w:t>
            </w:r>
            <w:r>
              <w:rPr>
                <w:rStyle w:val="VerbatimChar"/>
              </w:rPr>
              <w:t xml:space="preserve">CSVConnector</w:t>
            </w:r>
            <w:r>
              <w:t xml:space="preserve"> to load events; fire the </w:t>
            </w:r>
            <w:r>
              <w:rPr>
                <w:rStyle w:val="VerbatimChar"/>
              </w:rPr>
              <w:t xml:space="preserve">KPIEngine</w:t>
            </w:r>
            <w:r>
              <w:t xml:space="preserve"> on one shift</w:t>
            </w:r>
          </w:p>
        </w:tc>
      </w:tr>
      <w:tr>
        <w:tc>
          <w:tcPr/>
          <w:p>
            <w:pPr>
              <w:pStyle w:val="Compact"/>
              <w:jc w:val="left"/>
            </w:pPr>
            <w:r>
              <w:rPr>
                <w:bCs/>
                <w:b/>
              </w:rPr>
              <w:t xml:space="preserve">Datasets</w:t>
            </w:r>
          </w:p>
        </w:tc>
        <w:tc>
          <w:tcPr/>
          <w:p>
            <w:pPr>
              <w:pStyle w:val="Compact"/>
              <w:jc w:val="left"/>
            </w:pPr>
            <w:r>
              <w:rPr>
                <w:rStyle w:val="VerbatimChar"/>
              </w:rPr>
              <w:t xml:space="preserve">iron_ore/cycle_events.csv</w:t>
            </w:r>
          </w:p>
        </w:tc>
      </w:tr>
      <w:tr>
        <w:tc>
          <w:tcPr/>
          <w:p>
            <w:pPr>
              <w:pStyle w:val="Compact"/>
              <w:jc w:val="left"/>
            </w:pPr>
            <w:r>
              <w:rPr>
                <w:bCs/>
                <w:b/>
              </w:rPr>
              <w:t xml:space="preserve">KPIs</w:t>
            </w:r>
          </w:p>
        </w:tc>
        <w:tc>
          <w:tcPr/>
          <w:p>
            <w:pPr>
              <w:pStyle w:val="Compact"/>
              <w:jc w:val="left"/>
            </w:pPr>
            <w:r>
              <w:rPr>
                <w:rStyle w:val="VerbatimChar"/>
              </w:rPr>
              <w:t xml:space="preserve">PROD.TPH</w:t>
            </w:r>
          </w:p>
        </w:tc>
      </w:tr>
      <w:tr>
        <w:tc>
          <w:tcPr/>
          <w:p>
            <w:pPr>
              <w:pStyle w:val="Compact"/>
              <w:jc w:val="left"/>
            </w:pPr>
            <w:r>
              <w:rPr>
                <w:bCs/>
                <w:b/>
              </w:rPr>
              <w:t xml:space="preserve">Expected output</w:t>
            </w:r>
          </w:p>
        </w:tc>
        <w:tc>
          <w:tcPr/>
          <w:p>
            <w:pPr>
              <w:pStyle w:val="Compact"/>
              <w:jc w:val="left"/>
            </w:pPr>
            <w:r>
              <w:t xml:space="preserve">Same as NB-02 but via the engine API; confirms engine = direct function</w:t>
            </w:r>
          </w:p>
        </w:tc>
      </w:tr>
      <w:tr>
        <w:tc>
          <w:tcPr/>
          <w:p>
            <w:pPr>
              <w:pStyle w:val="Compact"/>
              <w:jc w:val="left"/>
            </w:pPr>
            <w:r>
              <w:rPr>
                <w:bCs/>
                <w:b/>
              </w:rPr>
              <w:t xml:space="preserve">Skills learned</w:t>
            </w:r>
          </w:p>
        </w:tc>
        <w:tc>
          <w:tcPr/>
          <w:p>
            <w:pPr>
              <w:pStyle w:val="Compact"/>
              <w:jc w:val="left"/>
            </w:pPr>
            <w:r>
              <w:rPr>
                <w:rStyle w:val="VerbatimChar"/>
              </w:rPr>
              <w:t xml:space="preserve">CSVConnector</w:t>
            </w:r>
            <w:r>
              <w:t xml:space="preserve">, </w:t>
            </w:r>
            <w:r>
              <w:rPr>
                <w:rStyle w:val="VerbatimChar"/>
              </w:rPr>
              <w:t xml:space="preserve">KPIEngine</w:t>
            </w:r>
            <w:r>
              <w:t xml:space="preserve">, result validation</w:t>
            </w:r>
          </w:p>
        </w:tc>
      </w:tr>
      <w:tr>
        <w:tc>
          <w:tcPr/>
          <w:p>
            <w:pPr>
              <w:pStyle w:val="Compact"/>
              <w:jc w:val="left"/>
            </w:pPr>
            <w:r>
              <w:rPr>
                <w:bCs/>
                <w:b/>
              </w:rPr>
              <w:t xml:space="preserve">Handbook chapter</w:t>
            </w:r>
          </w:p>
        </w:tc>
        <w:tc>
          <w:tcPr/>
          <w:p>
            <w:pPr>
              <w:pStyle w:val="Compact"/>
              <w:jc w:val="left"/>
            </w:pPr>
            <w:r>
              <w:t xml:space="preserve">Part I, Chapters 5–6</w:t>
            </w:r>
          </w:p>
        </w:tc>
      </w:tr>
      <w:tr>
        <w:tc>
          <w:tcPr/>
          <w:p>
            <w:pPr>
              <w:pStyle w:val="Compact"/>
              <w:jc w:val="left"/>
            </w:pPr>
            <w:r>
              <w:rPr>
                <w:bCs/>
                <w:b/>
              </w:rPr>
              <w:t xml:space="preserve">Completion time</w:t>
            </w:r>
          </w:p>
        </w:tc>
        <w:tc>
          <w:tcPr/>
          <w:p>
            <w:pPr>
              <w:pStyle w:val="Compact"/>
              <w:jc w:val="left"/>
            </w:pPr>
            <w:r>
              <w:t xml:space="preserve">30 minutes</w:t>
            </w:r>
          </w:p>
        </w:tc>
      </w:tr>
    </w:tbl>
    <w:bookmarkEnd w:id="91"/>
    <w:bookmarkStart w:id="92" w:name="nb-05-your-first-delay-analysis"/>
    <w:p>
      <w:pPr>
        <w:pStyle w:val="Heading3"/>
      </w:pPr>
      <w:bookmarkStart w:id="930056" w:name="_TocLBSv1_930056"/>
      <w:r>
        <w:t xml:space="preserve">NB-05 — Your First Delay Analysis</w:t>
      </w:r>
      <w:bookmarkEnd w:id="930056"/>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 xml:space="preserve">Load </w:t>
            </w:r>
            <w:r>
              <w:rPr>
                <w:rStyle w:val="VerbatimChar"/>
              </w:rPr>
              <w:t xml:space="preserve">delay_events.csv</w:t>
            </w:r>
            <w:r>
              <w:t xml:space="preserve">; aggregate total delay hours; build the Pareto chart</w:t>
            </w:r>
          </w:p>
        </w:tc>
      </w:tr>
      <w:tr>
        <w:tc>
          <w:tcPr/>
          <w:p>
            <w:pPr>
              <w:pStyle w:val="Compact"/>
              <w:jc w:val="left"/>
            </w:pPr>
            <w:r>
              <w:rPr>
                <w:bCs/>
                <w:b/>
              </w:rPr>
              <w:t xml:space="preserve">Datasets</w:t>
            </w:r>
          </w:p>
        </w:tc>
        <w:tc>
          <w:tcPr/>
          <w:p>
            <w:pPr>
              <w:pStyle w:val="Compact"/>
              <w:jc w:val="left"/>
            </w:pPr>
            <w:r>
              <w:rPr>
                <w:rStyle w:val="VerbatimChar"/>
              </w:rPr>
              <w:t xml:space="preserve">iron_ore/delay_events.csv</w:t>
            </w:r>
            <w:r>
              <w:t xml:space="preserve">, </w:t>
            </w:r>
            <w:r>
              <w:rPr>
                <w:rStyle w:val="VerbatimChar"/>
              </w:rPr>
              <w:t xml:space="preserve">shared/shift_calendar.csv</w:t>
            </w:r>
          </w:p>
        </w:tc>
      </w:tr>
      <w:tr>
        <w:tc>
          <w:tcPr/>
          <w:p>
            <w:pPr>
              <w:pStyle w:val="Compact"/>
              <w:jc w:val="left"/>
            </w:pPr>
            <w:r>
              <w:rPr>
                <w:bCs/>
                <w:b/>
              </w:rPr>
              <w:t xml:space="preserve">KPIs</w:t>
            </w:r>
          </w:p>
        </w:tc>
        <w:tc>
          <w:tcPr/>
          <w:p>
            <w:pPr>
              <w:pStyle w:val="Compact"/>
              <w:jc w:val="left"/>
            </w:pPr>
            <w:r>
              <w:rPr>
                <w:rStyle w:val="VerbatimChar"/>
              </w:rPr>
              <w:t xml:space="preserve">DELAY.Hours</w:t>
            </w:r>
          </w:p>
        </w:tc>
      </w:tr>
      <w:tr>
        <w:tc>
          <w:tcPr/>
          <w:p>
            <w:pPr>
              <w:pStyle w:val="Compact"/>
              <w:jc w:val="left"/>
            </w:pPr>
            <w:r>
              <w:rPr>
                <w:bCs/>
                <w:b/>
              </w:rPr>
              <w:t xml:space="preserve">Expected output</w:t>
            </w:r>
          </w:p>
        </w:tc>
        <w:tc>
          <w:tcPr/>
          <w:p>
            <w:pPr>
              <w:pStyle w:val="Compact"/>
              <w:jc w:val="left"/>
            </w:pPr>
            <w:r>
              <w:t xml:space="preserve">Top delay category: </w:t>
            </w:r>
            <w:r>
              <w:rPr>
                <w:rStyle w:val="VerbatimChar"/>
              </w:rPr>
              <w:t xml:space="preserve">Scheduled</w:t>
            </w:r>
            <w:r>
              <w:t xml:space="preserve"> (planned blast); total delay ≈ 8.1 h this shift</w:t>
            </w:r>
          </w:p>
        </w:tc>
      </w:tr>
      <w:tr>
        <w:tc>
          <w:tcPr/>
          <w:p>
            <w:pPr>
              <w:pStyle w:val="Compact"/>
              <w:jc w:val="left"/>
            </w:pPr>
            <w:r>
              <w:rPr>
                <w:bCs/>
                <w:b/>
              </w:rPr>
              <w:t xml:space="preserve">Visualization</w:t>
            </w:r>
          </w:p>
        </w:tc>
        <w:tc>
          <w:tcPr/>
          <w:p>
            <w:pPr>
              <w:pStyle w:val="Compact"/>
              <w:jc w:val="left"/>
            </w:pPr>
            <w:r>
              <w:t xml:space="preserve">Delay Pareto (Part III Figure)</w:t>
            </w:r>
          </w:p>
        </w:tc>
      </w:tr>
      <w:tr>
        <w:tc>
          <w:tcPr/>
          <w:p>
            <w:pPr>
              <w:pStyle w:val="Compact"/>
              <w:jc w:val="left"/>
            </w:pPr>
            <w:r>
              <w:rPr>
                <w:bCs/>
                <w:b/>
              </w:rPr>
              <w:t xml:space="preserve">Completion time</w:t>
            </w:r>
          </w:p>
        </w:tc>
        <w:tc>
          <w:tcPr/>
          <w:p>
            <w:pPr>
              <w:pStyle w:val="Compact"/>
              <w:jc w:val="left"/>
            </w:pPr>
            <w:r>
              <w:t xml:space="preserve">30 minutes</w:t>
            </w:r>
          </w:p>
        </w:tc>
      </w:tr>
    </w:tbl>
    <w:bookmarkEnd w:id="92"/>
    <w:bookmarkStart w:id="93" w:name="X0a29410e4249c5eaeaaa1bd514f7a6c7fb44fc2"/>
    <w:p>
      <w:pPr>
        <w:pStyle w:val="Heading3"/>
      </w:pPr>
      <w:bookmarkStart w:id="930057" w:name="_TocLBSv1_930057"/>
      <w:r>
        <w:t xml:space="preserve">NB-06 — Your First Availability Calculation</w:t>
      </w:r>
      <w:bookmarkEnd w:id="930057"/>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 xml:space="preserve">Derive </w:t>
            </w:r>
            <w:r>
              <w:rPr>
                <w:rStyle w:val="VerbatimChar"/>
              </w:rPr>
              <w:t xml:space="preserve">UTIL.PA</w:t>
            </w:r>
            <w:r>
              <w:t xml:space="preserve">, </w:t>
            </w:r>
            <w:r>
              <w:rPr>
                <w:rStyle w:val="VerbatimChar"/>
              </w:rPr>
              <w:t xml:space="preserve">UTIL.UA</w:t>
            </w:r>
            <w:r>
              <w:t xml:space="preserve">, </w:t>
            </w:r>
            <w:r>
              <w:rPr>
                <w:rStyle w:val="VerbatimChar"/>
              </w:rPr>
              <w:t xml:space="preserve">UTIL.EU</w:t>
            </w:r>
            <w:r>
              <w:t xml:space="preserve"> from shift events; verify EU = PA × UA identity</w:t>
            </w:r>
          </w:p>
        </w:tc>
      </w:tr>
      <w:tr>
        <w:tc>
          <w:tcPr/>
          <w:p>
            <w:pPr>
              <w:pStyle w:val="Compact"/>
              <w:jc w:val="left"/>
            </w:pPr>
            <w:r>
              <w:rPr>
                <w:bCs/>
                <w:b/>
              </w:rPr>
              <w:t xml:space="preserve">Datasets</w:t>
            </w:r>
          </w:p>
        </w:tc>
        <w:tc>
          <w:tcPr/>
          <w:p>
            <w:pPr>
              <w:pStyle w:val="Compact"/>
              <w:jc w:val="left"/>
            </w:pPr>
            <w:r>
              <w:rPr>
                <w:rStyle w:val="VerbatimChar"/>
              </w:rPr>
              <w:t xml:space="preserve">iron_ore/delay_events.csv</w:t>
            </w:r>
            <w:r>
              <w:t xml:space="preserve">, </w:t>
            </w:r>
            <w:r>
              <w:rPr>
                <w:rStyle w:val="VerbatimChar"/>
              </w:rPr>
              <w:t xml:space="preserve">shared/shift_calendar.csv</w:t>
            </w:r>
          </w:p>
        </w:tc>
      </w:tr>
      <w:tr>
        <w:tc>
          <w:tcPr/>
          <w:p>
            <w:pPr>
              <w:pStyle w:val="Compact"/>
              <w:jc w:val="left"/>
            </w:pPr>
            <w:r>
              <w:rPr>
                <w:bCs/>
                <w:b/>
              </w:rPr>
              <w:t xml:space="preserve">KPIs</w:t>
            </w:r>
          </w:p>
        </w:tc>
        <w:tc>
          <w:tcPr/>
          <w:p>
            <w:pPr>
              <w:pStyle w:val="Compact"/>
              <w:jc w:val="left"/>
            </w:pPr>
            <w:r>
              <w:rPr>
                <w:rStyle w:val="VerbatimChar"/>
              </w:rPr>
              <w:t xml:space="preserve">UTIL.PA</w:t>
            </w:r>
            <w:r>
              <w:t xml:space="preserve">, </w:t>
            </w:r>
            <w:r>
              <w:rPr>
                <w:rStyle w:val="VerbatimChar"/>
              </w:rPr>
              <w:t xml:space="preserve">UTIL.UA</w:t>
            </w:r>
            <w:r>
              <w:t xml:space="preserve">, </w:t>
            </w:r>
            <w:r>
              <w:rPr>
                <w:rStyle w:val="VerbatimChar"/>
              </w:rPr>
              <w:t xml:space="preserve">UTIL.EU</w:t>
            </w:r>
          </w:p>
        </w:tc>
      </w:tr>
      <w:tr>
        <w:tc>
          <w:tcPr/>
          <w:p>
            <w:pPr>
              <w:pStyle w:val="Compact"/>
              <w:jc w:val="left"/>
            </w:pPr>
            <w:r>
              <w:rPr>
                <w:bCs/>
                <w:b/>
              </w:rPr>
              <w:t xml:space="preserve">Expected output</w:t>
            </w:r>
          </w:p>
        </w:tc>
        <w:tc>
          <w:tcPr/>
          <w:p>
            <w:pPr>
              <w:pStyle w:val="Compact"/>
              <w:jc w:val="left"/>
            </w:pPr>
            <w:r>
              <w:t xml:space="preserve">PA 86.9%, UA 89.0%, EU 77.4% (canonical numbers from Part III)</w:t>
            </w:r>
          </w:p>
        </w:tc>
      </w:tr>
      <w:tr>
        <w:tc>
          <w:tcPr/>
          <w:p>
            <w:pPr>
              <w:pStyle w:val="Compact"/>
              <w:jc w:val="left"/>
            </w:pPr>
            <w:r>
              <w:rPr>
                <w:bCs/>
                <w:b/>
              </w:rPr>
              <w:t xml:space="preserve">Validation</w:t>
            </w:r>
          </w:p>
        </w:tc>
        <w:tc>
          <w:tcPr/>
          <w:p>
            <w:pPr>
              <w:pStyle w:val="Compact"/>
              <w:jc w:val="left"/>
            </w:pPr>
            <w:r>
              <w:rPr>
                <w:rStyle w:val="VerbatimChar"/>
              </w:rPr>
              <w:t xml:space="preserve">abs(EU − PA*UA/100) &lt; 1e-6</w:t>
            </w:r>
          </w:p>
        </w:tc>
      </w:tr>
      <w:tr>
        <w:tc>
          <w:tcPr/>
          <w:p>
            <w:pPr>
              <w:pStyle w:val="Compact"/>
              <w:jc w:val="left"/>
            </w:pPr>
            <w:r>
              <w:rPr>
                <w:bCs/>
                <w:b/>
              </w:rPr>
              <w:t xml:space="preserve">Completion time</w:t>
            </w:r>
          </w:p>
        </w:tc>
        <w:tc>
          <w:tcPr/>
          <w:p>
            <w:pPr>
              <w:pStyle w:val="Compact"/>
              <w:jc w:val="left"/>
            </w:pPr>
            <w:r>
              <w:t xml:space="preserve">30 minutes</w:t>
            </w:r>
          </w:p>
        </w:tc>
      </w:tr>
    </w:tbl>
    <w:bookmarkEnd w:id="93"/>
    <w:bookmarkStart w:id="94" w:name="nb-07-your-first-visualization"/>
    <w:p>
      <w:pPr>
        <w:pStyle w:val="Heading3"/>
      </w:pPr>
      <w:bookmarkStart w:id="930058" w:name="_TocLBSv1_930058"/>
      <w:r>
        <w:t xml:space="preserve">NB-07 — Your First Visualization</w:t>
      </w:r>
      <w:bookmarkEnd w:id="930058"/>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 xml:space="preserve">Build a KPI card, a time-series TPH chart, and the availability waterfall</w:t>
            </w:r>
          </w:p>
        </w:tc>
      </w:tr>
      <w:tr>
        <w:tc>
          <w:tcPr/>
          <w:p>
            <w:pPr>
              <w:pStyle w:val="Compact"/>
              <w:jc w:val="left"/>
            </w:pPr>
            <w:r>
              <w:rPr>
                <w:bCs/>
                <w:b/>
              </w:rPr>
              <w:t xml:space="preserve">Datasets</w:t>
            </w:r>
          </w:p>
        </w:tc>
        <w:tc>
          <w:tcPr/>
          <w:p>
            <w:pPr>
              <w:pStyle w:val="Compact"/>
              <w:jc w:val="left"/>
            </w:pPr>
            <w:r>
              <w:rPr>
                <w:rStyle w:val="VerbatimChar"/>
              </w:rPr>
              <w:t xml:space="preserve">iron_ore/production.csv</w:t>
            </w:r>
            <w:r>
              <w:t xml:space="preserve">, </w:t>
            </w:r>
            <w:r>
              <w:rPr>
                <w:rStyle w:val="VerbatimChar"/>
              </w:rPr>
              <w:t xml:space="preserve">iron_ore/delay_events.csv</w:t>
            </w:r>
          </w:p>
        </w:tc>
      </w:tr>
      <w:tr>
        <w:tc>
          <w:tcPr/>
          <w:p>
            <w:pPr>
              <w:pStyle w:val="Compact"/>
              <w:jc w:val="left"/>
            </w:pPr>
            <w:r>
              <w:rPr>
                <w:bCs/>
                <w:b/>
              </w:rPr>
              <w:t xml:space="preserve">KPIs</w:t>
            </w:r>
          </w:p>
        </w:tc>
        <w:tc>
          <w:tcPr/>
          <w:p>
            <w:pPr>
              <w:pStyle w:val="Compact"/>
              <w:jc w:val="left"/>
            </w:pPr>
            <w:r>
              <w:rPr>
                <w:rStyle w:val="VerbatimChar"/>
              </w:rPr>
              <w:t xml:space="preserve">PROD.TPH</w:t>
            </w:r>
            <w:r>
              <w:t xml:space="preserve">, </w:t>
            </w:r>
            <w:r>
              <w:rPr>
                <w:rStyle w:val="VerbatimChar"/>
              </w:rPr>
              <w:t xml:space="preserve">UTIL.PA</w:t>
            </w:r>
            <w:r>
              <w:t xml:space="preserve">, </w:t>
            </w:r>
            <w:r>
              <w:rPr>
                <w:rStyle w:val="VerbatimChar"/>
              </w:rPr>
              <w:t xml:space="preserve">UTIL.EU</w:t>
            </w:r>
          </w:p>
        </w:tc>
      </w:tr>
      <w:tr>
        <w:tc>
          <w:tcPr/>
          <w:p>
            <w:pPr>
              <w:pStyle w:val="Compact"/>
              <w:jc w:val="left"/>
            </w:pPr>
            <w:r>
              <w:rPr>
                <w:bCs/>
                <w:b/>
              </w:rPr>
              <w:t xml:space="preserve">Expected output</w:t>
            </w:r>
          </w:p>
        </w:tc>
        <w:tc>
          <w:tcPr/>
          <w:p>
            <w:pPr>
              <w:pStyle w:val="Compact"/>
              <w:jc w:val="left"/>
            </w:pPr>
            <w:r>
              <w:t xml:space="preserve">Three publication-quality charts in the project’s visual language</w:t>
            </w:r>
          </w:p>
        </w:tc>
      </w:tr>
      <w:tr>
        <w:tc>
          <w:tcPr/>
          <w:p>
            <w:pPr>
              <w:pStyle w:val="Compact"/>
              <w:jc w:val="left"/>
            </w:pPr>
            <w:r>
              <w:rPr>
                <w:bCs/>
                <w:b/>
              </w:rPr>
              <w:t xml:space="preserve">Visualization</w:t>
            </w:r>
          </w:p>
        </w:tc>
        <w:tc>
          <w:tcPr/>
          <w:p>
            <w:pPr>
              <w:pStyle w:val="Compact"/>
              <w:jc w:val="left"/>
            </w:pPr>
            <w:r>
              <w:t xml:space="preserve">KPI card, time-series, waterfall</w:t>
            </w:r>
          </w:p>
        </w:tc>
      </w:tr>
      <w:tr>
        <w:tc>
          <w:tcPr/>
          <w:p>
            <w:pPr>
              <w:pStyle w:val="Compact"/>
              <w:jc w:val="left"/>
            </w:pPr>
            <w:r>
              <w:rPr>
                <w:bCs/>
                <w:b/>
              </w:rPr>
              <w:t xml:space="preserve">Completion time</w:t>
            </w:r>
          </w:p>
        </w:tc>
        <w:tc>
          <w:tcPr/>
          <w:p>
            <w:pPr>
              <w:pStyle w:val="Compact"/>
              <w:jc w:val="left"/>
            </w:pPr>
            <w:r>
              <w:t xml:space="preserve">40 minutes</w:t>
            </w:r>
          </w:p>
        </w:tc>
      </w:tr>
    </w:tbl>
    <w:bookmarkEnd w:id="94"/>
    <w:bookmarkStart w:id="95" w:name="nb-08-the-five-reference-mines-a-tour"/>
    <w:p>
      <w:pPr>
        <w:pStyle w:val="Heading3"/>
      </w:pPr>
      <w:bookmarkStart w:id="930059" w:name="_TocLBSv1_930059"/>
      <w:r>
        <w:t xml:space="preserve">NB-08 — The Five Reference Mines — A Tour</w:t>
      </w:r>
      <w:bookmarkEnd w:id="930059"/>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 xml:space="preserve">Load one shift’s data from each of the five mines; compare TPH, PA, and mean payload side by side</w:t>
            </w:r>
          </w:p>
        </w:tc>
      </w:tr>
      <w:tr>
        <w:tc>
          <w:tcPr/>
          <w:p>
            <w:pPr>
              <w:pStyle w:val="Compact"/>
              <w:jc w:val="left"/>
            </w:pPr>
            <w:r>
              <w:rPr>
                <w:bCs/>
                <w:b/>
              </w:rPr>
              <w:t xml:space="preserve">Datasets</w:t>
            </w:r>
          </w:p>
        </w:tc>
        <w:tc>
          <w:tcPr/>
          <w:p>
            <w:pPr>
              <w:pStyle w:val="Compact"/>
              <w:jc w:val="left"/>
            </w:pPr>
            <w:r>
              <w:t xml:space="preserve">All five </w:t>
            </w:r>
            <w:r>
              <w:rPr>
                <w:rStyle w:val="VerbatimChar"/>
              </w:rPr>
              <w:t xml:space="preserve">production.csv</w:t>
            </w:r>
            <w:r>
              <w:t xml:space="preserve"> and </w:t>
            </w:r>
            <w:r>
              <w:rPr>
                <w:rStyle w:val="VerbatimChar"/>
              </w:rPr>
              <w:t xml:space="preserve">delay_events.csv</w:t>
            </w:r>
          </w:p>
        </w:tc>
      </w:tr>
      <w:tr>
        <w:tc>
          <w:tcPr/>
          <w:p>
            <w:pPr>
              <w:pStyle w:val="Compact"/>
              <w:jc w:val="left"/>
            </w:pPr>
            <w:r>
              <w:rPr>
                <w:bCs/>
                <w:b/>
              </w:rPr>
              <w:t xml:space="preserve">KPIs</w:t>
            </w:r>
          </w:p>
        </w:tc>
        <w:tc>
          <w:tcPr/>
          <w:p>
            <w:pPr>
              <w:pStyle w:val="Compact"/>
              <w:jc w:val="left"/>
            </w:pPr>
            <w:r>
              <w:rPr>
                <w:rStyle w:val="VerbatimChar"/>
              </w:rPr>
              <w:t xml:space="preserve">PROD.TPH</w:t>
            </w:r>
            <w:r>
              <w:t xml:space="preserve">, </w:t>
            </w:r>
            <w:r>
              <w:rPr>
                <w:rStyle w:val="VerbatimChar"/>
              </w:rPr>
              <w:t xml:space="preserve">UTIL.PA</w:t>
            </w:r>
            <w:r>
              <w:t xml:space="preserve">, </w:t>
            </w:r>
            <w:r>
              <w:rPr>
                <w:rStyle w:val="VerbatimChar"/>
              </w:rPr>
              <w:t xml:space="preserve">PROD.Payload</w:t>
            </w:r>
          </w:p>
        </w:tc>
      </w:tr>
      <w:tr>
        <w:tc>
          <w:tcPr/>
          <w:p>
            <w:pPr>
              <w:pStyle w:val="Compact"/>
              <w:jc w:val="left"/>
            </w:pPr>
            <w:r>
              <w:rPr>
                <w:bCs/>
                <w:b/>
              </w:rPr>
              <w:t xml:space="preserve">Expected output</w:t>
            </w:r>
          </w:p>
        </w:tc>
        <w:tc>
          <w:tcPr/>
          <w:p>
            <w:pPr>
              <w:pStyle w:val="Compact"/>
              <w:jc w:val="left"/>
            </w:pPr>
            <w:r>
              <w:t xml:space="preserve">Multi-mine comparison table; Pilbara Ridge highest TPH (large trucks); Aurora Gold lowest TPH (small trucks, long haul)</w:t>
            </w:r>
          </w:p>
        </w:tc>
      </w:tr>
      <w:tr>
        <w:tc>
          <w:tcPr/>
          <w:p>
            <w:pPr>
              <w:pStyle w:val="Compact"/>
              <w:jc w:val="left"/>
            </w:pPr>
            <w:r>
              <w:rPr>
                <w:bCs/>
                <w:b/>
              </w:rPr>
              <w:t xml:space="preserve">Skills learned</w:t>
            </w:r>
          </w:p>
        </w:tc>
        <w:tc>
          <w:tcPr/>
          <w:p>
            <w:pPr>
              <w:pStyle w:val="Compact"/>
              <w:jc w:val="left"/>
            </w:pPr>
            <w:r>
              <w:t xml:space="preserve">Multi-mine data loading, cross-commodity comparison</w:t>
            </w:r>
          </w:p>
        </w:tc>
      </w:tr>
      <w:tr>
        <w:tc>
          <w:tcPr/>
          <w:p>
            <w:pPr>
              <w:pStyle w:val="Compact"/>
              <w:jc w:val="left"/>
            </w:pPr>
            <w:r>
              <w:rPr>
                <w:bCs/>
                <w:b/>
              </w:rPr>
              <w:t xml:space="preserve">Completion time</w:t>
            </w:r>
          </w:p>
        </w:tc>
        <w:tc>
          <w:tcPr/>
          <w:p>
            <w:pPr>
              <w:pStyle w:val="Compact"/>
              <w:jc w:val="left"/>
            </w:pPr>
            <w:r>
              <w:t xml:space="preserve">45 minutes</w:t>
            </w:r>
          </w:p>
        </w:tc>
      </w:tr>
    </w:tbl>
    <w:bookmarkEnd w:id="95"/>
    <w:bookmarkStart w:id="96" w:name="nb-09-the-shift-ledger"/>
    <w:p>
      <w:pPr>
        <w:pStyle w:val="Heading3"/>
      </w:pPr>
      <w:bookmarkStart w:id="930060" w:name="_TocLBSv1_930060"/>
      <w:r>
        <w:t xml:space="preserve">NB-09 — The Shift Ledger</w:t>
      </w:r>
      <w:bookmarkEnd w:id="930060"/>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Reproduce a complete shift summary report — the “shift ledger” — from raw events</w:t>
            </w:r>
          </w:p>
        </w:tc>
      </w:tr>
      <w:tr>
        <w:tc>
          <w:tcPr/>
          <w:p>
            <w:pPr>
              <w:pStyle w:val="Compact"/>
              <w:jc w:val="left"/>
            </w:pPr>
            <w:r>
              <w:rPr>
                <w:bCs/>
                <w:b/>
              </w:rPr>
              <w:t xml:space="preserve">Datasets</w:t>
            </w:r>
          </w:p>
        </w:tc>
        <w:tc>
          <w:tcPr/>
          <w:p>
            <w:pPr>
              <w:pStyle w:val="Compact"/>
              <w:jc w:val="left"/>
            </w:pPr>
            <w:r>
              <w:t xml:space="preserve">All </w:t>
            </w:r>
            <w:r>
              <w:rPr>
                <w:rStyle w:val="VerbatimChar"/>
              </w:rPr>
              <w:t xml:space="preserve">iron_ore/</w:t>
            </w:r>
            <w:r>
              <w:t xml:space="preserve"> tables for one shift</w:t>
            </w:r>
          </w:p>
        </w:tc>
      </w:tr>
      <w:tr>
        <w:tc>
          <w:tcPr/>
          <w:p>
            <w:pPr>
              <w:pStyle w:val="Compact"/>
              <w:jc w:val="left"/>
            </w:pPr>
            <w:r>
              <w:rPr>
                <w:bCs/>
                <w:b/>
              </w:rPr>
              <w:t xml:space="preserve">KPIs</w:t>
            </w:r>
          </w:p>
        </w:tc>
        <w:tc>
          <w:tcPr/>
          <w:p>
            <w:pPr>
              <w:pStyle w:val="Compact"/>
              <w:jc w:val="left"/>
            </w:pPr>
            <w:r>
              <w:rPr>
                <w:rStyle w:val="VerbatimChar"/>
              </w:rPr>
              <w:t xml:space="preserve">PROD.TPH</w:t>
            </w:r>
            <w:r>
              <w:t xml:space="preserve">, </w:t>
            </w:r>
            <w:r>
              <w:rPr>
                <w:rStyle w:val="VerbatimChar"/>
              </w:rPr>
              <w:t xml:space="preserve">UTIL.PA</w:t>
            </w:r>
            <w:r>
              <w:t xml:space="preserve">, </w:t>
            </w:r>
            <w:r>
              <w:rPr>
                <w:rStyle w:val="VerbatimChar"/>
              </w:rPr>
              <w:t xml:space="preserve">UTIL.UA</w:t>
            </w:r>
            <w:r>
              <w:t xml:space="preserve">, </w:t>
            </w:r>
            <w:r>
              <w:rPr>
                <w:rStyle w:val="VerbatimChar"/>
              </w:rPr>
              <w:t xml:space="preserve">DELAY.Hours</w:t>
            </w:r>
            <w:r>
              <w:t xml:space="preserve">, </w:t>
            </w:r>
            <w:r>
              <w:rPr>
                <w:rStyle w:val="VerbatimChar"/>
              </w:rPr>
              <w:t xml:space="preserve">ENERGY.FuelPerTonne</w:t>
            </w:r>
          </w:p>
        </w:tc>
      </w:tr>
      <w:tr>
        <w:tc>
          <w:tcPr/>
          <w:p>
            <w:pPr>
              <w:pStyle w:val="Compact"/>
              <w:jc w:val="left"/>
            </w:pPr>
            <w:r>
              <w:rPr>
                <w:bCs/>
                <w:b/>
              </w:rPr>
              <w:t xml:space="preserve">Expected output</w:t>
            </w:r>
          </w:p>
        </w:tc>
        <w:tc>
          <w:tcPr/>
          <w:p>
            <w:pPr>
              <w:pStyle w:val="Compact"/>
              <w:jc w:val="left"/>
            </w:pPr>
            <w:r>
              <w:t xml:space="preserve">Formatted shift report with all KPIs, delay Pareto, and fleet summary</w:t>
            </w:r>
          </w:p>
        </w:tc>
      </w:tr>
      <w:tr>
        <w:tc>
          <w:tcPr/>
          <w:p>
            <w:pPr>
              <w:pStyle w:val="Compact"/>
              <w:jc w:val="left"/>
            </w:pPr>
            <w:r>
              <w:rPr>
                <w:bCs/>
                <w:b/>
              </w:rPr>
              <w:t xml:space="preserve">Completion time</w:t>
            </w:r>
          </w:p>
        </w:tc>
        <w:tc>
          <w:tcPr/>
          <w:p>
            <w:pPr>
              <w:pStyle w:val="Compact"/>
              <w:jc w:val="left"/>
            </w:pPr>
            <w:r>
              <w:t xml:space="preserve">60 minutes</w:t>
            </w:r>
          </w:p>
        </w:tc>
      </w:tr>
    </w:tbl>
    <w:bookmarkEnd w:id="96"/>
    <w:bookmarkStart w:id="97" w:name="Xc24c4bec0b0b24dd7a144184ee800cf192b869f"/>
    <w:p>
      <w:pPr>
        <w:pStyle w:val="Heading3"/>
      </w:pPr>
      <w:bookmarkStart w:id="930061" w:name="_TocLBSv1_930061"/>
      <w:r>
        <w:t xml:space="preserve">NB-10 — Beginner Challenge — Build Your Own KPI Dashboard</w:t>
      </w:r>
      <w:bookmarkEnd w:id="930061"/>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Value</w:t>
            </w:r>
          </w:p>
        </w:tc>
      </w:tr>
      <w:tr>
        <w:tc>
          <w:tcPr/>
          <w:p>
            <w:pPr>
              <w:pStyle w:val="Compact"/>
              <w:jc w:val="left"/>
            </w:pPr>
            <w:r>
              <w:rPr>
                <w:bCs/>
                <w:b/>
              </w:rPr>
              <w:t xml:space="preserve">Objective</w:t>
            </w:r>
          </w:p>
        </w:tc>
        <w:tc>
          <w:tcPr/>
          <w:p>
            <w:pPr>
              <w:pStyle w:val="Compact"/>
              <w:jc w:val="left"/>
            </w:pPr>
            <w:r>
              <w:t xml:space="preserve">Build a multi-shift KPI dashboard from scratch (guided challenge)</w:t>
            </w:r>
          </w:p>
        </w:tc>
      </w:tr>
      <w:tr>
        <w:tc>
          <w:tcPr/>
          <w:p>
            <w:pPr>
              <w:pStyle w:val="Compact"/>
              <w:jc w:val="left"/>
            </w:pPr>
            <w:r>
              <w:rPr>
                <w:bCs/>
                <w:b/>
              </w:rPr>
              <w:t xml:space="preserve">Datasets</w:t>
            </w:r>
          </w:p>
        </w:tc>
        <w:tc>
          <w:tcPr/>
          <w:p>
            <w:pPr>
              <w:pStyle w:val="Compact"/>
              <w:jc w:val="left"/>
            </w:pPr>
            <w:r>
              <w:rPr>
                <w:rStyle w:val="VerbatimChar"/>
              </w:rPr>
              <w:t xml:space="preserve">iron_ore/</w:t>
            </w:r>
            <w:r>
              <w:t xml:space="preserve"> (two weeks)</w:t>
            </w:r>
          </w:p>
        </w:tc>
      </w:tr>
      <w:tr>
        <w:tc>
          <w:tcPr/>
          <w:p>
            <w:pPr>
              <w:pStyle w:val="Compact"/>
              <w:jc w:val="left"/>
            </w:pPr>
            <w:r>
              <w:rPr>
                <w:bCs/>
                <w:b/>
              </w:rPr>
              <w:t xml:space="preserve">KPIs</w:t>
            </w:r>
          </w:p>
        </w:tc>
        <w:tc>
          <w:tcPr/>
          <w:p>
            <w:pPr>
              <w:pStyle w:val="Compact"/>
              <w:jc w:val="left"/>
            </w:pPr>
            <w:r>
              <w:t xml:space="preserve">All Beginner KPIs</w:t>
            </w:r>
          </w:p>
        </w:tc>
      </w:tr>
      <w:tr>
        <w:tc>
          <w:tcPr/>
          <w:p>
            <w:pPr>
              <w:pStyle w:val="Compact"/>
              <w:jc w:val="left"/>
            </w:pPr>
            <w:r>
              <w:rPr>
                <w:bCs/>
                <w:b/>
              </w:rPr>
              <w:t xml:space="preserve">Expected output</w:t>
            </w:r>
          </w:p>
        </w:tc>
        <w:tc>
          <w:tcPr/>
          <w:p>
            <w:pPr>
              <w:pStyle w:val="Compact"/>
              <w:jc w:val="left"/>
            </w:pPr>
            <w:r>
              <w:t xml:space="preserve">Interactive matplotlib dashboard; learner-verified against expected values</w:t>
            </w:r>
          </w:p>
        </w:tc>
      </w:tr>
      <w:tr>
        <w:tc>
          <w:tcPr/>
          <w:p>
            <w:pPr>
              <w:pStyle w:val="Compact"/>
              <w:jc w:val="left"/>
            </w:pPr>
            <w:r>
              <w:rPr>
                <w:bCs/>
                <w:b/>
              </w:rPr>
              <w:t xml:space="preserve">Completion time</w:t>
            </w:r>
          </w:p>
        </w:tc>
        <w:tc>
          <w:tcPr/>
          <w:p>
            <w:pPr>
              <w:pStyle w:val="Compact"/>
              <w:jc w:val="left"/>
            </w:pPr>
            <w:r>
              <w:t xml:space="preserve">90 minutes</w:t>
            </w:r>
          </w:p>
        </w:tc>
      </w:tr>
    </w:tbl>
    <w:bookmarkEnd w:id="97"/>
    <w:bookmarkEnd w:id="98"/>
    <w:bookmarkStart w:id="99" w:name="level-2-intermediate-nb-11-to-nb-35"/>
    <w:p>
      <w:pPr>
        <w:pStyle w:val="Heading2"/>
      </w:pPr>
      <w:bookmarkStart w:id="930062" w:name="_TocLBSv1_930062"/>
      <w:r>
        <w:t xml:space="preserve">Level 2 — Intermediate (NB-11 to NB-35)</w:t>
      </w:r>
      <w:bookmarkEnd w:id="930062"/>
    </w:p>
    <w:p>
      <w:pPr>
        <w:pStyle w:val="FirstParagraph"/>
      </w:pPr>
      <w:r>
        <w:rPr>
          <w:bCs/>
          <w:b/>
        </w:rPr>
        <w:t xml:space="preserve">Theme.</w:t>
      </w:r>
      <w:r>
        <w:t xml:space="preserve"> Operational KPIs — one topic per notebook, each fully worked with a realistic dataset.</w:t>
      </w:r>
    </w:p>
    <w:tbl>
      <w:tblPr>
        <w:tblStyle w:val="Table"/>
        <w:tblW w:type="pct" w:w="5000"/>
        <w:tblLook w:firstRow="1" w:lastRow="0" w:firstColumn="0" w:lastColumn="0" w:noHBand="0" w:noVBand="0" w:val="0020"/>
        <w:jc w:val="start"/>
      </w:tblPr>
      <w:tblGrid>
        <w:gridCol w:w="1584"/>
        <w:gridCol w:w="1584"/>
        <w:gridCol w:w="1584"/>
        <w:gridCol w:w="1584"/>
        <w:gridCol w:w="1584"/>
      </w:tblGrid>
      <w:tr>
        <w:trPr>
          <w:tblHeader w:val="true"/>
        </w:trPr>
        <w:tc>
          <w:tcPr/>
          <w:p>
            <w:pPr>
              <w:pStyle w:val="Compact"/>
              <w:jc w:val="left"/>
            </w:pPr>
            <w:r>
              <w:t xml:space="preserve">Notebook</w:t>
            </w:r>
          </w:p>
        </w:tc>
        <w:tc>
          <w:tcPr/>
          <w:p>
            <w:pPr>
              <w:pStyle w:val="Compact"/>
              <w:jc w:val="left"/>
            </w:pPr>
            <w:r>
              <w:t xml:space="preserve">Title</w:t>
            </w:r>
          </w:p>
        </w:tc>
        <w:tc>
          <w:tcPr/>
          <w:p>
            <w:pPr>
              <w:pStyle w:val="Compact"/>
              <w:jc w:val="left"/>
            </w:pPr>
            <w:r>
              <w:t xml:space="preserve">Mine</w:t>
            </w:r>
          </w:p>
        </w:tc>
        <w:tc>
          <w:tcPr/>
          <w:p>
            <w:pPr>
              <w:pStyle w:val="Compact"/>
              <w:jc w:val="left"/>
            </w:pPr>
            <w:r>
              <w:t xml:space="preserve">KPIs</w:t>
            </w:r>
          </w:p>
        </w:tc>
        <w:tc>
          <w:tcPr/>
          <w:p>
            <w:pPr>
              <w:pStyle w:val="Compact"/>
              <w:jc w:val="left"/>
            </w:pPr>
            <w:r>
              <w:t xml:space="preserve">Key Output</w:t>
            </w:r>
          </w:p>
        </w:tc>
      </w:tr>
      <w:tr>
        <w:tc>
          <w:tcPr/>
          <w:p>
            <w:pPr>
              <w:pStyle w:val="Compact"/>
              <w:jc w:val="left"/>
            </w:pPr>
            <w:r>
              <w:t xml:space="preserve">NB-11</w:t>
            </w:r>
          </w:p>
        </w:tc>
        <w:tc>
          <w:tcPr/>
          <w:p>
            <w:pPr>
              <w:pStyle w:val="Compact"/>
              <w:jc w:val="left"/>
            </w:pPr>
            <w:r>
              <w:t xml:space="preserve">Truck Productivity Deep Dive</w:t>
            </w:r>
          </w:p>
        </w:tc>
        <w:tc>
          <w:tcPr/>
          <w:p>
            <w:pPr>
              <w:pStyle w:val="Compact"/>
              <w:jc w:val="left"/>
            </w:pPr>
            <w:r>
              <w:t xml:space="preserve">Pilbara Ridge</w:t>
            </w:r>
          </w:p>
        </w:tc>
        <w:tc>
          <w:tcPr/>
          <w:p>
            <w:pPr>
              <w:pStyle w:val="Compact"/>
              <w:jc w:val="left"/>
            </w:pPr>
            <w:r>
              <w:rPr>
                <w:rStyle w:val="VerbatimChar"/>
              </w:rPr>
              <w:t xml:space="preserve">PROD.TPH</w:t>
            </w:r>
            <w:r>
              <w:t xml:space="preserve">, </w:t>
            </w:r>
            <w:r>
              <w:rPr>
                <w:rStyle w:val="VerbatimChar"/>
              </w:rPr>
              <w:t xml:space="preserve">PROD.TruckCycleTime</w:t>
            </w:r>
            <w:r>
              <w:t xml:space="preserve">, </w:t>
            </w:r>
            <w:r>
              <w:rPr>
                <w:rStyle w:val="VerbatimChar"/>
              </w:rPr>
              <w:t xml:space="preserve">PROD.Payload</w:t>
            </w:r>
          </w:p>
        </w:tc>
        <w:tc>
          <w:tcPr/>
          <w:p>
            <w:pPr>
              <w:pStyle w:val="Compact"/>
              <w:jc w:val="left"/>
            </w:pPr>
            <w:r>
              <w:t xml:space="preserve">Payload histogram, cycle waterfall</w:t>
            </w:r>
          </w:p>
        </w:tc>
      </w:tr>
      <w:tr>
        <w:tc>
          <w:tcPr/>
          <w:p>
            <w:pPr>
              <w:pStyle w:val="Compact"/>
              <w:jc w:val="left"/>
            </w:pPr>
            <w:r>
              <w:t xml:space="preserve">NB-12</w:t>
            </w:r>
          </w:p>
        </w:tc>
        <w:tc>
          <w:tcPr/>
          <w:p>
            <w:pPr>
              <w:pStyle w:val="Compact"/>
              <w:jc w:val="left"/>
            </w:pPr>
            <w:r>
              <w:t xml:space="preserve">Fleet Match Factor Analysis</w:t>
            </w:r>
          </w:p>
        </w:tc>
        <w:tc>
          <w:tcPr/>
          <w:p>
            <w:pPr>
              <w:pStyle w:val="Compact"/>
              <w:jc w:val="left"/>
            </w:pPr>
            <w:r>
              <w:t xml:space="preserve">Pilbara Ridge</w:t>
            </w:r>
          </w:p>
        </w:tc>
        <w:tc>
          <w:tcPr/>
          <w:p>
            <w:pPr>
              <w:pStyle w:val="Compact"/>
              <w:jc w:val="left"/>
            </w:pPr>
            <w:r>
              <w:rPr>
                <w:rStyle w:val="VerbatimChar"/>
              </w:rPr>
              <w:t xml:space="preserve">HAUL.MatchFactor</w:t>
            </w:r>
          </w:p>
        </w:tc>
        <w:tc>
          <w:tcPr/>
          <w:p>
            <w:pPr>
              <w:pStyle w:val="Compact"/>
              <w:jc w:val="left"/>
            </w:pPr>
            <w:r>
              <w:t xml:space="preserve">MF vs truck count chart; balanced fleet identified</w:t>
            </w:r>
          </w:p>
        </w:tc>
      </w:tr>
      <w:tr>
        <w:tc>
          <w:tcPr/>
          <w:p>
            <w:pPr>
              <w:pStyle w:val="Compact"/>
              <w:jc w:val="left"/>
            </w:pPr>
            <w:r>
              <w:t xml:space="preserve">NB-13</w:t>
            </w:r>
          </w:p>
        </w:tc>
        <w:tc>
          <w:tcPr/>
          <w:p>
            <w:pPr>
              <w:pStyle w:val="Compact"/>
              <w:jc w:val="left"/>
            </w:pPr>
            <w:r>
              <w:t xml:space="preserve">Ton-Kilometres &amp; Haulage Work</w:t>
            </w:r>
          </w:p>
        </w:tc>
        <w:tc>
          <w:tcPr/>
          <w:p>
            <w:pPr>
              <w:pStyle w:val="Compact"/>
              <w:jc w:val="left"/>
            </w:pPr>
            <w:r>
              <w:t xml:space="preserve">Pilbara Ridge</w:t>
            </w:r>
          </w:p>
        </w:tc>
        <w:tc>
          <w:tcPr/>
          <w:p>
            <w:pPr>
              <w:pStyle w:val="Compact"/>
              <w:jc w:val="left"/>
            </w:pPr>
            <w:r>
              <w:rPr>
                <w:rStyle w:val="VerbatimChar"/>
              </w:rPr>
              <w:t xml:space="preserve">HAUL.TonKm</w:t>
            </w:r>
          </w:p>
        </w:tc>
        <w:tc>
          <w:tcPr/>
          <w:p>
            <w:pPr>
              <w:pStyle w:val="Compact"/>
              <w:jc w:val="left"/>
            </w:pPr>
            <w:r>
              <w:t xml:space="preserve">t·km by route, by shift</w:t>
            </w:r>
          </w:p>
        </w:tc>
      </w:tr>
      <w:tr>
        <w:tc>
          <w:tcPr/>
          <w:p>
            <w:pPr>
              <w:pStyle w:val="Compact"/>
              <w:jc w:val="left"/>
            </w:pPr>
            <w:r>
              <w:t xml:space="preserve">NB-14</w:t>
            </w:r>
          </w:p>
        </w:tc>
        <w:tc>
          <w:tcPr/>
          <w:p>
            <w:pPr>
              <w:pStyle w:val="Compact"/>
              <w:jc w:val="left"/>
            </w:pPr>
            <w:r>
              <w:t xml:space="preserve">Shovel Productivity</w:t>
            </w:r>
          </w:p>
        </w:tc>
        <w:tc>
          <w:tcPr/>
          <w:p>
            <w:pPr>
              <w:pStyle w:val="Compact"/>
              <w:jc w:val="left"/>
            </w:pPr>
            <w:r>
              <w:t xml:space="preserve">Pilbara Ridge</w:t>
            </w:r>
          </w:p>
        </w:tc>
        <w:tc>
          <w:tcPr/>
          <w:p>
            <w:pPr>
              <w:pStyle w:val="Compact"/>
              <w:jc w:val="left"/>
            </w:pPr>
            <w:r>
              <w:rPr>
                <w:rStyle w:val="VerbatimChar"/>
              </w:rPr>
              <w:t xml:space="preserve">PROD.ShovelProductivity</w:t>
            </w:r>
            <w:r>
              <w:t xml:space="preserve">, </w:t>
            </w:r>
            <w:r>
              <w:rPr>
                <w:rStyle w:val="VerbatimChar"/>
              </w:rPr>
              <w:t xml:space="preserve">PROD.BucketFillFactor</w:t>
            </w:r>
          </w:p>
        </w:tc>
        <w:tc>
          <w:tcPr/>
          <w:p>
            <w:pPr>
              <w:pStyle w:val="Compact"/>
              <w:jc w:val="left"/>
            </w:pPr>
            <w:r>
              <w:t xml:space="preserve">Dig rate vs face hardness</w:t>
            </w:r>
          </w:p>
        </w:tc>
      </w:tr>
      <w:tr>
        <w:tc>
          <w:tcPr/>
          <w:p>
            <w:pPr>
              <w:pStyle w:val="Compact"/>
              <w:jc w:val="left"/>
            </w:pPr>
            <w:r>
              <w:t xml:space="preserve">NB-15</w:t>
            </w:r>
          </w:p>
        </w:tc>
        <w:tc>
          <w:tcPr/>
          <w:p>
            <w:pPr>
              <w:pStyle w:val="Compact"/>
              <w:jc w:val="left"/>
            </w:pPr>
            <w:r>
              <w:t xml:space="preserve">Delay Classification &amp; Pareto</w:t>
            </w:r>
          </w:p>
        </w:tc>
        <w:tc>
          <w:tcPr/>
          <w:p>
            <w:pPr>
              <w:pStyle w:val="Compact"/>
              <w:jc w:val="left"/>
            </w:pPr>
            <w:r>
              <w:t xml:space="preserve">Pilbara Ridge</w:t>
            </w:r>
          </w:p>
        </w:tc>
        <w:tc>
          <w:tcPr/>
          <w:p>
            <w:pPr>
              <w:pStyle w:val="Compact"/>
              <w:jc w:val="left"/>
            </w:pPr>
            <w:r>
              <w:rPr>
                <w:rStyle w:val="VerbatimChar"/>
              </w:rPr>
              <w:t xml:space="preserve">DELAY.Hours</w:t>
            </w:r>
            <w:r>
              <w:t xml:space="preserve">, all 6 categories</w:t>
            </w:r>
          </w:p>
        </w:tc>
        <w:tc>
          <w:tcPr/>
          <w:p>
            <w:pPr>
              <w:pStyle w:val="Compact"/>
              <w:jc w:val="left"/>
            </w:pPr>
            <w:r>
              <w:t xml:space="preserve">Ranked delay Pareto, category share pie</w:t>
            </w:r>
          </w:p>
        </w:tc>
      </w:tr>
      <w:tr>
        <w:tc>
          <w:tcPr/>
          <w:p>
            <w:pPr>
              <w:pStyle w:val="Compact"/>
              <w:jc w:val="left"/>
            </w:pPr>
            <w:r>
              <w:t xml:space="preserve">NB-16</w:t>
            </w:r>
          </w:p>
        </w:tc>
        <w:tc>
          <w:tcPr/>
          <w:p>
            <w:pPr>
              <w:pStyle w:val="Compact"/>
              <w:jc w:val="left"/>
            </w:pPr>
            <w:r>
              <w:t xml:space="preserve">Physical Availability Deep Dive</w:t>
            </w:r>
          </w:p>
        </w:tc>
        <w:tc>
          <w:tcPr/>
          <w:p>
            <w:pPr>
              <w:pStyle w:val="Compact"/>
              <w:jc w:val="left"/>
            </w:pPr>
            <w:r>
              <w:t xml:space="preserve">Pilbara Ridge</w:t>
            </w:r>
          </w:p>
        </w:tc>
        <w:tc>
          <w:tcPr/>
          <w:p>
            <w:pPr>
              <w:pStyle w:val="Compact"/>
              <w:jc w:val="left"/>
            </w:pPr>
            <w:r>
              <w:rPr>
                <w:rStyle w:val="VerbatimChar"/>
              </w:rPr>
              <w:t xml:space="preserve">UTIL.PA</w:t>
            </w:r>
          </w:p>
        </w:tc>
        <w:tc>
          <w:tcPr/>
          <w:p>
            <w:pPr>
              <w:pStyle w:val="Compact"/>
              <w:jc w:val="left"/>
            </w:pPr>
            <w:r>
              <w:t xml:space="preserve">PA trend; maintenance driver split</w:t>
            </w:r>
          </w:p>
        </w:tc>
      </w:tr>
      <w:tr>
        <w:tc>
          <w:tcPr/>
          <w:p>
            <w:pPr>
              <w:pStyle w:val="Compact"/>
              <w:jc w:val="left"/>
            </w:pPr>
            <w:r>
              <w:t xml:space="preserve">NB-17</w:t>
            </w:r>
          </w:p>
        </w:tc>
        <w:tc>
          <w:tcPr/>
          <w:p>
            <w:pPr>
              <w:pStyle w:val="Compact"/>
              <w:jc w:val="left"/>
            </w:pPr>
            <w:r>
              <w:t xml:space="preserve">Use of Availability &amp; Effective Utilisation</w:t>
            </w:r>
          </w:p>
        </w:tc>
        <w:tc>
          <w:tcPr/>
          <w:p>
            <w:pPr>
              <w:pStyle w:val="Compact"/>
              <w:jc w:val="left"/>
            </w:pPr>
            <w:r>
              <w:t xml:space="preserve">Pilbara Ridge</w:t>
            </w:r>
          </w:p>
        </w:tc>
        <w:tc>
          <w:tcPr/>
          <w:p>
            <w:pPr>
              <w:pStyle w:val="Compact"/>
              <w:jc w:val="left"/>
            </w:pPr>
            <w:r>
              <w:rPr>
                <w:rStyle w:val="VerbatimChar"/>
              </w:rPr>
              <w:t xml:space="preserve">UTIL.UA</w:t>
            </w:r>
            <w:r>
              <w:t xml:space="preserve">, </w:t>
            </w:r>
            <w:r>
              <w:rPr>
                <w:rStyle w:val="VerbatimChar"/>
              </w:rPr>
              <w:t xml:space="preserve">UTIL.EU</w:t>
            </w:r>
          </w:p>
        </w:tc>
        <w:tc>
          <w:tcPr/>
          <w:p>
            <w:pPr>
              <w:pStyle w:val="Compact"/>
              <w:jc w:val="left"/>
            </w:pPr>
            <w:r>
              <w:t xml:space="preserve">UA vs PA scatter; EU waterfall</w:t>
            </w:r>
          </w:p>
        </w:tc>
      </w:tr>
      <w:tr>
        <w:tc>
          <w:tcPr/>
          <w:p>
            <w:pPr>
              <w:pStyle w:val="Compact"/>
              <w:jc w:val="left"/>
            </w:pPr>
            <w:r>
              <w:t xml:space="preserve">NB-18</w:t>
            </w:r>
          </w:p>
        </w:tc>
        <w:tc>
          <w:tcPr/>
          <w:p>
            <w:pPr>
              <w:pStyle w:val="Compact"/>
              <w:jc w:val="left"/>
            </w:pPr>
            <w:r>
              <w:t xml:space="preserve">OEE for Fixed Plant (Crusher)</w:t>
            </w:r>
          </w:p>
        </w:tc>
        <w:tc>
          <w:tcPr/>
          <w:p>
            <w:pPr>
              <w:pStyle w:val="Compact"/>
              <w:jc w:val="left"/>
            </w:pPr>
            <w:r>
              <w:t xml:space="preserve">Pilbara Ridge</w:t>
            </w:r>
          </w:p>
        </w:tc>
        <w:tc>
          <w:tcPr/>
          <w:p>
            <w:pPr>
              <w:pStyle w:val="Compact"/>
              <w:jc w:val="left"/>
            </w:pPr>
            <w:r>
              <w:rPr>
                <w:rStyle w:val="VerbatimChar"/>
              </w:rPr>
              <w:t xml:space="preserve">UTIL.OEE</w:t>
            </w:r>
          </w:p>
        </w:tc>
        <w:tc>
          <w:tcPr/>
          <w:p>
            <w:pPr>
              <w:pStyle w:val="Compact"/>
              <w:jc w:val="left"/>
            </w:pPr>
            <w:r>
              <w:t xml:space="preserve">Three-factor OEE waterfall</w:t>
            </w:r>
          </w:p>
        </w:tc>
      </w:tr>
      <w:tr>
        <w:tc>
          <w:tcPr/>
          <w:p>
            <w:pPr>
              <w:pStyle w:val="Compact"/>
              <w:jc w:val="left"/>
            </w:pPr>
            <w:r>
              <w:t xml:space="preserve">NB-19</w:t>
            </w:r>
          </w:p>
        </w:tc>
        <w:tc>
          <w:tcPr/>
          <w:p>
            <w:pPr>
              <w:pStyle w:val="Compact"/>
              <w:jc w:val="left"/>
            </w:pPr>
            <w:r>
              <w:t xml:space="preserve">MTBF &amp; MTTR — Reliability Fundamentals</w:t>
            </w:r>
          </w:p>
        </w:tc>
        <w:tc>
          <w:tcPr/>
          <w:p>
            <w:pPr>
              <w:pStyle w:val="Compact"/>
              <w:jc w:val="left"/>
            </w:pPr>
            <w:r>
              <w:t xml:space="preserve">Pilbara Ridge</w:t>
            </w:r>
          </w:p>
        </w:tc>
        <w:tc>
          <w:tcPr/>
          <w:p>
            <w:pPr>
              <w:pStyle w:val="Compact"/>
              <w:jc w:val="left"/>
            </w:pPr>
            <w:r>
              <w:rPr>
                <w:rStyle w:val="VerbatimChar"/>
              </w:rPr>
              <w:t xml:space="preserve">MAINT.MTBF</w:t>
            </w:r>
            <w:r>
              <w:t xml:space="preserve">, </w:t>
            </w:r>
            <w:r>
              <w:rPr>
                <w:rStyle w:val="VerbatimChar"/>
              </w:rPr>
              <w:t xml:space="preserve">MAINT.MTTR</w:t>
            </w:r>
          </w:p>
        </w:tc>
        <w:tc>
          <w:tcPr/>
          <w:p>
            <w:pPr>
              <w:pStyle w:val="Compact"/>
              <w:jc w:val="left"/>
            </w:pPr>
            <w:r>
              <w:t xml:space="preserve">MTBF/MTTR trend; failure Pareto</w:t>
            </w:r>
          </w:p>
        </w:tc>
      </w:tr>
      <w:tr>
        <w:tc>
          <w:tcPr/>
          <w:p>
            <w:pPr>
              <w:pStyle w:val="Compact"/>
              <w:jc w:val="left"/>
            </w:pPr>
            <w:r>
              <w:t xml:space="preserve">NB-20</w:t>
            </w:r>
          </w:p>
        </w:tc>
        <w:tc>
          <w:tcPr/>
          <w:p>
            <w:pPr>
              <w:pStyle w:val="Compact"/>
              <w:jc w:val="left"/>
            </w:pPr>
            <w:r>
              <w:t xml:space="preserve">Inherent Availability &amp; The Gap</w:t>
            </w:r>
          </w:p>
        </w:tc>
        <w:tc>
          <w:tcPr/>
          <w:p>
            <w:pPr>
              <w:pStyle w:val="Compact"/>
              <w:jc w:val="left"/>
            </w:pPr>
            <w:r>
              <w:t xml:space="preserve">Pilbara Ridge</w:t>
            </w:r>
          </w:p>
        </w:tc>
        <w:tc>
          <w:tcPr/>
          <w:p>
            <w:pPr>
              <w:pStyle w:val="Compact"/>
              <w:jc w:val="left"/>
            </w:pPr>
            <w:r>
              <w:rPr>
                <w:rStyle w:val="VerbatimChar"/>
              </w:rPr>
              <w:t xml:space="preserve">MAINT.Ai</w:t>
            </w:r>
          </w:p>
        </w:tc>
        <w:tc>
          <w:tcPr/>
          <w:p>
            <w:pPr>
              <w:pStyle w:val="Compact"/>
              <w:jc w:val="left"/>
            </w:pPr>
            <w:r>
              <w:t xml:space="preserve">Ai vs PA; logistics-loss gap bar</w:t>
            </w:r>
          </w:p>
        </w:tc>
      </w:tr>
      <w:tr>
        <w:tc>
          <w:tcPr/>
          <w:p>
            <w:pPr>
              <w:pStyle w:val="Compact"/>
              <w:jc w:val="left"/>
            </w:pPr>
            <w:r>
              <w:t xml:space="preserve">NB-21</w:t>
            </w:r>
          </w:p>
        </w:tc>
        <w:tc>
          <w:tcPr/>
          <w:p>
            <w:pPr>
              <w:pStyle w:val="Compact"/>
              <w:jc w:val="left"/>
            </w:pPr>
            <w:r>
              <w:t xml:space="preserve">Fuel Per Tonne — Fleet Energy Analysis</w:t>
            </w:r>
          </w:p>
        </w:tc>
        <w:tc>
          <w:tcPr/>
          <w:p>
            <w:pPr>
              <w:pStyle w:val="Compact"/>
              <w:jc w:val="left"/>
            </w:pPr>
            <w:r>
              <w:t xml:space="preserve">Pilbara Ridge</w:t>
            </w:r>
          </w:p>
        </w:tc>
        <w:tc>
          <w:tcPr/>
          <w:p>
            <w:pPr>
              <w:pStyle w:val="Compact"/>
              <w:jc w:val="left"/>
            </w:pPr>
            <w:r>
              <w:rPr>
                <w:rStyle w:val="VerbatimChar"/>
              </w:rPr>
              <w:t xml:space="preserve">ENERGY.FuelPerTonne</w:t>
            </w:r>
          </w:p>
        </w:tc>
        <w:tc>
          <w:tcPr/>
          <w:p>
            <w:pPr>
              <w:pStyle w:val="Compact"/>
              <w:jc w:val="left"/>
            </w:pPr>
            <w:r>
              <w:t xml:space="preserve">Intensity trend; idle-share driver</w:t>
            </w:r>
          </w:p>
        </w:tc>
      </w:tr>
      <w:tr>
        <w:tc>
          <w:tcPr/>
          <w:p>
            <w:pPr>
              <w:pStyle w:val="Compact"/>
              <w:jc w:val="left"/>
            </w:pPr>
            <w:r>
              <w:t xml:space="preserve">NB-22</w:t>
            </w:r>
          </w:p>
        </w:tc>
        <w:tc>
          <w:tcPr/>
          <w:p>
            <w:pPr>
              <w:pStyle w:val="Compact"/>
              <w:jc w:val="left"/>
            </w:pPr>
            <w:r>
              <w:t xml:space="preserve">Carbon Intensity — Scope-1 from Haulage</w:t>
            </w:r>
          </w:p>
        </w:tc>
        <w:tc>
          <w:tcPr/>
          <w:p>
            <w:pPr>
              <w:pStyle w:val="Compact"/>
              <w:jc w:val="left"/>
            </w:pPr>
            <w:r>
              <w:t xml:space="preserve">Pilbara Ridge</w:t>
            </w:r>
          </w:p>
        </w:tc>
        <w:tc>
          <w:tcPr/>
          <w:p>
            <w:pPr>
              <w:pStyle w:val="Compact"/>
              <w:jc w:val="left"/>
            </w:pPr>
            <w:r>
              <w:rPr>
                <w:rStyle w:val="VerbatimChar"/>
              </w:rPr>
              <w:t xml:space="preserve">CARBON.CO2PerTonne</w:t>
            </w:r>
          </w:p>
        </w:tc>
        <w:tc>
          <w:tcPr/>
          <w:p>
            <w:pPr>
              <w:pStyle w:val="Compact"/>
              <w:jc w:val="left"/>
            </w:pPr>
            <w:r>
              <w:t xml:space="preserve">CO₂e intensity chart; fuel–carbon identity</w:t>
            </w:r>
          </w:p>
        </w:tc>
      </w:tr>
      <w:tr>
        <w:tc>
          <w:tcPr/>
          <w:p>
            <w:pPr>
              <w:pStyle w:val="Compact"/>
              <w:jc w:val="left"/>
            </w:pPr>
            <w:r>
              <w:t xml:space="preserve">NB-23</w:t>
            </w:r>
          </w:p>
        </w:tc>
        <w:tc>
          <w:tcPr/>
          <w:p>
            <w:pPr>
              <w:pStyle w:val="Compact"/>
              <w:jc w:val="left"/>
            </w:pPr>
            <w:r>
              <w:t xml:space="preserve">Copper Recovery — Two-Product Formula</w:t>
            </w:r>
          </w:p>
        </w:tc>
        <w:tc>
          <w:tcPr/>
          <w:p>
            <w:pPr>
              <w:pStyle w:val="Compact"/>
              <w:jc w:val="left"/>
            </w:pPr>
            <w:r>
              <w:t xml:space="preserve">Bingham West</w:t>
            </w:r>
          </w:p>
        </w:tc>
        <w:tc>
          <w:tcPr/>
          <w:p>
            <w:pPr>
              <w:pStyle w:val="Compact"/>
              <w:jc w:val="left"/>
            </w:pPr>
            <w:r>
              <w:rPr>
                <w:rStyle w:val="VerbatimChar"/>
              </w:rPr>
              <w:t xml:space="preserve">QUAL.Recovery</w:t>
            </w:r>
          </w:p>
        </w:tc>
        <w:tc>
          <w:tcPr/>
          <w:p>
            <w:pPr>
              <w:pStyle w:val="Compact"/>
              <w:jc w:val="left"/>
            </w:pPr>
            <w:r>
              <w:t xml:space="preserve">Recovery trend vs ore type</w:t>
            </w:r>
          </w:p>
        </w:tc>
      </w:tr>
      <w:tr>
        <w:tc>
          <w:tcPr/>
          <w:p>
            <w:pPr>
              <w:pStyle w:val="Compact"/>
              <w:jc w:val="left"/>
            </w:pPr>
            <w:r>
              <w:t xml:space="preserve">NB-24</w:t>
            </w:r>
          </w:p>
        </w:tc>
        <w:tc>
          <w:tcPr/>
          <w:p>
            <w:pPr>
              <w:pStyle w:val="Compact"/>
              <w:jc w:val="left"/>
            </w:pPr>
            <w:r>
              <w:t xml:space="preserve">Lithium Recovery — Green Valley</w:t>
            </w:r>
          </w:p>
        </w:tc>
        <w:tc>
          <w:tcPr/>
          <w:p>
            <w:pPr>
              <w:pStyle w:val="Compact"/>
              <w:jc w:val="left"/>
            </w:pPr>
            <w:r>
              <w:t xml:space="preserve">Green Valley</w:t>
            </w:r>
          </w:p>
        </w:tc>
        <w:tc>
          <w:tcPr/>
          <w:p>
            <w:pPr>
              <w:pStyle w:val="Compact"/>
              <w:jc w:val="left"/>
            </w:pPr>
            <w:r>
              <w:rPr>
                <w:rStyle w:val="VerbatimChar"/>
              </w:rPr>
              <w:t xml:space="preserve">QUAL.Recovery</w:t>
            </w:r>
          </w:p>
        </w:tc>
        <w:tc>
          <w:tcPr/>
          <w:p>
            <w:pPr>
              <w:pStyle w:val="Compact"/>
              <w:jc w:val="left"/>
            </w:pPr>
            <w:r>
              <w:t xml:space="preserve">Li₂O recovery (70.48%); ore-type benchmark</w:t>
            </w:r>
          </w:p>
        </w:tc>
      </w:tr>
      <w:tr>
        <w:tc>
          <w:tcPr/>
          <w:p>
            <w:pPr>
              <w:pStyle w:val="Compact"/>
              <w:jc w:val="left"/>
            </w:pPr>
            <w:r>
              <w:t xml:space="preserve">NB-25</w:t>
            </w:r>
          </w:p>
        </w:tc>
        <w:tc>
          <w:tcPr/>
          <w:p>
            <w:pPr>
              <w:pStyle w:val="Compact"/>
              <w:jc w:val="left"/>
            </w:pPr>
            <w:r>
              <w:t xml:space="preserve">Cost Per Tonne — Full Decomposition</w:t>
            </w:r>
          </w:p>
        </w:tc>
        <w:tc>
          <w:tcPr/>
          <w:p>
            <w:pPr>
              <w:pStyle w:val="Compact"/>
              <w:jc w:val="left"/>
            </w:pPr>
            <w:r>
              <w:t xml:space="preserve">Pilbara Ridge</w:t>
            </w:r>
          </w:p>
        </w:tc>
        <w:tc>
          <w:tcPr/>
          <w:p>
            <w:pPr>
              <w:pStyle w:val="Compact"/>
              <w:jc w:val="left"/>
            </w:pPr>
            <w:r>
              <w:rPr>
                <w:rStyle w:val="VerbatimChar"/>
              </w:rPr>
              <w:t xml:space="preserve">COST.CostPerTonne</w:t>
            </w:r>
          </w:p>
        </w:tc>
        <w:tc>
          <w:tcPr/>
          <w:p>
            <w:pPr>
              <w:pStyle w:val="Compact"/>
              <w:jc w:val="left"/>
            </w:pPr>
            <w:r>
              <w:t xml:space="preserve">Waterfall by cost type</w:t>
            </w:r>
          </w:p>
        </w:tc>
      </w:tr>
      <w:tr>
        <w:tc>
          <w:tcPr/>
          <w:p>
            <w:pPr>
              <w:pStyle w:val="Compact"/>
              <w:jc w:val="left"/>
            </w:pPr>
            <w:r>
              <w:t xml:space="preserve">NB-26</w:t>
            </w:r>
          </w:p>
        </w:tc>
        <w:tc>
          <w:tcPr/>
          <w:p>
            <w:pPr>
              <w:pStyle w:val="Compact"/>
              <w:jc w:val="left"/>
            </w:pPr>
            <w:r>
              <w:t xml:space="preserve">Safety Leading Indicators</w:t>
            </w:r>
          </w:p>
        </w:tc>
        <w:tc>
          <w:tcPr/>
          <w:p>
            <w:pPr>
              <w:pStyle w:val="Compact"/>
              <w:jc w:val="left"/>
            </w:pPr>
            <w:r>
              <w:t xml:space="preserve">Aurora Gold</w:t>
            </w:r>
          </w:p>
        </w:tc>
        <w:tc>
          <w:tcPr/>
          <w:p>
            <w:pPr>
              <w:pStyle w:val="Compact"/>
              <w:jc w:val="left"/>
            </w:pPr>
            <w:r>
              <w:rPr>
                <w:rStyle w:val="VerbatimChar"/>
              </w:rPr>
              <w:t xml:space="preserve">SAFE.SpeedViolationRate</w:t>
            </w:r>
          </w:p>
        </w:tc>
        <w:tc>
          <w:tcPr/>
          <w:p>
            <w:pPr>
              <w:pStyle w:val="Compact"/>
              <w:jc w:val="left"/>
            </w:pPr>
            <w:r>
              <w:t xml:space="preserve">Rate trend; road-segment heat map</w:t>
            </w:r>
          </w:p>
        </w:tc>
      </w:tr>
      <w:tr>
        <w:tc>
          <w:tcPr/>
          <w:p>
            <w:pPr>
              <w:pStyle w:val="Compact"/>
              <w:jc w:val="left"/>
            </w:pPr>
            <w:r>
              <w:t xml:space="preserve">NB-27</w:t>
            </w:r>
          </w:p>
        </w:tc>
        <w:tc>
          <w:tcPr/>
          <w:p>
            <w:pPr>
              <w:pStyle w:val="Compact"/>
              <w:jc w:val="left"/>
            </w:pPr>
            <w:r>
              <w:t xml:space="preserve">Multi-Shift KPI Trend Analysis</w:t>
            </w:r>
          </w:p>
        </w:tc>
        <w:tc>
          <w:tcPr/>
          <w:p>
            <w:pPr>
              <w:pStyle w:val="Compact"/>
              <w:jc w:val="left"/>
            </w:pPr>
            <w:r>
              <w:t xml:space="preserve">Pilbara Ridge</w:t>
            </w:r>
          </w:p>
        </w:tc>
        <w:tc>
          <w:tcPr/>
          <w:p>
            <w:pPr>
              <w:pStyle w:val="Compact"/>
              <w:jc w:val="left"/>
            </w:pPr>
            <w:r>
              <w:t xml:space="preserve">All PROD/UTIL</w:t>
            </w:r>
          </w:p>
        </w:tc>
        <w:tc>
          <w:tcPr/>
          <w:p>
            <w:pPr>
              <w:pStyle w:val="Compact"/>
              <w:jc w:val="left"/>
            </w:pPr>
            <w:r>
              <w:t xml:space="preserve">30-day trend, rolling windows</w:t>
            </w:r>
          </w:p>
        </w:tc>
      </w:tr>
      <w:tr>
        <w:tc>
          <w:tcPr/>
          <w:p>
            <w:pPr>
              <w:pStyle w:val="Compact"/>
              <w:jc w:val="left"/>
            </w:pPr>
            <w:r>
              <w:t xml:space="preserve">NB-28</w:t>
            </w:r>
          </w:p>
        </w:tc>
        <w:tc>
          <w:tcPr/>
          <w:p>
            <w:pPr>
              <w:pStyle w:val="Compact"/>
              <w:jc w:val="left"/>
            </w:pPr>
            <w:r>
              <w:t xml:space="preserve">Coal Mine Cycle Analysis</w:t>
            </w:r>
          </w:p>
        </w:tc>
        <w:tc>
          <w:tcPr/>
          <w:p>
            <w:pPr>
              <w:pStyle w:val="Compact"/>
              <w:jc w:val="left"/>
            </w:pPr>
            <w:r>
              <w:t xml:space="preserve">Black Diamond</w:t>
            </w:r>
          </w:p>
        </w:tc>
        <w:tc>
          <w:tcPr/>
          <w:p>
            <w:pPr>
              <w:pStyle w:val="Compact"/>
              <w:jc w:val="left"/>
            </w:pPr>
            <w:r>
              <w:rPr>
                <w:rStyle w:val="VerbatimChar"/>
              </w:rPr>
              <w:t xml:space="preserve">PROD.TruckCycleTime</w:t>
            </w:r>
            <w:r>
              <w:t xml:space="preserve">, </w:t>
            </w:r>
            <w:r>
              <w:rPr>
                <w:rStyle w:val="VerbatimChar"/>
              </w:rPr>
              <w:t xml:space="preserve">DELAY.Hours</w:t>
            </w:r>
          </w:p>
        </w:tc>
        <w:tc>
          <w:tcPr/>
          <w:p>
            <w:pPr>
              <w:pStyle w:val="Compact"/>
              <w:jc w:val="left"/>
            </w:pPr>
            <w:r>
              <w:t xml:space="preserve">Underground vs surface cycle comparison</w:t>
            </w:r>
          </w:p>
        </w:tc>
      </w:tr>
      <w:tr>
        <w:tc>
          <w:tcPr/>
          <w:p>
            <w:pPr>
              <w:pStyle w:val="Compact"/>
              <w:jc w:val="left"/>
            </w:pPr>
            <w:r>
              <w:t xml:space="preserve">NB-29</w:t>
            </w:r>
          </w:p>
        </w:tc>
        <w:tc>
          <w:tcPr/>
          <w:p>
            <w:pPr>
              <w:pStyle w:val="Compact"/>
              <w:jc w:val="left"/>
            </w:pPr>
            <w:r>
              <w:t xml:space="preserve">Gold Mine Fleet Analysis</w:t>
            </w:r>
          </w:p>
        </w:tc>
        <w:tc>
          <w:tcPr/>
          <w:p>
            <w:pPr>
              <w:pStyle w:val="Compact"/>
              <w:jc w:val="left"/>
            </w:pPr>
            <w:r>
              <w:t xml:space="preserve">Aurora Gold</w:t>
            </w:r>
          </w:p>
        </w:tc>
        <w:tc>
          <w:tcPr/>
          <w:p>
            <w:pPr>
              <w:pStyle w:val="Compact"/>
              <w:jc w:val="left"/>
            </w:pPr>
            <w:r>
              <w:rPr>
                <w:rStyle w:val="VerbatimChar"/>
              </w:rPr>
              <w:t xml:space="preserve">PROD.TPH</w:t>
            </w:r>
            <w:r>
              <w:t xml:space="preserve">, </w:t>
            </w:r>
            <w:r>
              <w:rPr>
                <w:rStyle w:val="VerbatimChar"/>
              </w:rPr>
              <w:t xml:space="preserve">HAUL.MatchFactor</w:t>
            </w:r>
          </w:p>
        </w:tc>
        <w:tc>
          <w:tcPr/>
          <w:p>
            <w:pPr>
              <w:pStyle w:val="Compact"/>
              <w:jc w:val="left"/>
            </w:pPr>
            <w:r>
              <w:t xml:space="preserve">Small fleet match factor; long-haul geometry</w:t>
            </w:r>
          </w:p>
        </w:tc>
      </w:tr>
      <w:tr>
        <w:tc>
          <w:tcPr/>
          <w:p>
            <w:pPr>
              <w:pStyle w:val="Compact"/>
              <w:jc w:val="left"/>
            </w:pPr>
            <w:r>
              <w:t xml:space="preserve">NB-30</w:t>
            </w:r>
          </w:p>
        </w:tc>
        <w:tc>
          <w:tcPr/>
          <w:p>
            <w:pPr>
              <w:pStyle w:val="Compact"/>
              <w:jc w:val="left"/>
            </w:pPr>
            <w:r>
              <w:t xml:space="preserve">Stripping Ratio &amp; Waste Management</w:t>
            </w:r>
          </w:p>
        </w:tc>
        <w:tc>
          <w:tcPr/>
          <w:p>
            <w:pPr>
              <w:pStyle w:val="Compact"/>
              <w:jc w:val="left"/>
            </w:pPr>
            <w:r>
              <w:t xml:space="preserve">Pilbara Ridge</w:t>
            </w:r>
          </w:p>
        </w:tc>
        <w:tc>
          <w:tcPr/>
          <w:p>
            <w:pPr>
              <w:pStyle w:val="Compact"/>
              <w:jc w:val="left"/>
            </w:pPr>
            <w:r>
              <w:rPr>
                <w:rStyle w:val="VerbatimChar"/>
              </w:rPr>
              <w:t xml:space="preserve">PROD.StrippingRatio</w:t>
            </w:r>
          </w:p>
        </w:tc>
        <w:tc>
          <w:tcPr/>
          <w:p>
            <w:pPr>
              <w:pStyle w:val="Compact"/>
              <w:jc w:val="left"/>
            </w:pPr>
            <w:r>
              <w:t xml:space="preserve">SR trend vs pit stage</w:t>
            </w:r>
          </w:p>
        </w:tc>
      </w:tr>
      <w:tr>
        <w:tc>
          <w:tcPr/>
          <w:p>
            <w:pPr>
              <w:pStyle w:val="Compact"/>
              <w:jc w:val="left"/>
            </w:pPr>
            <w:r>
              <w:t xml:space="preserve">NB-31</w:t>
            </w:r>
          </w:p>
        </w:tc>
        <w:tc>
          <w:tcPr/>
          <w:p>
            <w:pPr>
              <w:pStyle w:val="Compact"/>
              <w:jc w:val="left"/>
            </w:pPr>
            <w:r>
              <w:t xml:space="preserve">Payload Optimisation</w:t>
            </w:r>
          </w:p>
        </w:tc>
        <w:tc>
          <w:tcPr/>
          <w:p>
            <w:pPr>
              <w:pStyle w:val="Compact"/>
              <w:jc w:val="left"/>
            </w:pPr>
            <w:r>
              <w:t xml:space="preserve">Pilbara Ridge</w:t>
            </w:r>
          </w:p>
        </w:tc>
        <w:tc>
          <w:tcPr/>
          <w:p>
            <w:pPr>
              <w:pStyle w:val="Compact"/>
              <w:jc w:val="left"/>
            </w:pPr>
            <w:r>
              <w:rPr>
                <w:rStyle w:val="VerbatimChar"/>
              </w:rPr>
              <w:t xml:space="preserve">PROD.Payload</w:t>
            </w:r>
          </w:p>
        </w:tc>
        <w:tc>
          <w:tcPr/>
          <w:p>
            <w:pPr>
              <w:pStyle w:val="Compact"/>
              <w:jc w:val="left"/>
            </w:pPr>
            <w:r>
              <w:t xml:space="preserve">Under-loading identification; fill factor scatter</w:t>
            </w:r>
          </w:p>
        </w:tc>
      </w:tr>
      <w:tr>
        <w:tc>
          <w:tcPr/>
          <w:p>
            <w:pPr>
              <w:pStyle w:val="Compact"/>
              <w:jc w:val="left"/>
            </w:pPr>
            <w:r>
              <w:t xml:space="preserve">NB-32</w:t>
            </w:r>
          </w:p>
        </w:tc>
        <w:tc>
          <w:tcPr/>
          <w:p>
            <w:pPr>
              <w:pStyle w:val="Compact"/>
              <w:jc w:val="left"/>
            </w:pPr>
            <w:r>
              <w:t xml:space="preserve">Dispatcher Queue Time Analysis</w:t>
            </w:r>
          </w:p>
        </w:tc>
        <w:tc>
          <w:tcPr/>
          <w:p>
            <w:pPr>
              <w:pStyle w:val="Compact"/>
              <w:jc w:val="left"/>
            </w:pPr>
            <w:r>
              <w:t xml:space="preserve">Pilbara Ridge</w:t>
            </w:r>
          </w:p>
        </w:tc>
        <w:tc>
          <w:tcPr/>
          <w:p>
            <w:pPr>
              <w:pStyle w:val="Compact"/>
              <w:jc w:val="left"/>
            </w:pPr>
            <w:r>
              <w:rPr>
                <w:rStyle w:val="VerbatimChar"/>
              </w:rPr>
              <w:t xml:space="preserve">DISP.QueueTime</w:t>
            </w:r>
            <w:r>
              <w:t xml:space="preserve">, </w:t>
            </w:r>
            <w:r>
              <w:rPr>
                <w:rStyle w:val="VerbatimChar"/>
              </w:rPr>
              <w:t xml:space="preserve">HAUL.MatchFactor</w:t>
            </w:r>
          </w:p>
        </w:tc>
        <w:tc>
          <w:tcPr/>
          <w:p>
            <w:pPr>
              <w:pStyle w:val="Compact"/>
              <w:jc w:val="left"/>
            </w:pPr>
            <w:r>
              <w:t xml:space="preserve">Queue heat map; MF correlation</w:t>
            </w:r>
          </w:p>
        </w:tc>
      </w:tr>
      <w:tr>
        <w:tc>
          <w:tcPr/>
          <w:p>
            <w:pPr>
              <w:pStyle w:val="Compact"/>
              <w:jc w:val="left"/>
            </w:pPr>
            <w:r>
              <w:t xml:space="preserve">NB-33</w:t>
            </w:r>
          </w:p>
        </w:tc>
        <w:tc>
          <w:tcPr/>
          <w:p>
            <w:pPr>
              <w:pStyle w:val="Compact"/>
              <w:jc w:val="left"/>
            </w:pPr>
            <w:r>
              <w:t xml:space="preserve">Fuel Idle Analysis</w:t>
            </w:r>
          </w:p>
        </w:tc>
        <w:tc>
          <w:tcPr/>
          <w:p>
            <w:pPr>
              <w:pStyle w:val="Compact"/>
              <w:jc w:val="left"/>
            </w:pPr>
            <w:r>
              <w:t xml:space="preserve">Pilbara Ridge</w:t>
            </w:r>
          </w:p>
        </w:tc>
        <w:tc>
          <w:tcPr/>
          <w:p>
            <w:pPr>
              <w:pStyle w:val="Compact"/>
              <w:jc w:val="left"/>
            </w:pPr>
            <w:r>
              <w:rPr>
                <w:rStyle w:val="VerbatimChar"/>
              </w:rPr>
              <w:t xml:space="preserve">ENERGY.IdleFuelRatio</w:t>
            </w:r>
          </w:p>
        </w:tc>
        <w:tc>
          <w:tcPr/>
          <w:p>
            <w:pPr>
              <w:pStyle w:val="Compact"/>
              <w:jc w:val="left"/>
            </w:pPr>
            <w:r>
              <w:t xml:space="preserve">Idle share by operator, by time-of-day</w:t>
            </w:r>
          </w:p>
        </w:tc>
      </w:tr>
      <w:tr>
        <w:tc>
          <w:tcPr/>
          <w:p>
            <w:pPr>
              <w:pStyle w:val="Compact"/>
              <w:jc w:val="left"/>
            </w:pPr>
            <w:r>
              <w:t xml:space="preserve">NB-34</w:t>
            </w:r>
          </w:p>
        </w:tc>
        <w:tc>
          <w:tcPr/>
          <w:p>
            <w:pPr>
              <w:pStyle w:val="Compact"/>
              <w:jc w:val="left"/>
            </w:pPr>
            <w:r>
              <w:t xml:space="preserve">Maintenance Backlog &amp; PM Compliance</w:t>
            </w:r>
          </w:p>
        </w:tc>
        <w:tc>
          <w:tcPr/>
          <w:p>
            <w:pPr>
              <w:pStyle w:val="Compact"/>
              <w:jc w:val="left"/>
            </w:pPr>
            <w:r>
              <w:t xml:space="preserve">Pilbara Ridge</w:t>
            </w:r>
          </w:p>
        </w:tc>
        <w:tc>
          <w:tcPr/>
          <w:p>
            <w:pPr>
              <w:pStyle w:val="Compact"/>
              <w:jc w:val="left"/>
            </w:pPr>
            <w:r>
              <w:rPr>
                <w:rStyle w:val="VerbatimChar"/>
              </w:rPr>
              <w:t xml:space="preserve">MAINT.PMCompliance</w:t>
            </w:r>
            <w:r>
              <w:t xml:space="preserve">, </w:t>
            </w:r>
            <w:r>
              <w:rPr>
                <w:rStyle w:val="VerbatimChar"/>
              </w:rPr>
              <w:t xml:space="preserve">MAINT.BacklogHours</w:t>
            </w:r>
          </w:p>
        </w:tc>
        <w:tc>
          <w:tcPr/>
          <w:p>
            <w:pPr>
              <w:pStyle w:val="Compact"/>
              <w:jc w:val="left"/>
            </w:pPr>
            <w:r>
              <w:t xml:space="preserve">Backlog trend; PM calendar</w:t>
            </w:r>
          </w:p>
        </w:tc>
      </w:tr>
      <w:tr>
        <w:tc>
          <w:tcPr/>
          <w:p>
            <w:pPr>
              <w:pStyle w:val="Compact"/>
              <w:jc w:val="left"/>
            </w:pPr>
            <w:r>
              <w:t xml:space="preserve">NB-35</w:t>
            </w:r>
          </w:p>
        </w:tc>
        <w:tc>
          <w:tcPr/>
          <w:p>
            <w:pPr>
              <w:pStyle w:val="Compact"/>
              <w:jc w:val="left"/>
            </w:pPr>
            <w:r>
              <w:t xml:space="preserve">Intermediate Challenge — Full Shift Intelligence Report</w:t>
            </w:r>
          </w:p>
        </w:tc>
        <w:tc>
          <w:tcPr/>
          <w:p>
            <w:pPr>
              <w:pStyle w:val="Compact"/>
              <w:jc w:val="left"/>
            </w:pPr>
            <w:r>
              <w:t xml:space="preserve">All mines</w:t>
            </w:r>
          </w:p>
        </w:tc>
        <w:tc>
          <w:tcPr/>
          <w:p>
            <w:pPr>
              <w:pStyle w:val="Compact"/>
              <w:jc w:val="left"/>
            </w:pPr>
            <w:r>
              <w:t xml:space="preserve">All Intermediate KPIs</w:t>
            </w:r>
          </w:p>
        </w:tc>
        <w:tc>
          <w:tcPr/>
          <w:p>
            <w:pPr>
              <w:pStyle w:val="Compact"/>
              <w:jc w:val="left"/>
            </w:pPr>
            <w:r>
              <w:t xml:space="preserve">Automated multi-mine shift report</w:t>
            </w:r>
          </w:p>
        </w:tc>
      </w:tr>
    </w:tbl>
    <w:bookmarkEnd w:id="99"/>
    <w:bookmarkStart w:id="100" w:name="level-3-advanced-nb-36-to-nb-60"/>
    <w:p>
      <w:pPr>
        <w:pStyle w:val="Heading2"/>
      </w:pPr>
      <w:bookmarkStart w:id="930063" w:name="_TocLBSv1_930063"/>
      <w:r>
        <w:t xml:space="preserve">Level 3 — Advanced (NB-36 to NB-60)</w:t>
      </w:r>
      <w:bookmarkEnd w:id="930063"/>
    </w:p>
    <w:p>
      <w:pPr>
        <w:pStyle w:val="FirstParagraph"/>
      </w:pPr>
      <w:r>
        <w:rPr>
          <w:bCs/>
          <w:b/>
        </w:rPr>
        <w:t xml:space="preserve">Theme.</w:t>
      </w:r>
      <w:r>
        <w:t xml:space="preserve"> Analytics, optimisation, and cross-KPI reasoning.</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Notebook</w:t>
            </w:r>
          </w:p>
        </w:tc>
        <w:tc>
          <w:tcPr/>
          <w:p>
            <w:pPr>
              <w:pStyle w:val="Compact"/>
              <w:jc w:val="left"/>
            </w:pPr>
            <w:r>
              <w:t xml:space="preserve">Title</w:t>
            </w:r>
          </w:p>
        </w:tc>
        <w:tc>
          <w:tcPr/>
          <w:p>
            <w:pPr>
              <w:pStyle w:val="Compact"/>
              <w:jc w:val="left"/>
            </w:pPr>
            <w:r>
              <w:t xml:space="preserve">Mine</w:t>
            </w:r>
          </w:p>
        </w:tc>
        <w:tc>
          <w:tcPr/>
          <w:p>
            <w:pPr>
              <w:pStyle w:val="Compact"/>
              <w:jc w:val="left"/>
            </w:pPr>
            <w:r>
              <w:t xml:space="preserve">Focus</w:t>
            </w:r>
          </w:p>
        </w:tc>
      </w:tr>
      <w:tr>
        <w:tc>
          <w:tcPr/>
          <w:p>
            <w:pPr>
              <w:pStyle w:val="Compact"/>
              <w:jc w:val="left"/>
            </w:pPr>
            <w:r>
              <w:t xml:space="preserve">NB-36</w:t>
            </w:r>
          </w:p>
        </w:tc>
        <w:tc>
          <w:tcPr/>
          <w:p>
            <w:pPr>
              <w:pStyle w:val="Compact"/>
              <w:jc w:val="left"/>
            </w:pPr>
            <w:r>
              <w:t xml:space="preserve">KPI Dependency Graph — Visualisation &amp; Traversal</w:t>
            </w:r>
          </w:p>
        </w:tc>
        <w:tc>
          <w:tcPr/>
          <w:p>
            <w:pPr>
              <w:pStyle w:val="Compact"/>
              <w:jc w:val="left"/>
            </w:pPr>
            <w:r>
              <w:t xml:space="preserve">All</w:t>
            </w:r>
          </w:p>
        </w:tc>
        <w:tc>
          <w:tcPr/>
          <w:p>
            <w:pPr>
              <w:pStyle w:val="Compact"/>
              <w:jc w:val="left"/>
            </w:pPr>
            <w:r>
              <w:t xml:space="preserve">Render the full dependency DAG; show how a TPH change ripples</w:t>
            </w:r>
          </w:p>
        </w:tc>
      </w:tr>
      <w:tr>
        <w:tc>
          <w:tcPr/>
          <w:p>
            <w:pPr>
              <w:pStyle w:val="Compact"/>
              <w:jc w:val="left"/>
            </w:pPr>
            <w:r>
              <w:t xml:space="preserve">NB-37</w:t>
            </w:r>
          </w:p>
        </w:tc>
        <w:tc>
          <w:tcPr/>
          <w:p>
            <w:pPr>
              <w:pStyle w:val="Compact"/>
              <w:jc w:val="left"/>
            </w:pPr>
            <w:r>
              <w:t xml:space="preserve">Root Cause Analysis — Why Did TPH Drop?</w:t>
            </w:r>
          </w:p>
        </w:tc>
        <w:tc>
          <w:tcPr/>
          <w:p>
            <w:pPr>
              <w:pStyle w:val="Compact"/>
              <w:jc w:val="left"/>
            </w:pPr>
            <w:r>
              <w:t xml:space="preserve">Pilbara Ridge</w:t>
            </w:r>
          </w:p>
        </w:tc>
        <w:tc>
          <w:tcPr/>
          <w:p>
            <w:pPr>
              <w:pStyle w:val="Compact"/>
              <w:jc w:val="left"/>
            </w:pPr>
            <w:r>
              <w:t xml:space="preserve">Systematic decomposition: PA→UA→cycle→payload</w:t>
            </w:r>
          </w:p>
        </w:tc>
      </w:tr>
      <w:tr>
        <w:tc>
          <w:tcPr/>
          <w:p>
            <w:pPr>
              <w:pStyle w:val="Compact"/>
              <w:jc w:val="left"/>
            </w:pPr>
            <w:r>
              <w:t xml:space="preserve">NB-38</w:t>
            </w:r>
          </w:p>
        </w:tc>
        <w:tc>
          <w:tcPr/>
          <w:p>
            <w:pPr>
              <w:pStyle w:val="Compact"/>
              <w:jc w:val="left"/>
            </w:pPr>
            <w:r>
              <w:t xml:space="preserve">Rolling Window KPIs &amp; Trend Detection</w:t>
            </w:r>
          </w:p>
        </w:tc>
        <w:tc>
          <w:tcPr/>
          <w:p>
            <w:pPr>
              <w:pStyle w:val="Compact"/>
              <w:jc w:val="left"/>
            </w:pPr>
            <w:r>
              <w:t xml:space="preserve">Pilbara Ridge</w:t>
            </w:r>
          </w:p>
        </w:tc>
        <w:tc>
          <w:tcPr/>
          <w:p>
            <w:pPr>
              <w:pStyle w:val="Compact"/>
              <w:jc w:val="left"/>
            </w:pPr>
            <w:r>
              <w:t xml:space="preserve">7-day rolling MTBF; change-point detection</w:t>
            </w:r>
          </w:p>
        </w:tc>
      </w:tr>
      <w:tr>
        <w:tc>
          <w:tcPr/>
          <w:p>
            <w:pPr>
              <w:pStyle w:val="Compact"/>
              <w:jc w:val="left"/>
            </w:pPr>
            <w:r>
              <w:t xml:space="preserve">NB-39</w:t>
            </w:r>
          </w:p>
        </w:tc>
        <w:tc>
          <w:tcPr/>
          <w:p>
            <w:pPr>
              <w:pStyle w:val="Compact"/>
              <w:jc w:val="left"/>
            </w:pPr>
            <w:r>
              <w:t xml:space="preserve">Cross-Mine KPI Benchmarking</w:t>
            </w:r>
          </w:p>
        </w:tc>
        <w:tc>
          <w:tcPr/>
          <w:p>
            <w:pPr>
              <w:pStyle w:val="Compact"/>
              <w:jc w:val="left"/>
            </w:pPr>
            <w:r>
              <w:t xml:space="preserve">All 5</w:t>
            </w:r>
          </w:p>
        </w:tc>
        <w:tc>
          <w:tcPr/>
          <w:p>
            <w:pPr>
              <w:pStyle w:val="Compact"/>
              <w:jc w:val="left"/>
            </w:pPr>
            <w:r>
              <w:t xml:space="preserve">Normalised comparison: availability, utilisation, cost</w:t>
            </w:r>
          </w:p>
        </w:tc>
      </w:tr>
      <w:tr>
        <w:tc>
          <w:tcPr/>
          <w:p>
            <w:pPr>
              <w:pStyle w:val="Compact"/>
              <w:jc w:val="left"/>
            </w:pPr>
            <w:r>
              <w:t xml:space="preserve">NB-40</w:t>
            </w:r>
          </w:p>
        </w:tc>
        <w:tc>
          <w:tcPr/>
          <w:p>
            <w:pPr>
              <w:pStyle w:val="Compact"/>
              <w:jc w:val="left"/>
            </w:pPr>
            <w:r>
              <w:t xml:space="preserve">Sankey Diagram — Haulage Work Flow</w:t>
            </w:r>
          </w:p>
        </w:tc>
        <w:tc>
          <w:tcPr/>
          <w:p>
            <w:pPr>
              <w:pStyle w:val="Compact"/>
              <w:jc w:val="left"/>
            </w:pPr>
            <w:r>
              <w:t xml:space="preserve">Pilbara Ridge</w:t>
            </w:r>
          </w:p>
        </w:tc>
        <w:tc>
          <w:tcPr/>
          <w:p>
            <w:pPr>
              <w:pStyle w:val="Compact"/>
              <w:jc w:val="left"/>
            </w:pPr>
            <w:r>
              <w:t xml:space="preserve">t·km Sankey from bench to port</w:t>
            </w:r>
          </w:p>
        </w:tc>
      </w:tr>
      <w:tr>
        <w:tc>
          <w:tcPr/>
          <w:p>
            <w:pPr>
              <w:pStyle w:val="Compact"/>
              <w:jc w:val="left"/>
            </w:pPr>
            <w:r>
              <w:t xml:space="preserve">NB-41</w:t>
            </w:r>
          </w:p>
        </w:tc>
        <w:tc>
          <w:tcPr/>
          <w:p>
            <w:pPr>
              <w:pStyle w:val="Compact"/>
              <w:jc w:val="left"/>
            </w:pPr>
            <w:r>
              <w:t xml:space="preserve">OEE Deep Dive — Crusher Performance</w:t>
            </w:r>
          </w:p>
        </w:tc>
        <w:tc>
          <w:tcPr/>
          <w:p>
            <w:pPr>
              <w:pStyle w:val="Compact"/>
              <w:jc w:val="left"/>
            </w:pPr>
            <w:r>
              <w:t xml:space="preserve">Pilbara Ridge</w:t>
            </w:r>
          </w:p>
        </w:tc>
        <w:tc>
          <w:tcPr/>
          <w:p>
            <w:pPr>
              <w:pStyle w:val="Compact"/>
              <w:jc w:val="left"/>
            </w:pPr>
            <w:r>
              <w:t xml:space="preserve">Six-month OEE trend; waterfall attribution</w:t>
            </w:r>
          </w:p>
        </w:tc>
      </w:tr>
      <w:tr>
        <w:tc>
          <w:tcPr/>
          <w:p>
            <w:pPr>
              <w:pStyle w:val="Compact"/>
              <w:jc w:val="left"/>
            </w:pPr>
            <w:r>
              <w:t xml:space="preserve">NB-42</w:t>
            </w:r>
          </w:p>
        </w:tc>
        <w:tc>
          <w:tcPr/>
          <w:p>
            <w:pPr>
              <w:pStyle w:val="Compact"/>
              <w:jc w:val="left"/>
            </w:pPr>
            <w:r>
              <w:t xml:space="preserve">Weather Impact on Availability</w:t>
            </w:r>
          </w:p>
        </w:tc>
        <w:tc>
          <w:tcPr/>
          <w:p>
            <w:pPr>
              <w:pStyle w:val="Compact"/>
              <w:jc w:val="left"/>
            </w:pPr>
            <w:r>
              <w:t xml:space="preserve">All mines</w:t>
            </w:r>
          </w:p>
        </w:tc>
        <w:tc>
          <w:tcPr/>
          <w:p>
            <w:pPr>
              <w:pStyle w:val="Compact"/>
              <w:jc w:val="left"/>
            </w:pPr>
            <w:r>
              <w:t xml:space="preserve">Delay hours vs temperature, lightning events</w:t>
            </w:r>
          </w:p>
        </w:tc>
      </w:tr>
      <w:tr>
        <w:tc>
          <w:tcPr/>
          <w:p>
            <w:pPr>
              <w:pStyle w:val="Compact"/>
              <w:jc w:val="left"/>
            </w:pPr>
            <w:r>
              <w:t xml:space="preserve">NB-43</w:t>
            </w:r>
          </w:p>
        </w:tc>
        <w:tc>
          <w:tcPr/>
          <w:p>
            <w:pPr>
              <w:pStyle w:val="Compact"/>
              <w:jc w:val="left"/>
            </w:pPr>
            <w:r>
              <w:t xml:space="preserve">Operator Performance Analysis</w:t>
            </w:r>
          </w:p>
        </w:tc>
        <w:tc>
          <w:tcPr/>
          <w:p>
            <w:pPr>
              <w:pStyle w:val="Compact"/>
              <w:jc w:val="left"/>
            </w:pPr>
            <w:r>
              <w:t xml:space="preserve">Pilbara Ridge</w:t>
            </w:r>
          </w:p>
        </w:tc>
        <w:tc>
          <w:tcPr/>
          <w:p>
            <w:pPr>
              <w:pStyle w:val="Compact"/>
              <w:jc w:val="left"/>
            </w:pPr>
            <w:r>
              <w:t xml:space="preserve">Payload variance and cycle time by operator</w:t>
            </w:r>
          </w:p>
        </w:tc>
      </w:tr>
      <w:tr>
        <w:tc>
          <w:tcPr/>
          <w:p>
            <w:pPr>
              <w:pStyle w:val="Compact"/>
              <w:jc w:val="left"/>
            </w:pPr>
            <w:r>
              <w:t xml:space="preserve">NB-44</w:t>
            </w:r>
          </w:p>
        </w:tc>
        <w:tc>
          <w:tcPr/>
          <w:p>
            <w:pPr>
              <w:pStyle w:val="Compact"/>
              <w:jc w:val="left"/>
            </w:pPr>
            <w:r>
              <w:t xml:space="preserve">Fleet Simulation — Add/Remove Truck</w:t>
            </w:r>
          </w:p>
        </w:tc>
        <w:tc>
          <w:tcPr/>
          <w:p>
            <w:pPr>
              <w:pStyle w:val="Compact"/>
              <w:jc w:val="left"/>
            </w:pPr>
            <w:r>
              <w:t xml:space="preserve">Pilbara Ridge</w:t>
            </w:r>
          </w:p>
        </w:tc>
        <w:tc>
          <w:tcPr/>
          <w:p>
            <w:pPr>
              <w:pStyle w:val="Compact"/>
              <w:jc w:val="left"/>
            </w:pPr>
            <w:r>
              <w:t xml:space="preserve">MF sensitivity; simulated TPH response</w:t>
            </w:r>
          </w:p>
        </w:tc>
      </w:tr>
      <w:tr>
        <w:tc>
          <w:tcPr/>
          <w:p>
            <w:pPr>
              <w:pStyle w:val="Compact"/>
              <w:jc w:val="left"/>
            </w:pPr>
            <w:r>
              <w:t xml:space="preserve">NB-45</w:t>
            </w:r>
          </w:p>
        </w:tc>
        <w:tc>
          <w:tcPr/>
          <w:p>
            <w:pPr>
              <w:pStyle w:val="Compact"/>
              <w:jc w:val="left"/>
            </w:pPr>
            <w:r>
              <w:t xml:space="preserve">Reliability Growth Analysis</w:t>
            </w:r>
          </w:p>
        </w:tc>
        <w:tc>
          <w:tcPr/>
          <w:p>
            <w:pPr>
              <w:pStyle w:val="Compact"/>
              <w:jc w:val="left"/>
            </w:pPr>
            <w:r>
              <w:t xml:space="preserve">Pilbara Ridge</w:t>
            </w:r>
          </w:p>
        </w:tc>
        <w:tc>
          <w:tcPr/>
          <w:p>
            <w:pPr>
              <w:pStyle w:val="Compact"/>
              <w:jc w:val="left"/>
            </w:pPr>
            <w:r>
              <w:t xml:space="preserve">Duane plot; MTBF trend under PM programme</w:t>
            </w:r>
          </w:p>
        </w:tc>
      </w:tr>
      <w:tr>
        <w:tc>
          <w:tcPr/>
          <w:p>
            <w:pPr>
              <w:pStyle w:val="Compact"/>
              <w:jc w:val="left"/>
            </w:pPr>
            <w:r>
              <w:t xml:space="preserve">NB-46</w:t>
            </w:r>
          </w:p>
        </w:tc>
        <w:tc>
          <w:tcPr/>
          <w:p>
            <w:pPr>
              <w:pStyle w:val="Compact"/>
              <w:jc w:val="left"/>
            </w:pPr>
            <w:r>
              <w:t xml:space="preserve">Energy &amp; Carbon Sensitivity</w:t>
            </w:r>
          </w:p>
        </w:tc>
        <w:tc>
          <w:tcPr/>
          <w:p>
            <w:pPr>
              <w:pStyle w:val="Compact"/>
              <w:jc w:val="left"/>
            </w:pPr>
            <w:r>
              <w:t xml:space="preserve">Pilbara Ridge</w:t>
            </w:r>
          </w:p>
        </w:tc>
        <w:tc>
          <w:tcPr/>
          <w:p>
            <w:pPr>
              <w:pStyle w:val="Compact"/>
              <w:jc w:val="left"/>
            </w:pPr>
            <w:r>
              <w:t xml:space="preserve">$/t and kg CO₂e/t vs haul distance and payload</w:t>
            </w:r>
          </w:p>
        </w:tc>
      </w:tr>
      <w:tr>
        <w:tc>
          <w:tcPr/>
          <w:p>
            <w:pPr>
              <w:pStyle w:val="Compact"/>
              <w:jc w:val="left"/>
            </w:pPr>
            <w:r>
              <w:t xml:space="preserve">NB-47</w:t>
            </w:r>
          </w:p>
        </w:tc>
        <w:tc>
          <w:tcPr/>
          <w:p>
            <w:pPr>
              <w:pStyle w:val="Compact"/>
              <w:jc w:val="left"/>
            </w:pPr>
            <w:r>
              <w:t xml:space="preserve">Grade-Recovery Trade-off</w:t>
            </w:r>
          </w:p>
        </w:tc>
        <w:tc>
          <w:tcPr/>
          <w:p>
            <w:pPr>
              <w:pStyle w:val="Compact"/>
              <w:jc w:val="left"/>
            </w:pPr>
            <w:r>
              <w:t xml:space="preserve">Bingham West</w:t>
            </w:r>
          </w:p>
        </w:tc>
        <w:tc>
          <w:tcPr/>
          <w:p>
            <w:pPr>
              <w:pStyle w:val="Compact"/>
              <w:jc w:val="left"/>
            </w:pPr>
            <w:r>
              <w:t xml:space="preserve">Recovery vs concentrate grade scatter</w:t>
            </w:r>
          </w:p>
        </w:tc>
      </w:tr>
      <w:tr>
        <w:tc>
          <w:tcPr/>
          <w:p>
            <w:pPr>
              <w:pStyle w:val="Compact"/>
              <w:jc w:val="left"/>
            </w:pPr>
            <w:r>
              <w:t xml:space="preserve">NB-48</w:t>
            </w:r>
          </w:p>
        </w:tc>
        <w:tc>
          <w:tcPr/>
          <w:p>
            <w:pPr>
              <w:pStyle w:val="Compact"/>
              <w:jc w:val="left"/>
            </w:pPr>
            <w:r>
              <w:t xml:space="preserve">Stockpile Management KPIs</w:t>
            </w:r>
          </w:p>
        </w:tc>
        <w:tc>
          <w:tcPr/>
          <w:p>
            <w:pPr>
              <w:pStyle w:val="Compact"/>
              <w:jc w:val="left"/>
            </w:pPr>
            <w:r>
              <w:t xml:space="preserve">Pilbara Ridge</w:t>
            </w:r>
          </w:p>
        </w:tc>
        <w:tc>
          <w:tcPr/>
          <w:p>
            <w:pPr>
              <w:pStyle w:val="Compact"/>
              <w:jc w:val="left"/>
            </w:pPr>
            <w:r>
              <w:t xml:space="preserve">Balance, residence time, turnover</w:t>
            </w:r>
          </w:p>
        </w:tc>
      </w:tr>
      <w:tr>
        <w:tc>
          <w:tcPr/>
          <w:p>
            <w:pPr>
              <w:pStyle w:val="Compact"/>
              <w:jc w:val="left"/>
            </w:pPr>
            <w:r>
              <w:t xml:space="preserve">NB-49</w:t>
            </w:r>
          </w:p>
        </w:tc>
        <w:tc>
          <w:tcPr/>
          <w:p>
            <w:pPr>
              <w:pStyle w:val="Compact"/>
              <w:jc w:val="left"/>
            </w:pPr>
            <w:r>
              <w:t xml:space="preserve">Blending &amp; Grade Conformance</w:t>
            </w:r>
          </w:p>
        </w:tc>
        <w:tc>
          <w:tcPr/>
          <w:p>
            <w:pPr>
              <w:pStyle w:val="Compact"/>
              <w:jc w:val="left"/>
            </w:pPr>
            <w:r>
              <w:t xml:space="preserve">Pilbara Ridge</w:t>
            </w:r>
          </w:p>
        </w:tc>
        <w:tc>
          <w:tcPr/>
          <w:p>
            <w:pPr>
              <w:pStyle w:val="Compact"/>
              <w:jc w:val="left"/>
            </w:pPr>
            <w:r>
              <w:t xml:space="preserve">Grade variance reduction through blending</w:t>
            </w:r>
          </w:p>
        </w:tc>
      </w:tr>
      <w:tr>
        <w:tc>
          <w:tcPr/>
          <w:p>
            <w:pPr>
              <w:pStyle w:val="Compact"/>
              <w:jc w:val="left"/>
            </w:pPr>
            <w:r>
              <w:t xml:space="preserve">NB-50</w:t>
            </w:r>
          </w:p>
        </w:tc>
        <w:tc>
          <w:tcPr/>
          <w:p>
            <w:pPr>
              <w:pStyle w:val="Compact"/>
              <w:jc w:val="left"/>
            </w:pPr>
            <w:r>
              <w:t xml:space="preserve">Predictive Maintenance Foundations</w:t>
            </w:r>
          </w:p>
        </w:tc>
        <w:tc>
          <w:tcPr/>
          <w:p>
            <w:pPr>
              <w:pStyle w:val="Compact"/>
              <w:jc w:val="left"/>
            </w:pPr>
            <w:r>
              <w:t xml:space="preserve">Pilbara Ridge</w:t>
            </w:r>
          </w:p>
        </w:tc>
        <w:tc>
          <w:tcPr/>
          <w:p>
            <w:pPr>
              <w:pStyle w:val="Compact"/>
              <w:jc w:val="left"/>
            </w:pPr>
            <w:r>
              <w:t xml:space="preserve">Feature engineering from maintenance history</w:t>
            </w:r>
          </w:p>
        </w:tc>
      </w:tr>
      <w:tr>
        <w:tc>
          <w:tcPr/>
          <w:p>
            <w:pPr>
              <w:pStyle w:val="Compact"/>
              <w:jc w:val="left"/>
            </w:pPr>
            <w:r>
              <w:t xml:space="preserve">NB-51</w:t>
            </w:r>
          </w:p>
        </w:tc>
        <w:tc>
          <w:tcPr/>
          <w:p>
            <w:pPr>
              <w:pStyle w:val="Compact"/>
              <w:jc w:val="left"/>
            </w:pPr>
            <w:r>
              <w:t xml:space="preserve">Time-Series Forecasting — TPH</w:t>
            </w:r>
          </w:p>
        </w:tc>
        <w:tc>
          <w:tcPr/>
          <w:p>
            <w:pPr>
              <w:pStyle w:val="Compact"/>
              <w:jc w:val="left"/>
            </w:pPr>
            <w:r>
              <w:t xml:space="preserve">Pilbara Ridge</w:t>
            </w:r>
          </w:p>
        </w:tc>
        <w:tc>
          <w:tcPr/>
          <w:p>
            <w:pPr>
              <w:pStyle w:val="Compact"/>
              <w:jc w:val="left"/>
            </w:pPr>
            <w:r>
              <w:t xml:space="preserve">ARIMA/rolling forecast; confidence intervals</w:t>
            </w:r>
          </w:p>
        </w:tc>
      </w:tr>
      <w:tr>
        <w:tc>
          <w:tcPr/>
          <w:p>
            <w:pPr>
              <w:pStyle w:val="Compact"/>
              <w:jc w:val="left"/>
            </w:pPr>
            <w:r>
              <w:t xml:space="preserve">NB-52</w:t>
            </w:r>
          </w:p>
        </w:tc>
        <w:tc>
          <w:tcPr/>
          <w:p>
            <w:pPr>
              <w:pStyle w:val="Compact"/>
              <w:jc w:val="left"/>
            </w:pPr>
            <w:r>
              <w:t xml:space="preserve">Anomaly Detection on Cycle Events</w:t>
            </w:r>
          </w:p>
        </w:tc>
        <w:tc>
          <w:tcPr/>
          <w:p>
            <w:pPr>
              <w:pStyle w:val="Compact"/>
              <w:jc w:val="left"/>
            </w:pPr>
            <w:r>
              <w:t xml:space="preserve">Pilbara Ridge</w:t>
            </w:r>
          </w:p>
        </w:tc>
        <w:tc>
          <w:tcPr/>
          <w:p>
            <w:pPr>
              <w:pStyle w:val="Compact"/>
              <w:jc w:val="left"/>
            </w:pPr>
            <w:r>
              <w:t xml:space="preserve">Statistical outliers in cycle time and payload</w:t>
            </w:r>
          </w:p>
        </w:tc>
      </w:tr>
      <w:tr>
        <w:tc>
          <w:tcPr/>
          <w:p>
            <w:pPr>
              <w:pStyle w:val="Compact"/>
              <w:jc w:val="left"/>
            </w:pPr>
            <w:r>
              <w:t xml:space="preserve">NB-53</w:t>
            </w:r>
          </w:p>
        </w:tc>
        <w:tc>
          <w:tcPr/>
          <w:p>
            <w:pPr>
              <w:pStyle w:val="Compact"/>
              <w:jc w:val="left"/>
            </w:pPr>
            <w:r>
              <w:t xml:space="preserve">Multi-Commodity KPI Comparison</w:t>
            </w:r>
          </w:p>
        </w:tc>
        <w:tc>
          <w:tcPr/>
          <w:p>
            <w:pPr>
              <w:pStyle w:val="Compact"/>
              <w:jc w:val="left"/>
            </w:pPr>
            <w:r>
              <w:t xml:space="preserve">All 7</w:t>
            </w:r>
          </w:p>
        </w:tc>
        <w:tc>
          <w:tcPr/>
          <w:p>
            <w:pPr>
              <w:pStyle w:val="Compact"/>
              <w:jc w:val="left"/>
            </w:pPr>
            <w:r>
              <w:t xml:space="preserve">Normalised fleet KPIs across commodities</w:t>
            </w:r>
          </w:p>
        </w:tc>
      </w:tr>
      <w:tr>
        <w:tc>
          <w:tcPr/>
          <w:p>
            <w:pPr>
              <w:pStyle w:val="Compact"/>
              <w:jc w:val="left"/>
            </w:pPr>
            <w:r>
              <w:t xml:space="preserve">NB-54</w:t>
            </w:r>
          </w:p>
        </w:tc>
        <w:tc>
          <w:tcPr/>
          <w:p>
            <w:pPr>
              <w:pStyle w:val="Compact"/>
              <w:jc w:val="left"/>
            </w:pPr>
            <w:r>
              <w:t xml:space="preserve">Plan vs Actual — Production Attainment</w:t>
            </w:r>
          </w:p>
        </w:tc>
        <w:tc>
          <w:tcPr/>
          <w:p>
            <w:pPr>
              <w:pStyle w:val="Compact"/>
              <w:jc w:val="left"/>
            </w:pPr>
            <w:r>
              <w:t xml:space="preserve">Pilbara Ridge</w:t>
            </w:r>
          </w:p>
        </w:tc>
        <w:tc>
          <w:tcPr/>
          <w:p>
            <w:pPr>
              <w:pStyle w:val="Compact"/>
              <w:jc w:val="left"/>
            </w:pPr>
            <w:r>
              <w:t xml:space="preserve">Attainment trend; variance attribution</w:t>
            </w:r>
          </w:p>
        </w:tc>
      </w:tr>
      <w:tr>
        <w:tc>
          <w:tcPr/>
          <w:p>
            <w:pPr>
              <w:pStyle w:val="Compact"/>
              <w:jc w:val="left"/>
            </w:pPr>
            <w:r>
              <w:t xml:space="preserve">NB-55</w:t>
            </w:r>
          </w:p>
        </w:tc>
        <w:tc>
          <w:tcPr/>
          <w:p>
            <w:pPr>
              <w:pStyle w:val="Compact"/>
              <w:jc w:val="left"/>
            </w:pPr>
            <w:r>
              <w:t xml:space="preserve">Dispatch Efficiency — Assignment Analysis</w:t>
            </w:r>
          </w:p>
        </w:tc>
        <w:tc>
          <w:tcPr/>
          <w:p>
            <w:pPr>
              <w:pStyle w:val="Compact"/>
              <w:jc w:val="left"/>
            </w:pPr>
            <w:r>
              <w:t xml:space="preserve">Pilbara Ridge</w:t>
            </w:r>
          </w:p>
        </w:tc>
        <w:tc>
          <w:tcPr/>
          <w:p>
            <w:pPr>
              <w:pStyle w:val="Compact"/>
              <w:jc w:val="left"/>
            </w:pPr>
            <w:r>
              <w:t xml:space="preserve">Assignment efficiency; MF vs queue time</w:t>
            </w:r>
          </w:p>
        </w:tc>
      </w:tr>
      <w:tr>
        <w:tc>
          <w:tcPr/>
          <w:p>
            <w:pPr>
              <w:pStyle w:val="Compact"/>
              <w:jc w:val="left"/>
            </w:pPr>
            <w:r>
              <w:t xml:space="preserve">NB-56</w:t>
            </w:r>
          </w:p>
        </w:tc>
        <w:tc>
          <w:tcPr/>
          <w:p>
            <w:pPr>
              <w:pStyle w:val="Compact"/>
              <w:jc w:val="left"/>
            </w:pPr>
            <w:r>
              <w:t xml:space="preserve">Knowledge Graph Construction</w:t>
            </w:r>
          </w:p>
        </w:tc>
        <w:tc>
          <w:tcPr/>
          <w:p>
            <w:pPr>
              <w:pStyle w:val="Compact"/>
              <w:jc w:val="left"/>
            </w:pPr>
            <w:r>
              <w:t xml:space="preserve">All mines</w:t>
            </w:r>
          </w:p>
        </w:tc>
        <w:tc>
          <w:tcPr/>
          <w:p>
            <w:pPr>
              <w:pStyle w:val="Compact"/>
              <w:jc w:val="left"/>
            </w:pPr>
            <w:r>
              <w:t xml:space="preserve">Build a </w:t>
            </w:r>
            <w:r>
              <w:rPr>
                <w:rStyle w:val="VerbatimChar"/>
              </w:rPr>
              <w:t xml:space="preserve">networkx</w:t>
            </w:r>
            <w:r>
              <w:t xml:space="preserve"> KPI dependency graph</w:t>
            </w:r>
          </w:p>
        </w:tc>
      </w:tr>
      <w:tr>
        <w:tc>
          <w:tcPr/>
          <w:p>
            <w:pPr>
              <w:pStyle w:val="Compact"/>
              <w:jc w:val="left"/>
            </w:pPr>
            <w:r>
              <w:t xml:space="preserve">NB-57</w:t>
            </w:r>
          </w:p>
        </w:tc>
        <w:tc>
          <w:tcPr/>
          <w:p>
            <w:pPr>
              <w:pStyle w:val="Compact"/>
              <w:jc w:val="left"/>
            </w:pPr>
            <w:r>
              <w:t xml:space="preserve">ESG Reporting — Scope-1 Roll-up</w:t>
            </w:r>
          </w:p>
        </w:tc>
        <w:tc>
          <w:tcPr/>
          <w:p>
            <w:pPr>
              <w:pStyle w:val="Compact"/>
              <w:jc w:val="left"/>
            </w:pPr>
            <w:r>
              <w:t xml:space="preserve">All mines</w:t>
            </w:r>
          </w:p>
        </w:tc>
        <w:tc>
          <w:tcPr/>
          <w:p>
            <w:pPr>
              <w:pStyle w:val="Compact"/>
              <w:jc w:val="left"/>
            </w:pPr>
            <w:r>
              <w:t xml:space="preserve">Annual CO₂e by mine; intensity trajectory</w:t>
            </w:r>
          </w:p>
        </w:tc>
      </w:tr>
      <w:tr>
        <w:tc>
          <w:tcPr/>
          <w:p>
            <w:pPr>
              <w:pStyle w:val="Compact"/>
              <w:jc w:val="left"/>
            </w:pPr>
            <w:r>
              <w:t xml:space="preserve">NB-58</w:t>
            </w:r>
          </w:p>
        </w:tc>
        <w:tc>
          <w:tcPr/>
          <w:p>
            <w:pPr>
              <w:pStyle w:val="Compact"/>
              <w:jc w:val="left"/>
            </w:pPr>
            <w:r>
              <w:t xml:space="preserve">Water Intensity Analysis</w:t>
            </w:r>
          </w:p>
        </w:tc>
        <w:tc>
          <w:tcPr/>
          <w:p>
            <w:pPr>
              <w:pStyle w:val="Compact"/>
              <w:jc w:val="left"/>
            </w:pPr>
            <w:r>
              <w:t xml:space="preserve">Green Valley</w:t>
            </w:r>
          </w:p>
        </w:tc>
        <w:tc>
          <w:tcPr/>
          <w:p>
            <w:pPr>
              <w:pStyle w:val="Compact"/>
              <w:jc w:val="left"/>
            </w:pPr>
            <w:r>
              <w:t xml:space="preserve">Water per tonne; recycle ratio</w:t>
            </w:r>
          </w:p>
        </w:tc>
      </w:tr>
      <w:tr>
        <w:tc>
          <w:tcPr/>
          <w:p>
            <w:pPr>
              <w:pStyle w:val="Compact"/>
              <w:jc w:val="left"/>
            </w:pPr>
            <w:r>
              <w:t xml:space="preserve">NB-59</w:t>
            </w:r>
          </w:p>
        </w:tc>
        <w:tc>
          <w:tcPr/>
          <w:p>
            <w:pPr>
              <w:pStyle w:val="Compact"/>
              <w:jc w:val="left"/>
            </w:pPr>
            <w:r>
              <w:t xml:space="preserve">Underground Coal — Development Rates</w:t>
            </w:r>
          </w:p>
        </w:tc>
        <w:tc>
          <w:tcPr/>
          <w:p>
            <w:pPr>
              <w:pStyle w:val="Compact"/>
              <w:jc w:val="left"/>
            </w:pPr>
            <w:r>
              <w:t xml:space="preserve">Black Diamond</w:t>
            </w:r>
          </w:p>
        </w:tc>
        <w:tc>
          <w:tcPr/>
          <w:p>
            <w:pPr>
              <w:pStyle w:val="Compact"/>
              <w:jc w:val="left"/>
            </w:pPr>
            <w:r>
              <w:t xml:space="preserve">Face advance per cut; development KPIs</w:t>
            </w:r>
          </w:p>
        </w:tc>
      </w:tr>
      <w:tr>
        <w:tc>
          <w:tcPr/>
          <w:p>
            <w:pPr>
              <w:pStyle w:val="Compact"/>
              <w:jc w:val="left"/>
            </w:pPr>
            <w:r>
              <w:t xml:space="preserve">NB-60</w:t>
            </w:r>
          </w:p>
        </w:tc>
        <w:tc>
          <w:tcPr/>
          <w:p>
            <w:pPr>
              <w:pStyle w:val="Compact"/>
              <w:jc w:val="left"/>
            </w:pPr>
            <w:r>
              <w:t xml:space="preserve">Advanced Challenge — Integrated Mine Analytics</w:t>
            </w:r>
          </w:p>
        </w:tc>
        <w:tc>
          <w:tcPr/>
          <w:p>
            <w:pPr>
              <w:pStyle w:val="Compact"/>
              <w:jc w:val="left"/>
            </w:pPr>
            <w:r>
              <w:t xml:space="preserve">All mines</w:t>
            </w:r>
          </w:p>
        </w:tc>
        <w:tc>
          <w:tcPr/>
          <w:p>
            <w:pPr>
              <w:pStyle w:val="Compact"/>
              <w:jc w:val="left"/>
            </w:pPr>
            <w:r>
              <w:t xml:space="preserve">Full analytics pipeline from raw CSV to board KPI report</w:t>
            </w:r>
          </w:p>
        </w:tc>
      </w:tr>
    </w:tbl>
    <w:bookmarkEnd w:id="100"/>
    <w:bookmarkStart w:id="101" w:name="level-4-expert-nb-61-to-nb-80"/>
    <w:p>
      <w:pPr>
        <w:pStyle w:val="Heading2"/>
      </w:pPr>
      <w:bookmarkStart w:id="930064" w:name="_TocLBSv1_930064"/>
      <w:r>
        <w:t xml:space="preserve">Level 4 — Expert (NB-61 to NB-80)</w:t>
      </w:r>
      <w:bookmarkEnd w:id="930064"/>
    </w:p>
    <w:p>
      <w:pPr>
        <w:pStyle w:val="FirstParagraph"/>
      </w:pPr>
      <w:r>
        <w:rPr>
          <w:bCs/>
          <w:b/>
        </w:rPr>
        <w:t xml:space="preserve">Theme.</w:t>
      </w:r>
      <w:r>
        <w:t xml:space="preserve"> Digital Twin, Decision Intelligence, and AI agents.</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Notebook</w:t>
            </w:r>
          </w:p>
        </w:tc>
        <w:tc>
          <w:tcPr/>
          <w:p>
            <w:pPr>
              <w:pStyle w:val="Compact"/>
              <w:jc w:val="left"/>
            </w:pPr>
            <w:r>
              <w:t xml:space="preserve">Title</w:t>
            </w:r>
          </w:p>
        </w:tc>
        <w:tc>
          <w:tcPr/>
          <w:p>
            <w:pPr>
              <w:pStyle w:val="Compact"/>
              <w:jc w:val="left"/>
            </w:pPr>
            <w:r>
              <w:t xml:space="preserve">Focus</w:t>
            </w:r>
          </w:p>
        </w:tc>
      </w:tr>
      <w:tr>
        <w:tc>
          <w:tcPr/>
          <w:p>
            <w:pPr>
              <w:pStyle w:val="Compact"/>
              <w:jc w:val="left"/>
            </w:pPr>
            <w:r>
              <w:t xml:space="preserve">NB-61</w:t>
            </w:r>
          </w:p>
        </w:tc>
        <w:tc>
          <w:tcPr/>
          <w:p>
            <w:pPr>
              <w:pStyle w:val="Compact"/>
              <w:jc w:val="left"/>
            </w:pPr>
            <w:r>
              <w:t xml:space="preserve">Digital Twin Foundations — State Synchronisation</w:t>
            </w:r>
          </w:p>
        </w:tc>
        <w:tc>
          <w:tcPr/>
          <w:p>
            <w:pPr>
              <w:pStyle w:val="Compact"/>
              <w:jc w:val="left"/>
            </w:pPr>
            <w:r>
              <w:t xml:space="preserve">How the twin consumes events and maintains live KPI state</w:t>
            </w:r>
          </w:p>
        </w:tc>
      </w:tr>
      <w:tr>
        <w:tc>
          <w:tcPr/>
          <w:p>
            <w:pPr>
              <w:pStyle w:val="Compact"/>
              <w:jc w:val="left"/>
            </w:pPr>
            <w:r>
              <w:t xml:space="preserve">NB-62</w:t>
            </w:r>
          </w:p>
        </w:tc>
        <w:tc>
          <w:tcPr/>
          <w:p>
            <w:pPr>
              <w:pStyle w:val="Compact"/>
              <w:jc w:val="left"/>
            </w:pPr>
            <w:r>
              <w:t xml:space="preserve">Building a Truck-Fleet Twin</w:t>
            </w:r>
          </w:p>
        </w:tc>
        <w:tc>
          <w:tcPr/>
          <w:p>
            <w:pPr>
              <w:pStyle w:val="Compact"/>
              <w:jc w:val="left"/>
            </w:pPr>
            <w:r>
              <w:t xml:space="preserve">Implement a </w:t>
            </w:r>
            <w:r>
              <w:rPr>
                <w:rStyle w:val="VerbatimChar"/>
              </w:rPr>
              <w:t xml:space="preserve">DigitalTwin</w:t>
            </w:r>
            <w:r>
              <w:t xml:space="preserve"> for the Pilbara Ridge truck fleet</w:t>
            </w:r>
          </w:p>
        </w:tc>
      </w:tr>
      <w:tr>
        <w:tc>
          <w:tcPr/>
          <w:p>
            <w:pPr>
              <w:pStyle w:val="Compact"/>
              <w:jc w:val="left"/>
            </w:pPr>
            <w:r>
              <w:t xml:space="preserve">NB-63</w:t>
            </w:r>
          </w:p>
        </w:tc>
        <w:tc>
          <w:tcPr/>
          <w:p>
            <w:pPr>
              <w:pStyle w:val="Compact"/>
              <w:jc w:val="left"/>
            </w:pPr>
            <w:r>
              <w:t xml:space="preserve">Twin Divergence Detection</w:t>
            </w:r>
          </w:p>
        </w:tc>
        <w:tc>
          <w:tcPr/>
          <w:p>
            <w:pPr>
              <w:pStyle w:val="Compact"/>
              <w:jc w:val="left"/>
            </w:pPr>
            <w:r>
              <w:t xml:space="preserve">Spot when the twin’s predicted TPH diverges from actual</w:t>
            </w:r>
          </w:p>
        </w:tc>
      </w:tr>
      <w:tr>
        <w:tc>
          <w:tcPr/>
          <w:p>
            <w:pPr>
              <w:pStyle w:val="Compact"/>
              <w:jc w:val="left"/>
            </w:pPr>
            <w:r>
              <w:t xml:space="preserve">NB-64</w:t>
            </w:r>
          </w:p>
        </w:tc>
        <w:tc>
          <w:tcPr/>
          <w:p>
            <w:pPr>
              <w:pStyle w:val="Compact"/>
              <w:jc w:val="left"/>
            </w:pPr>
            <w:r>
              <w:t xml:space="preserve">Predictive Availability — Failure Probability</w:t>
            </w:r>
          </w:p>
        </w:tc>
        <w:tc>
          <w:tcPr/>
          <w:p>
            <w:pPr>
              <w:pStyle w:val="Compact"/>
              <w:jc w:val="left"/>
            </w:pPr>
            <w:r>
              <w:t xml:space="preserve">Use MTBF distribution to forecast next failure</w:t>
            </w:r>
          </w:p>
        </w:tc>
      </w:tr>
      <w:tr>
        <w:tc>
          <w:tcPr/>
          <w:p>
            <w:pPr>
              <w:pStyle w:val="Compact"/>
              <w:jc w:val="left"/>
            </w:pPr>
            <w:r>
              <w:t xml:space="preserve">NB-65</w:t>
            </w:r>
          </w:p>
        </w:tc>
        <w:tc>
          <w:tcPr/>
          <w:p>
            <w:pPr>
              <w:pStyle w:val="Compact"/>
              <w:jc w:val="left"/>
            </w:pPr>
            <w:r>
              <w:t xml:space="preserve">Decision Intelligence — Routing a KPI Alert</w:t>
            </w:r>
          </w:p>
        </w:tc>
        <w:tc>
          <w:tcPr/>
          <w:p>
            <w:pPr>
              <w:pStyle w:val="Compact"/>
              <w:jc w:val="left"/>
            </w:pPr>
            <w:r>
              <w:t xml:space="preserve">Implement a </w:t>
            </w:r>
            <w:r>
              <w:rPr>
                <w:rStyle w:val="VerbatimChar"/>
              </w:rPr>
              <w:t xml:space="preserve">DecisionEngine</w:t>
            </w:r>
            <w:r>
              <w:t xml:space="preserve"> rule: low PA → maintenance escalation</w:t>
            </w:r>
          </w:p>
        </w:tc>
      </w:tr>
      <w:tr>
        <w:tc>
          <w:tcPr/>
          <w:p>
            <w:pPr>
              <w:pStyle w:val="Compact"/>
              <w:jc w:val="left"/>
            </w:pPr>
            <w:r>
              <w:t xml:space="preserve">NB-66</w:t>
            </w:r>
          </w:p>
        </w:tc>
        <w:tc>
          <w:tcPr/>
          <w:p>
            <w:pPr>
              <w:pStyle w:val="Compact"/>
              <w:jc w:val="left"/>
            </w:pPr>
            <w:r>
              <w:t xml:space="preserve">AI Agent — Shift Summary Generator</w:t>
            </w:r>
          </w:p>
        </w:tc>
        <w:tc>
          <w:tcPr/>
          <w:p>
            <w:pPr>
              <w:pStyle w:val="Compact"/>
              <w:jc w:val="left"/>
            </w:pPr>
            <w:r>
              <w:t xml:space="preserve">Use the Claude API to generate a natural-language shift report</w:t>
            </w:r>
          </w:p>
        </w:tc>
      </w:tr>
      <w:tr>
        <w:tc>
          <w:tcPr/>
          <w:p>
            <w:pPr>
              <w:pStyle w:val="Compact"/>
              <w:jc w:val="left"/>
            </w:pPr>
            <w:r>
              <w:t xml:space="preserve">NB-67</w:t>
            </w:r>
          </w:p>
        </w:tc>
        <w:tc>
          <w:tcPr/>
          <w:p>
            <w:pPr>
              <w:pStyle w:val="Compact"/>
              <w:jc w:val="left"/>
            </w:pPr>
            <w:r>
              <w:t xml:space="preserve">AI Agent — Root Cause Explainer</w:t>
            </w:r>
          </w:p>
        </w:tc>
        <w:tc>
          <w:tcPr/>
          <w:p>
            <w:pPr>
              <w:pStyle w:val="Compact"/>
              <w:jc w:val="left"/>
            </w:pPr>
            <w:r>
              <w:t xml:space="preserve">Feed a TPH drop to the Claude API; structured root-cause response</w:t>
            </w:r>
          </w:p>
        </w:tc>
      </w:tr>
      <w:tr>
        <w:tc>
          <w:tcPr/>
          <w:p>
            <w:pPr>
              <w:pStyle w:val="Compact"/>
              <w:jc w:val="left"/>
            </w:pPr>
            <w:r>
              <w:t xml:space="preserve">NB-68</w:t>
            </w:r>
          </w:p>
        </w:tc>
        <w:tc>
          <w:tcPr/>
          <w:p>
            <w:pPr>
              <w:pStyle w:val="Compact"/>
              <w:jc w:val="left"/>
            </w:pPr>
            <w:r>
              <w:t xml:space="preserve">AI Agent — Delay Investigator</w:t>
            </w:r>
          </w:p>
        </w:tc>
        <w:tc>
          <w:tcPr/>
          <w:p>
            <w:pPr>
              <w:pStyle w:val="Compact"/>
              <w:jc w:val="left"/>
            </w:pPr>
            <w:r>
              <w:t xml:space="preserve">Chain KPI lookup → delay Pareto → Claude API → actionable narrative</w:t>
            </w:r>
          </w:p>
        </w:tc>
      </w:tr>
      <w:tr>
        <w:tc>
          <w:tcPr/>
          <w:p>
            <w:pPr>
              <w:pStyle w:val="Compact"/>
              <w:jc w:val="left"/>
            </w:pPr>
            <w:r>
              <w:t xml:space="preserve">NB-69</w:t>
            </w:r>
          </w:p>
        </w:tc>
        <w:tc>
          <w:tcPr/>
          <w:p>
            <w:pPr>
              <w:pStyle w:val="Compact"/>
              <w:jc w:val="left"/>
            </w:pPr>
            <w:r>
              <w:t xml:space="preserve">Knowledge Graph Querying</w:t>
            </w:r>
          </w:p>
        </w:tc>
        <w:tc>
          <w:tcPr/>
          <w:p>
            <w:pPr>
              <w:pStyle w:val="Compact"/>
              <w:jc w:val="left"/>
            </w:pPr>
            <w:r>
              <w:t>Query the ontology graph; “what KPIs depend on UTIL.PA?”</w:t>
            </w:r>
          </w:p>
        </w:tc>
      </w:tr>
      <w:tr>
        <w:tc>
          <w:tcPr/>
          <w:p>
            <w:pPr>
              <w:pStyle w:val="Compact"/>
              <w:jc w:val="left"/>
            </w:pPr>
            <w:r>
              <w:t xml:space="preserve">NB-70</w:t>
            </w:r>
          </w:p>
        </w:tc>
        <w:tc>
          <w:tcPr/>
          <w:p>
            <w:pPr>
              <w:pStyle w:val="Compact"/>
              <w:jc w:val="left"/>
            </w:pPr>
            <w:r>
              <w:t xml:space="preserve">Multi-Mine Digital Twin</w:t>
            </w:r>
          </w:p>
        </w:tc>
        <w:tc>
          <w:tcPr/>
          <w:p>
            <w:pPr>
              <w:pStyle w:val="Compact"/>
              <w:jc w:val="left"/>
            </w:pPr>
            <w:r>
              <w:t xml:space="preserve">One twin watching all five mines simultaneously</w:t>
            </w:r>
          </w:p>
        </w:tc>
      </w:tr>
      <w:tr>
        <w:tc>
          <w:tcPr/>
          <w:p>
            <w:pPr>
              <w:pStyle w:val="Compact"/>
              <w:jc w:val="left"/>
            </w:pPr>
            <w:r>
              <w:t xml:space="preserve">NB-71</w:t>
            </w:r>
          </w:p>
        </w:tc>
        <w:tc>
          <w:tcPr/>
          <w:p>
            <w:pPr>
              <w:pStyle w:val="Compact"/>
              <w:jc w:val="left"/>
            </w:pPr>
            <w:r>
              <w:t xml:space="preserve">Autonomous Dispatch Simulation</w:t>
            </w:r>
          </w:p>
        </w:tc>
        <w:tc>
          <w:tcPr/>
          <w:p>
            <w:pPr>
              <w:pStyle w:val="Compact"/>
              <w:jc w:val="left"/>
            </w:pPr>
            <w:r>
              <w:t xml:space="preserve">Simulate a HAUL.MatchFactor-based truck-assignment agent</w:t>
            </w:r>
          </w:p>
        </w:tc>
      </w:tr>
      <w:tr>
        <w:tc>
          <w:tcPr/>
          <w:p>
            <w:pPr>
              <w:pStyle w:val="Compact"/>
              <w:jc w:val="left"/>
            </w:pPr>
            <w:r>
              <w:t xml:space="preserve">NB-72</w:t>
            </w:r>
          </w:p>
        </w:tc>
        <w:tc>
          <w:tcPr/>
          <w:p>
            <w:pPr>
              <w:pStyle w:val="Compact"/>
              <w:jc w:val="left"/>
            </w:pPr>
            <w:r>
              <w:t xml:space="preserve">Streaming Analytics — Real-time KPIs</w:t>
            </w:r>
          </w:p>
        </w:tc>
        <w:tc>
          <w:tcPr/>
          <w:p>
            <w:pPr>
              <w:pStyle w:val="Compact"/>
              <w:jc w:val="left"/>
            </w:pPr>
            <w:r>
              <w:rPr>
                <w:rStyle w:val="VerbatimChar"/>
              </w:rPr>
              <w:t xml:space="preserve">asyncio</w:t>
            </w:r>
            <w:r>
              <w:t xml:space="preserve">-based streaming event processor; live KPI updates</w:t>
            </w:r>
          </w:p>
        </w:tc>
      </w:tr>
      <w:tr>
        <w:tc>
          <w:tcPr/>
          <w:p>
            <w:pPr>
              <w:pStyle w:val="Compact"/>
              <w:jc w:val="left"/>
            </w:pPr>
            <w:r>
              <w:t xml:space="preserve">NB-73</w:t>
            </w:r>
          </w:p>
        </w:tc>
        <w:tc>
          <w:tcPr/>
          <w:p>
            <w:pPr>
              <w:pStyle w:val="Compact"/>
              <w:jc w:val="left"/>
            </w:pPr>
            <w:r>
              <w:t xml:space="preserve">Reinforcement Learning Environment</w:t>
            </w:r>
          </w:p>
        </w:tc>
        <w:tc>
          <w:tcPr/>
          <w:p>
            <w:pPr>
              <w:pStyle w:val="Compact"/>
              <w:jc w:val="left"/>
            </w:pPr>
            <w:r>
              <w:t xml:space="preserve">Mine environment for RL fleet-dispatch experiments</w:t>
            </w:r>
          </w:p>
        </w:tc>
      </w:tr>
      <w:tr>
        <w:tc>
          <w:tcPr/>
          <w:p>
            <w:pPr>
              <w:pStyle w:val="Compact"/>
              <w:jc w:val="left"/>
            </w:pPr>
            <w:r>
              <w:t xml:space="preserve">NB-74</w:t>
            </w:r>
          </w:p>
        </w:tc>
        <w:tc>
          <w:tcPr/>
          <w:p>
            <w:pPr>
              <w:pStyle w:val="Compact"/>
              <w:jc w:val="left"/>
            </w:pPr>
            <w:r>
              <w:t xml:space="preserve">Fleet Optimisation with </w:t>
            </w:r>
            <w:r>
              <w:rPr>
                <w:rStyle w:val="VerbatimChar"/>
              </w:rPr>
              <w:t xml:space="preserve">scipy.optimize</w:t>
            </w:r>
          </w:p>
        </w:tc>
        <w:tc>
          <w:tcPr/>
          <w:p>
            <w:pPr>
              <w:pStyle w:val="Compact"/>
              <w:jc w:val="left"/>
            </w:pPr>
            <w:r>
              <w:t xml:space="preserve">Minimise cost/tonne by optimising truck count per route</w:t>
            </w:r>
          </w:p>
        </w:tc>
      </w:tr>
      <w:tr>
        <w:tc>
          <w:tcPr/>
          <w:p>
            <w:pPr>
              <w:pStyle w:val="Compact"/>
              <w:jc w:val="left"/>
            </w:pPr>
            <w:r>
              <w:t xml:space="preserve">NB-75</w:t>
            </w:r>
          </w:p>
        </w:tc>
        <w:tc>
          <w:tcPr/>
          <w:p>
            <w:pPr>
              <w:pStyle w:val="Compact"/>
              <w:jc w:val="left"/>
            </w:pPr>
            <w:r>
              <w:t xml:space="preserve">Simulation — Discrete Event Mine Model</w:t>
            </w:r>
          </w:p>
        </w:tc>
        <w:tc>
          <w:tcPr/>
          <w:p>
            <w:pPr>
              <w:pStyle w:val="Compact"/>
              <w:jc w:val="left"/>
            </w:pPr>
            <w:r>
              <w:t xml:space="preserve">Full DES of a truck-shovel operation using </w:t>
            </w:r>
            <w:r>
              <w:rPr>
                <w:rStyle w:val="VerbatimChar"/>
              </w:rPr>
              <w:t xml:space="preserve">simpy</w:t>
            </w:r>
          </w:p>
        </w:tc>
      </w:tr>
      <w:tr>
        <w:tc>
          <w:tcPr/>
          <w:p>
            <w:pPr>
              <w:pStyle w:val="Compact"/>
              <w:jc w:val="left"/>
            </w:pPr>
            <w:r>
              <w:t xml:space="preserve">NB-76</w:t>
            </w:r>
          </w:p>
        </w:tc>
        <w:tc>
          <w:tcPr/>
          <w:p>
            <w:pPr>
              <w:pStyle w:val="Compact"/>
              <w:jc w:val="left"/>
            </w:pPr>
            <w:r>
              <w:t xml:space="preserve">Ontology-Driven KPI Discovery</w:t>
            </w:r>
          </w:p>
        </w:tc>
        <w:tc>
          <w:tcPr/>
          <w:p>
            <w:pPr>
              <w:pStyle w:val="Compact"/>
              <w:jc w:val="left"/>
            </w:pPr>
            <w:r>
              <w:t xml:space="preserve">Given a dataset, discover applicable KPIs automatically</w:t>
            </w:r>
          </w:p>
        </w:tc>
      </w:tr>
      <w:tr>
        <w:tc>
          <w:tcPr/>
          <w:p>
            <w:pPr>
              <w:pStyle w:val="Compact"/>
              <w:jc w:val="left"/>
            </w:pPr>
            <w:r>
              <w:t xml:space="preserve">NB-77</w:t>
            </w:r>
          </w:p>
        </w:tc>
        <w:tc>
          <w:tcPr/>
          <w:p>
            <w:pPr>
              <w:pStyle w:val="Compact"/>
              <w:jc w:val="left"/>
            </w:pPr>
            <w:r>
              <w:t xml:space="preserve">Certification Pre-Flight Check</w:t>
            </w:r>
          </w:p>
        </w:tc>
        <w:tc>
          <w:tcPr/>
          <w:p>
            <w:pPr>
              <w:pStyle w:val="Compact"/>
              <w:jc w:val="left"/>
            </w:pPr>
            <w:r>
              <w:t xml:space="preserve">Run the full certification test suite against your implementation</w:t>
            </w:r>
          </w:p>
        </w:tc>
      </w:tr>
      <w:tr>
        <w:tc>
          <w:tcPr/>
          <w:p>
            <w:pPr>
              <w:pStyle w:val="Compact"/>
              <w:jc w:val="left"/>
            </w:pPr>
            <w:r>
              <w:t xml:space="preserve">NB-78</w:t>
            </w:r>
          </w:p>
        </w:tc>
        <w:tc>
          <w:tcPr/>
          <w:p>
            <w:pPr>
              <w:pStyle w:val="Compact"/>
              <w:jc w:val="left"/>
            </w:pPr>
            <w:r>
              <w:t xml:space="preserve">AI Benchmark Comparison</w:t>
            </w:r>
          </w:p>
        </w:tc>
        <w:tc>
          <w:tcPr/>
          <w:p>
            <w:pPr>
              <w:pStyle w:val="Compact"/>
              <w:jc w:val="left"/>
            </w:pPr>
            <w:r>
              <w:t xml:space="preserve">Submit to and retrieve from the benchmark registry</w:t>
            </w:r>
          </w:p>
        </w:tc>
      </w:tr>
      <w:tr>
        <w:tc>
          <w:tcPr/>
          <w:p>
            <w:pPr>
              <w:pStyle w:val="Compact"/>
              <w:jc w:val="left"/>
            </w:pPr>
            <w:r>
              <w:t xml:space="preserve">NB-79</w:t>
            </w:r>
          </w:p>
        </w:tc>
        <w:tc>
          <w:tcPr/>
          <w:p>
            <w:pPr>
              <w:pStyle w:val="Compact"/>
              <w:jc w:val="left"/>
            </w:pPr>
            <w:r>
              <w:t xml:space="preserve">Conference Demo — 20-Minute Live Demo Pack</w:t>
            </w:r>
          </w:p>
        </w:tc>
        <w:tc>
          <w:tcPr/>
          <w:p>
            <w:pPr>
              <w:pStyle w:val="Compact"/>
              <w:jc w:val="left"/>
            </w:pPr>
            <w:r>
              <w:t xml:space="preserve">Complete self-contained demo for live conference presentation</w:t>
            </w:r>
          </w:p>
        </w:tc>
      </w:tr>
      <w:tr>
        <w:tc>
          <w:tcPr/>
          <w:p>
            <w:pPr>
              <w:pStyle w:val="Compact"/>
              <w:jc w:val="left"/>
            </w:pPr>
            <w:r>
              <w:t xml:space="preserve">NB-80</w:t>
            </w:r>
          </w:p>
        </w:tc>
        <w:tc>
          <w:tcPr/>
          <w:p>
            <w:pPr>
              <w:pStyle w:val="Compact"/>
              <w:jc w:val="left"/>
            </w:pPr>
            <w:r>
              <w:t xml:space="preserve">Expert Challenge — End-to-End Mine Intelligence System</w:t>
            </w:r>
          </w:p>
        </w:tc>
        <w:tc>
          <w:tcPr/>
          <w:p>
            <w:pPr>
              <w:pStyle w:val="Compact"/>
              <w:jc w:val="left"/>
            </w:pPr>
            <w:r>
              <w:t xml:space="preserve">Full pipeline: streaming events → twin → agent → recommendation</w:t>
            </w:r>
          </w:p>
        </w:tc>
      </w:tr>
    </w:tbl>
    <w:bookmarkEnd w:id="101"/>
    <w:bookmarkStart w:id="102" w:name="level-5-specialist-nb-81-to-nb-95"/>
    <w:p>
      <w:pPr>
        <w:pStyle w:val="Heading2"/>
      </w:pPr>
      <w:bookmarkStart w:id="930065" w:name="_TocLBSv1_930065"/>
      <w:r>
        <w:t xml:space="preserve">Level 5 — Specialist (NB-81 to NB-95)</w:t>
      </w:r>
      <w:bookmarkEnd w:id="930065"/>
    </w:p>
    <w:p>
      <w:pPr>
        <w:pStyle w:val="FirstParagraph"/>
      </w:pPr>
      <w:r>
        <w:rPr>
          <w:bCs/>
          <w:b/>
        </w:rPr>
        <w:t xml:space="preserve">Theme.</w:t>
      </w:r>
      <w:r>
        <w:t xml:space="preserve"> Benchmark &amp; Certification — formal validation of KPI implementations.</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Notebook</w:t>
            </w:r>
          </w:p>
        </w:tc>
        <w:tc>
          <w:tcPr/>
          <w:p>
            <w:pPr>
              <w:pStyle w:val="Compact"/>
              <w:jc w:val="left"/>
            </w:pPr>
            <w:r>
              <w:t xml:space="preserve">Title</w:t>
            </w:r>
          </w:p>
        </w:tc>
        <w:tc>
          <w:tcPr/>
          <w:p>
            <w:pPr>
              <w:pStyle w:val="Compact"/>
              <w:jc w:val="left"/>
            </w:pPr>
            <w:r>
              <w:t xml:space="preserve">Focus</w:t>
            </w:r>
          </w:p>
        </w:tc>
      </w:tr>
      <w:tr>
        <w:tc>
          <w:tcPr/>
          <w:p>
            <w:pPr>
              <w:pStyle w:val="Compact"/>
              <w:jc w:val="left"/>
            </w:pPr>
            <w:r>
              <w:t xml:space="preserve">NB-81</w:t>
            </w:r>
          </w:p>
        </w:tc>
        <w:tc>
          <w:tcPr/>
          <w:p>
            <w:pPr>
              <w:pStyle w:val="Compact"/>
              <w:jc w:val="left"/>
            </w:pPr>
            <w:r>
              <w:t xml:space="preserve">Certification Dataset — Golden Run</w:t>
            </w:r>
          </w:p>
        </w:tc>
        <w:tc>
          <w:tcPr/>
          <w:p>
            <w:pPr>
              <w:pStyle w:val="Compact"/>
              <w:jc w:val="left"/>
            </w:pPr>
            <w:r>
              <w:t xml:space="preserve">Run canonical datasets; confirm every Active KPI matches expected output</w:t>
            </w:r>
          </w:p>
        </w:tc>
      </w:tr>
      <w:tr>
        <w:tc>
          <w:tcPr/>
          <w:p>
            <w:pPr>
              <w:pStyle w:val="Compact"/>
              <w:jc w:val="left"/>
            </w:pPr>
            <w:r>
              <w:t xml:space="preserve">NB-82</w:t>
            </w:r>
          </w:p>
        </w:tc>
        <w:tc>
          <w:tcPr/>
          <w:p>
            <w:pPr>
              <w:pStyle w:val="Compact"/>
              <w:jc w:val="left"/>
            </w:pPr>
            <w:r>
              <w:t xml:space="preserve">Unit Test Suite — Production KPIs</w:t>
            </w:r>
          </w:p>
        </w:tc>
        <w:tc>
          <w:tcPr/>
          <w:p>
            <w:pPr>
              <w:pStyle w:val="Compact"/>
              <w:jc w:val="left"/>
            </w:pPr>
            <w:r>
              <w:rPr>
                <w:rStyle w:val="VerbatimChar"/>
              </w:rPr>
              <w:t xml:space="preserve">pytest</w:t>
            </w:r>
            <w:r>
              <w:t xml:space="preserve"> suite for all </w:t>
            </w:r>
            <w:r>
              <w:rPr>
                <w:rStyle w:val="VerbatimChar"/>
              </w:rPr>
              <w:t xml:space="preserve">PROD.*</w:t>
            </w:r>
            <w:r>
              <w:t xml:space="preserve"> Active KPIs</w:t>
            </w:r>
          </w:p>
        </w:tc>
      </w:tr>
      <w:tr>
        <w:tc>
          <w:tcPr/>
          <w:p>
            <w:pPr>
              <w:pStyle w:val="Compact"/>
              <w:jc w:val="left"/>
            </w:pPr>
            <w:r>
              <w:t xml:space="preserve">NB-83</w:t>
            </w:r>
          </w:p>
        </w:tc>
        <w:tc>
          <w:tcPr/>
          <w:p>
            <w:pPr>
              <w:pStyle w:val="Compact"/>
              <w:jc w:val="left"/>
            </w:pPr>
            <w:r>
              <w:t xml:space="preserve">Unit Test Suite — UTIL/MAINT KPIs</w:t>
            </w:r>
          </w:p>
        </w:tc>
        <w:tc>
          <w:tcPr/>
          <w:p>
            <w:pPr>
              <w:pStyle w:val="Compact"/>
              <w:jc w:val="left"/>
            </w:pPr>
            <w:r>
              <w:rPr>
                <w:rStyle w:val="VerbatimChar"/>
              </w:rPr>
              <w:t xml:space="preserve">pytest</w:t>
            </w:r>
            <w:r>
              <w:t xml:space="preserve"> suite for </w:t>
            </w:r>
            <w:r>
              <w:rPr>
                <w:rStyle w:val="VerbatimChar"/>
              </w:rPr>
              <w:t xml:space="preserve">UTIL.*</w:t>
            </w:r>
            <w:r>
              <w:t xml:space="preserve"> and </w:t>
            </w:r>
            <w:r>
              <w:rPr>
                <w:rStyle w:val="VerbatimChar"/>
              </w:rPr>
              <w:t xml:space="preserve">MAINT.*</w:t>
            </w:r>
          </w:p>
        </w:tc>
      </w:tr>
      <w:tr>
        <w:tc>
          <w:tcPr/>
          <w:p>
            <w:pPr>
              <w:pStyle w:val="Compact"/>
              <w:jc w:val="left"/>
            </w:pPr>
            <w:r>
              <w:t xml:space="preserve">NB-84</w:t>
            </w:r>
          </w:p>
        </w:tc>
        <w:tc>
          <w:tcPr/>
          <w:p>
            <w:pPr>
              <w:pStyle w:val="Compact"/>
              <w:jc w:val="left"/>
            </w:pPr>
            <w:r>
              <w:t xml:space="preserve">Unit Test Suite — HAUL/DELAY/ENERGY</w:t>
            </w:r>
          </w:p>
        </w:tc>
        <w:tc>
          <w:tcPr/>
          <w:p>
            <w:pPr>
              <w:pStyle w:val="Compact"/>
              <w:jc w:val="left"/>
            </w:pPr>
            <w:r>
              <w:rPr>
                <w:rStyle w:val="VerbatimChar"/>
              </w:rPr>
              <w:t xml:space="preserve">pytest</w:t>
            </w:r>
            <w:r>
              <w:t xml:space="preserve"> suite for remaining Active KPIs</w:t>
            </w:r>
          </w:p>
        </w:tc>
      </w:tr>
      <w:tr>
        <w:tc>
          <w:tcPr/>
          <w:p>
            <w:pPr>
              <w:pStyle w:val="Compact"/>
              <w:jc w:val="left"/>
            </w:pPr>
            <w:r>
              <w:t xml:space="preserve">NB-85</w:t>
            </w:r>
          </w:p>
        </w:tc>
        <w:tc>
          <w:tcPr/>
          <w:p>
            <w:pPr>
              <w:pStyle w:val="Compact"/>
              <w:jc w:val="left"/>
            </w:pPr>
            <w:r>
              <w:t xml:space="preserve">Integration Test — Full Shift Pipeline</w:t>
            </w:r>
          </w:p>
        </w:tc>
        <w:tc>
          <w:tcPr/>
          <w:p>
            <w:pPr>
              <w:pStyle w:val="Compact"/>
              <w:jc w:val="left"/>
            </w:pPr>
            <w:r>
              <w:t xml:space="preserve">End-to-end test: raw CSV → events → engine → KPI values → comparison</w:t>
            </w:r>
          </w:p>
        </w:tc>
      </w:tr>
      <w:tr>
        <w:tc>
          <w:tcPr/>
          <w:p>
            <w:pPr>
              <w:pStyle w:val="Compact"/>
              <w:jc w:val="left"/>
            </w:pPr>
            <w:r>
              <w:t xml:space="preserve">NB-86</w:t>
            </w:r>
          </w:p>
        </w:tc>
        <w:tc>
          <w:tcPr/>
          <w:p>
            <w:pPr>
              <w:pStyle w:val="Compact"/>
              <w:jc w:val="left"/>
            </w:pPr>
            <w:r>
              <w:t xml:space="preserve">Edge-Case Dataset — Zero Operating Hours</w:t>
            </w:r>
          </w:p>
        </w:tc>
        <w:tc>
          <w:tcPr/>
          <w:p>
            <w:pPr>
              <w:pStyle w:val="Compact"/>
              <w:jc w:val="left"/>
            </w:pPr>
            <w:r>
              <w:t>Zero-production shift; verify “no KPI” rather than error</w:t>
            </w:r>
          </w:p>
        </w:tc>
      </w:tr>
      <w:tr>
        <w:tc>
          <w:tcPr/>
          <w:p>
            <w:pPr>
              <w:pStyle w:val="Compact"/>
              <w:jc w:val="left"/>
            </w:pPr>
            <w:r>
              <w:t xml:space="preserve">NB-87</w:t>
            </w:r>
          </w:p>
        </w:tc>
        <w:tc>
          <w:tcPr/>
          <w:p>
            <w:pPr>
              <w:pStyle w:val="Compact"/>
              <w:jc w:val="left"/>
            </w:pPr>
            <w:r>
              <w:t xml:space="preserve">Edge-Case Dataset — Missing Payloads</w:t>
            </w:r>
          </w:p>
        </w:tc>
        <w:tc>
          <w:tcPr/>
          <w:p>
            <w:pPr>
              <w:pStyle w:val="Compact"/>
              <w:jc w:val="left"/>
            </w:pPr>
            <w:r>
              <w:t xml:space="preserve">Sparse payload data; imputation strategies and their KPI impact</w:t>
            </w:r>
          </w:p>
        </w:tc>
      </w:tr>
      <w:tr>
        <w:tc>
          <w:tcPr/>
          <w:p>
            <w:pPr>
              <w:pStyle w:val="Compact"/>
              <w:jc w:val="left"/>
            </w:pPr>
            <w:r>
              <w:t xml:space="preserve">NB-88</w:t>
            </w:r>
          </w:p>
        </w:tc>
        <w:tc>
          <w:tcPr/>
          <w:p>
            <w:pPr>
              <w:pStyle w:val="Compact"/>
              <w:jc w:val="left"/>
            </w:pPr>
            <w:r>
              <w:t xml:space="preserve">Edge-Case Dataset — Timezone Scenarios</w:t>
            </w:r>
          </w:p>
        </w:tc>
        <w:tc>
          <w:tcPr/>
          <w:p>
            <w:pPr>
              <w:pStyle w:val="Compact"/>
              <w:jc w:val="left"/>
            </w:pPr>
            <w:r>
              <w:t xml:space="preserve">Cross-midnight shifts; daylight-saving boundary; offshore UTC offsets</w:t>
            </w:r>
          </w:p>
        </w:tc>
      </w:tr>
      <w:tr>
        <w:tc>
          <w:tcPr/>
          <w:p>
            <w:pPr>
              <w:pStyle w:val="Compact"/>
              <w:jc w:val="left"/>
            </w:pPr>
            <w:r>
              <w:t xml:space="preserve">NB-89</w:t>
            </w:r>
          </w:p>
        </w:tc>
        <w:tc>
          <w:tcPr/>
          <w:p>
            <w:pPr>
              <w:pStyle w:val="Compact"/>
              <w:jc w:val="left"/>
            </w:pPr>
            <w:r>
              <w:t xml:space="preserve">Edge-Case Dataset — Corrupted Records</w:t>
            </w:r>
          </w:p>
        </w:tc>
        <w:tc>
          <w:tcPr/>
          <w:p>
            <w:pPr>
              <w:pStyle w:val="Compact"/>
              <w:jc w:val="left"/>
            </w:pPr>
            <w:r>
              <w:t xml:space="preserve">Negative payloads, future timestamps, impossible speeds; validate rejection</w:t>
            </w:r>
          </w:p>
        </w:tc>
      </w:tr>
      <w:tr>
        <w:tc>
          <w:tcPr/>
          <w:p>
            <w:pPr>
              <w:pStyle w:val="Compact"/>
              <w:jc w:val="left"/>
            </w:pPr>
            <w:r>
              <w:t xml:space="preserve">NB-90</w:t>
            </w:r>
          </w:p>
        </w:tc>
        <w:tc>
          <w:tcPr/>
          <w:p>
            <w:pPr>
              <w:pStyle w:val="Compact"/>
              <w:jc w:val="left"/>
            </w:pPr>
            <w:r>
              <w:t xml:space="preserve">Multi-Mine Certification</w:t>
            </w:r>
          </w:p>
        </w:tc>
        <w:tc>
          <w:tcPr/>
          <w:p>
            <w:pPr>
              <w:pStyle w:val="Compact"/>
              <w:jc w:val="left"/>
            </w:pPr>
            <w:r>
              <w:t xml:space="preserve">Run the certification suite across all five mines simultaneously</w:t>
            </w:r>
          </w:p>
        </w:tc>
      </w:tr>
      <w:tr>
        <w:tc>
          <w:tcPr/>
          <w:p>
            <w:pPr>
              <w:pStyle w:val="Compact"/>
              <w:jc w:val="left"/>
            </w:pPr>
            <w:r>
              <w:t xml:space="preserve">NB-91</w:t>
            </w:r>
          </w:p>
        </w:tc>
        <w:tc>
          <w:tcPr/>
          <w:p>
            <w:pPr>
              <w:pStyle w:val="Compact"/>
              <w:jc w:val="left"/>
            </w:pPr>
            <w:r>
              <w:t xml:space="preserve">Benchmark Seeds Validation</w:t>
            </w:r>
          </w:p>
        </w:tc>
        <w:tc>
          <w:tcPr/>
          <w:p>
            <w:pPr>
              <w:pStyle w:val="Compact"/>
              <w:jc w:val="left"/>
            </w:pPr>
            <w:r>
              <w:t xml:space="preserve">Confirm that Excellent/Good/Average/Poor scenarios produce the declared KPI ranges</w:t>
            </w:r>
          </w:p>
        </w:tc>
      </w:tr>
      <w:tr>
        <w:tc>
          <w:tcPr/>
          <w:p>
            <w:pPr>
              <w:pStyle w:val="Compact"/>
              <w:jc w:val="left"/>
            </w:pPr>
            <w:r>
              <w:t xml:space="preserve">NB-92</w:t>
            </w:r>
          </w:p>
        </w:tc>
        <w:tc>
          <w:tcPr/>
          <w:p>
            <w:pPr>
              <w:pStyle w:val="Compact"/>
              <w:jc w:val="left"/>
            </w:pPr>
            <w:r>
              <w:t xml:space="preserve">Regression Test Harness</w:t>
            </w:r>
          </w:p>
        </w:tc>
        <w:tc>
          <w:tcPr/>
          <w:p>
            <w:pPr>
              <w:pStyle w:val="Compact"/>
              <w:jc w:val="left"/>
            </w:pPr>
            <w:r>
              <w:t xml:space="preserve">Automated regression test against stored expected outputs</w:t>
            </w:r>
          </w:p>
        </w:tc>
      </w:tr>
      <w:tr>
        <w:tc>
          <w:tcPr/>
          <w:p>
            <w:pPr>
              <w:pStyle w:val="Compact"/>
              <w:jc w:val="left"/>
            </w:pPr>
            <w:r>
              <w:t xml:space="preserve">NB-93</w:t>
            </w:r>
          </w:p>
        </w:tc>
        <w:tc>
          <w:tcPr/>
          <w:p>
            <w:pPr>
              <w:pStyle w:val="Compact"/>
              <w:jc w:val="left"/>
            </w:pPr>
            <w:r>
              <w:t xml:space="preserve">Performance Benchmarking</w:t>
            </w:r>
          </w:p>
        </w:tc>
        <w:tc>
          <w:tcPr/>
          <w:p>
            <w:pPr>
              <w:pStyle w:val="Compact"/>
              <w:jc w:val="left"/>
            </w:pPr>
            <w:r>
              <w:t xml:space="preserve">1 million cycle events; measure engine throughput; verify scalability guidance</w:t>
            </w:r>
          </w:p>
        </w:tc>
      </w:tr>
      <w:tr>
        <w:tc>
          <w:tcPr/>
          <w:p>
            <w:pPr>
              <w:pStyle w:val="Compact"/>
              <w:jc w:val="left"/>
            </w:pPr>
            <w:r>
              <w:t xml:space="preserve">NB-94</w:t>
            </w:r>
          </w:p>
        </w:tc>
        <w:tc>
          <w:tcPr/>
          <w:p>
            <w:pPr>
              <w:pStyle w:val="Compact"/>
              <w:jc w:val="left"/>
            </w:pPr>
            <w:r>
              <w:t xml:space="preserve">Data-Quality Scoring</w:t>
            </w:r>
          </w:p>
        </w:tc>
        <w:tc>
          <w:tcPr/>
          <w:p>
            <w:pPr>
              <w:pStyle w:val="Compact"/>
              <w:jc w:val="left"/>
            </w:pPr>
            <w:r>
              <w:t xml:space="preserve">Quantify </w:t>
            </w:r>
            <w:r>
              <w:rPr>
                <w:rStyle w:val="VerbatimChar"/>
              </w:rPr>
              <w:t xml:space="preserve">data_quality</w:t>
            </w:r>
            <w:r>
              <w:t xml:space="preserve"> flags’ impact on KPI accuracy</w:t>
            </w:r>
          </w:p>
        </w:tc>
      </w:tr>
      <w:tr>
        <w:tc>
          <w:tcPr/>
          <w:p>
            <w:pPr>
              <w:pStyle w:val="Compact"/>
              <w:jc w:val="left"/>
            </w:pPr>
            <w:r>
              <w:t xml:space="preserve">NB-95</w:t>
            </w:r>
          </w:p>
        </w:tc>
        <w:tc>
          <w:tcPr/>
          <w:p>
            <w:pPr>
              <w:pStyle w:val="Compact"/>
              <w:jc w:val="left"/>
            </w:pPr>
            <w:r>
              <w:t xml:space="preserve">Specialist Challenge — Full Certification Run</w:t>
            </w:r>
          </w:p>
        </w:tc>
        <w:tc>
          <w:tcPr/>
          <w:p>
            <w:pPr>
              <w:pStyle w:val="Compact"/>
              <w:jc w:val="left"/>
            </w:pPr>
            <w:r>
              <w:t xml:space="preserve">Execute the complete certification checklist; produce a signed report</w:t>
            </w:r>
          </w:p>
        </w:tc>
      </w:tr>
    </w:tbl>
    <w:bookmarkEnd w:id="102"/>
    <w:bookmarkStart w:id="103" w:name="level-6-research-nb-96-to-nb-100"/>
    <w:p>
      <w:pPr>
        <w:pStyle w:val="Heading2"/>
      </w:pPr>
      <w:bookmarkStart w:id="930066" w:name="_TocLBSv1_930066"/>
      <w:r>
        <w:t xml:space="preserve">Level 6 — Research (NB-96 to NB-100)</w:t>
      </w:r>
      <w:bookmarkEnd w:id="930066"/>
    </w:p>
    <w:p>
      <w:pPr>
        <w:pStyle w:val="FirstParagraph"/>
      </w:pPr>
      <w:r>
        <w:rPr>
          <w:bCs/>
          <w:b/>
        </w:rPr>
        <w:t xml:space="preserve">Theme.</w:t>
      </w:r>
      <w:r>
        <w:t xml:space="preserve"> Academic teaching, conference demonstrations, and novel research.</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Notebook</w:t>
            </w:r>
          </w:p>
        </w:tc>
        <w:tc>
          <w:tcPr/>
          <w:p>
            <w:pPr>
              <w:pStyle w:val="Compact"/>
              <w:jc w:val="left"/>
            </w:pPr>
            <w:r>
              <w:t xml:space="preserve">Title</w:t>
            </w:r>
          </w:p>
        </w:tc>
        <w:tc>
          <w:tcPr/>
          <w:p>
            <w:pPr>
              <w:pStyle w:val="Compact"/>
              <w:jc w:val="left"/>
            </w:pPr>
            <w:r>
              <w:t xml:space="preserve">Suitable for</w:t>
            </w:r>
          </w:p>
        </w:tc>
      </w:tr>
      <w:tr>
        <w:tc>
          <w:tcPr/>
          <w:p>
            <w:pPr>
              <w:pStyle w:val="Compact"/>
              <w:jc w:val="left"/>
            </w:pPr>
            <w:r>
              <w:t xml:space="preserve">NB-96</w:t>
            </w:r>
          </w:p>
        </w:tc>
        <w:tc>
          <w:tcPr/>
          <w:p>
            <w:pPr>
              <w:pStyle w:val="Compact"/>
              <w:jc w:val="left"/>
            </w:pPr>
            <w:r>
              <w:t xml:space="preserve">University Lecture Pack — Mine Productivity Analytics</w:t>
            </w:r>
          </w:p>
        </w:tc>
        <w:tc>
          <w:tcPr/>
          <w:p>
            <w:pPr>
              <w:pStyle w:val="Compact"/>
              <w:jc w:val="left"/>
            </w:pPr>
            <w:r>
              <w:t xml:space="preserve">Engineering faculty; 2-hour lab</w:t>
            </w:r>
          </w:p>
        </w:tc>
      </w:tr>
      <w:tr>
        <w:tc>
          <w:tcPr/>
          <w:p>
            <w:pPr>
              <w:pStyle w:val="Compact"/>
              <w:jc w:val="left"/>
            </w:pPr>
            <w:r>
              <w:t xml:space="preserve">NB-97</w:t>
            </w:r>
          </w:p>
        </w:tc>
        <w:tc>
          <w:tcPr/>
          <w:p>
            <w:pPr>
              <w:pStyle w:val="Compact"/>
              <w:jc w:val="left"/>
            </w:pPr>
            <w:r>
              <w:t xml:space="preserve">Conference Workshop — 90-Minute Hands-On Session</w:t>
            </w:r>
          </w:p>
        </w:tc>
        <w:tc>
          <w:tcPr/>
          <w:p>
            <w:pPr>
              <w:pStyle w:val="Compact"/>
              <w:jc w:val="left"/>
            </w:pPr>
            <w:r>
              <w:t xml:space="preserve">Mining conference workshop</w:t>
            </w:r>
          </w:p>
        </w:tc>
      </w:tr>
      <w:tr>
        <w:tc>
          <w:tcPr/>
          <w:p>
            <w:pPr>
              <w:pStyle w:val="Compact"/>
              <w:jc w:val="left"/>
            </w:pPr>
            <w:r>
              <w:t xml:space="preserve">NB-98</w:t>
            </w:r>
          </w:p>
        </w:tc>
        <w:tc>
          <w:tcPr/>
          <w:p>
            <w:pPr>
              <w:pStyle w:val="Compact"/>
              <w:jc w:val="left"/>
            </w:pPr>
            <w:r>
              <w:t xml:space="preserve">Novel KPI Development — From Proposal to Registry</w:t>
            </w:r>
          </w:p>
        </w:tc>
        <w:tc>
          <w:tcPr/>
          <w:p>
            <w:pPr>
              <w:pStyle w:val="Compact"/>
              <w:jc w:val="left"/>
            </w:pPr>
            <w:r>
              <w:t xml:space="preserve">AI contributor guide to authoring and submitting a new KPI</w:t>
            </w:r>
          </w:p>
        </w:tc>
      </w:tr>
      <w:tr>
        <w:tc>
          <w:tcPr/>
          <w:p>
            <w:pPr>
              <w:pStyle w:val="Compact"/>
              <w:jc w:val="left"/>
            </w:pPr>
            <w:r>
              <w:t xml:space="preserve">NB-99</w:t>
            </w:r>
          </w:p>
        </w:tc>
        <w:tc>
          <w:tcPr/>
          <w:p>
            <w:pPr>
              <w:pStyle w:val="Compact"/>
              <w:jc w:val="left"/>
            </w:pPr>
            <w:r>
              <w:t xml:space="preserve">Comparative Study — Five Mines, One Year</w:t>
            </w:r>
          </w:p>
        </w:tc>
        <w:tc>
          <w:tcPr/>
          <w:p>
            <w:pPr>
              <w:pStyle w:val="Compact"/>
              <w:jc w:val="left"/>
            </w:pPr>
            <w:r>
              <w:t xml:space="preserve">Academic-style cross-mine analysis with statistical significance testing</w:t>
            </w:r>
          </w:p>
        </w:tc>
      </w:tr>
      <w:tr>
        <w:tc>
          <w:tcPr/>
          <w:p>
            <w:pPr>
              <w:pStyle w:val="Compact"/>
              <w:jc w:val="left"/>
            </w:pPr>
            <w:r>
              <w:t xml:space="preserve">NB-100</w:t>
            </w:r>
          </w:p>
        </w:tc>
        <w:tc>
          <w:tcPr/>
          <w:p>
            <w:pPr>
              <w:pStyle w:val="Compact"/>
              <w:jc w:val="left"/>
            </w:pPr>
            <w:r>
              <w:t xml:space="preserve">Research Challenge — Improve the Benchmark</w:t>
            </w:r>
          </w:p>
        </w:tc>
        <w:tc>
          <w:tcPr/>
          <w:p>
            <w:pPr>
              <w:pStyle w:val="Compact"/>
              <w:jc w:val="left"/>
            </w:pPr>
            <w:r>
              <w:t xml:space="preserve">Open challenge: propose and validate a new benchmark scenario</w:t>
            </w:r>
          </w:p>
        </w:tc>
      </w:tr>
    </w:tbl>
    <w:p>
      <w:r>
        <w:br w:type="page"/>
      </w:r>
    </w:p>
    <w:bookmarkEnd w:id="103"/>
    <w:bookmarkEnd w:id="104"/>
    <w:bookmarkStart w:id="113" w:name="part-iii-expected-outputs"/>
    <w:p>
      <w:pPr>
        <w:pStyle w:val="Heading1"/>
      </w:pPr>
      <w:bookmarkStart w:id="930067" w:name="_TocLBSv1_930067"/>
      <w:r>
        <w:t xml:space="preserve">Part III — Expected Outputs</w:t>
      </w:r>
      <w:bookmarkEnd w:id="930067"/>
    </w:p>
    <w:p>
      <w:pPr>
        <w:pStyle w:val="LearningObjectives"/>
      </w:pPr>
      <w:r>
        <w:rPr>
          <w:bCs/>
          <w:b/>
        </w:rPr>
        <w:t xml:space="preserve">Learning Objectives.</w:t>
      </w:r>
      <w:r>
        <w:t xml:space="preserve"> After reading this part you will understand: what “expected output” means in the suite (a reproducible numeric result, not a prose description); how to use expected outputs as regression tests; and the tolerance rules that govern when an implementation is considered correct.</w:t>
      </w:r>
    </w:p>
    <w:bookmarkStart w:id="105" w:name="principles"/>
    <w:p>
      <w:pPr>
        <w:pStyle w:val="Heading2"/>
      </w:pPr>
      <w:bookmarkStart w:id="930068" w:name="_TocLBSv1_930068"/>
      <w:r>
        <w:t xml:space="preserve">Principles</w:t>
      </w:r>
      <w:bookmarkEnd w:id="930068"/>
    </w:p>
    <w:p>
      <w:pPr>
        <w:pStyle w:val="FirstParagraph"/>
      </w:pPr>
      <w:r>
        <w:t xml:space="preserve">Expected outputs are the canonical answers. Every result listed here is produced by the validated implementations in </w:t>
      </w:r>
      <w:r>
        <w:rPr>
          <w:rStyle w:val="VerbatimChar"/>
        </w:rPr>
        <w:t xml:space="preserve">mp_kpis_p3.py</w:t>
      </w:r>
      <w:r>
        <w:t xml:space="preserve"> run against the canonical datasets. An implementation is correct if and only if it produces these values within the stated tolerance.</w:t>
      </w:r>
    </w:p>
    <w:p>
      <w:pPr>
        <w:pStyle w:val="Warning"/>
      </w:pPr>
      <w:r>
        <w:rPr>
          <w:bCs/>
          <w:b/>
        </w:rPr>
        <w:t xml:space="preserve">Expected outputs are normative within this suite.</w:t>
      </w:r>
      <w:r>
        <w:t xml:space="preserve"> If your implementation produces a different result, there are only four possibilities: your code has a bug; your dataset is a different version; you are computing a different KPI than the one specified (the most common error); or there is a genuine floating-point precision difference within tolerance. A fifth possibility — that these numbers are wrong — must be ruled out by re-running </w:t>
      </w:r>
      <w:r>
        <w:rPr>
          <w:rStyle w:val="VerbatimChar"/>
        </w:rPr>
        <w:t xml:space="preserve">mp_kpis_p3.py</w:t>
      </w:r>
      <w:r>
        <w:t xml:space="preserve"> on the canonical dataset before raising an issue.</w:t>
      </w:r>
    </w:p>
    <w:bookmarkEnd w:id="105"/>
    <w:bookmarkStart w:id="106" w:name="X9c3423bff0d06bf11e59368eac592519507ac6c"/>
    <w:p>
      <w:pPr>
        <w:pStyle w:val="Heading2"/>
      </w:pPr>
      <w:bookmarkStart w:id="930069" w:name="_TocLBSv1_930069"/>
      <w:r>
        <w:t xml:space="preserve">Core KPI expected outputs — canonical dataset</w:t>
      </w:r>
      <w:bookmarkEnd w:id="930069"/>
    </w:p>
    <w:p>
      <w:pPr>
        <w:pStyle w:val="FirstParagraph"/>
      </w:pPr>
      <w:r>
        <w:t xml:space="preserve">The following table is the </w:t>
      </w:r>
      <w:r>
        <w:rPr>
          <w:bCs/>
          <w:b/>
        </w:rPr>
        <w:t xml:space="preserve">golden output set</w:t>
      </w:r>
      <w:r>
        <w:t xml:space="preserve"> for all Active KPIs from Part III, run on the canonical single-shift dataset (Pilbara Ridge, shift </w:t>
      </w:r>
      <w:r>
        <w:rPr>
          <w:rStyle w:val="VerbatimChar"/>
        </w:rPr>
        <w:t xml:space="preserve">PIL_2026-01-15_D</w:t>
      </w:r>
      <w:r>
        <w:t xml:space="preserve"> for haulage KPIs; Bingham West for quality KPIs).</w:t>
      </w:r>
    </w:p>
    <w:tbl>
      <w:tblPr>
        <w:tblStyle w:val="Table"/>
        <w:tblW w:type="pct" w:w="5000"/>
        <w:tblLook w:firstRow="1" w:lastRow="0" w:firstColumn="0" w:lastColumn="0" w:noHBand="0" w:noVBand="0" w:val="0020"/>
        <w:jc w:val="start"/>
      </w:tblPr>
      <w:tblGrid>
        <w:gridCol w:w="1584"/>
        <w:gridCol w:w="1584"/>
        <w:gridCol w:w="1584"/>
        <w:gridCol w:w="1584"/>
        <w:gridCol w:w="1584"/>
      </w:tblGrid>
      <w:tr>
        <w:trPr>
          <w:tblHeader w:val="true"/>
        </w:trPr>
        <w:tc>
          <w:tcPr/>
          <w:p>
            <w:pPr>
              <w:pStyle w:val="Compact"/>
              <w:jc w:val="left"/>
            </w:pPr>
            <w:r>
              <w:t xml:space="preserve">KPI</w:t>
            </w:r>
          </w:p>
        </w:tc>
        <w:tc>
          <w:tcPr/>
          <w:p>
            <w:pPr>
              <w:pStyle w:val="Compact"/>
              <w:jc w:val="left"/>
            </w:pPr>
            <w:r>
              <w:t xml:space="preserve">Input values</w:t>
            </w:r>
          </w:p>
        </w:tc>
        <w:tc>
          <w:tcPr/>
          <w:p>
            <w:pPr>
              <w:pStyle w:val="Compact"/>
              <w:jc w:val="left"/>
            </w:pPr>
            <w:r>
              <w:t xml:space="preserve">Expected output</w:t>
            </w:r>
          </w:p>
        </w:tc>
        <w:tc>
          <w:tcPr/>
          <w:p>
            <w:pPr>
              <w:pStyle w:val="Compact"/>
              <w:jc w:val="left"/>
            </w:pPr>
            <w:r>
              <w:t xml:space="preserve">Tolerance</w:t>
            </w:r>
          </w:p>
        </w:tc>
        <w:tc>
          <w:tcPr/>
          <w:p>
            <w:pPr>
              <w:pStyle w:val="Compact"/>
              <w:jc w:val="left"/>
            </w:pPr>
            <w:r>
              <w:t xml:space="preserve">Python expression</w:t>
            </w:r>
          </w:p>
        </w:tc>
      </w:tr>
      <w:tr>
        <w:tc>
          <w:tcPr/>
          <w:p>
            <w:pPr>
              <w:pStyle w:val="Compact"/>
              <w:jc w:val="left"/>
            </w:pPr>
            <w:r>
              <w:rPr>
                <w:rStyle w:val="VerbatimChar"/>
              </w:rPr>
              <w:t xml:space="preserve">PROD.TPH</w:t>
            </w:r>
          </w:p>
        </w:tc>
        <w:tc>
          <w:tcPr/>
          <w:p>
            <w:pPr>
              <w:pStyle w:val="Compact"/>
              <w:jc w:val="left"/>
            </w:pPr>
            <w:r>
              <w:t xml:space="preserve">36,000 t / 29.7 h</w:t>
            </w:r>
          </w:p>
        </w:tc>
        <w:tc>
          <w:tcPr/>
          <w:p>
            <w:pPr>
              <w:pStyle w:val="Compact"/>
              <w:jc w:val="left"/>
            </w:pPr>
            <w:r>
              <w:rPr>
                <w:bCs/>
                <w:b/>
              </w:rPr>
              <w:t xml:space="preserve">1212.1 t/h</w:t>
            </w:r>
          </w:p>
        </w:tc>
        <w:tc>
          <w:tcPr/>
          <w:p>
            <w:pPr>
              <w:pStyle w:val="Compact"/>
              <w:jc w:val="left"/>
            </w:pPr>
            <w:r>
              <w:t xml:space="preserve">±0.1</w:t>
            </w:r>
          </w:p>
        </w:tc>
        <w:tc>
          <w:tcPr/>
          <w:p>
            <w:pPr>
              <w:pStyle w:val="Compact"/>
              <w:jc w:val="left"/>
            </w:pPr>
            <w:r>
              <w:rPr>
                <w:rStyle w:val="VerbatimChar"/>
              </w:rPr>
              <w:t xml:space="preserve">tonnes_per_hour(36000, 29.7)</w:t>
            </w:r>
          </w:p>
        </w:tc>
      </w:tr>
      <w:tr>
        <w:tc>
          <w:tcPr/>
          <w:p>
            <w:pPr>
              <w:pStyle w:val="Compact"/>
              <w:jc w:val="left"/>
            </w:pPr>
            <w:r>
              <w:rPr>
                <w:rStyle w:val="VerbatimChar"/>
              </w:rPr>
              <w:t xml:space="preserve">PROD.TruckCycleTime</w:t>
            </w:r>
          </w:p>
        </w:tc>
        <w:tc>
          <w:tcPr/>
          <w:p>
            <w:pPr>
              <w:pStyle w:val="Compact"/>
              <w:jc w:val="left"/>
            </w:pPr>
            <w:r>
              <w:t xml:space="preserve">[18.90, 19.80, 19.72] min</w:t>
            </w:r>
          </w:p>
        </w:tc>
        <w:tc>
          <w:tcPr/>
          <w:p>
            <w:pPr>
              <w:pStyle w:val="Compact"/>
              <w:jc w:val="left"/>
            </w:pPr>
            <w:r>
              <w:rPr>
                <w:bCs/>
                <w:b/>
              </w:rPr>
              <w:t xml:space="preserve">19.47 min</w:t>
            </w:r>
          </w:p>
        </w:tc>
        <w:tc>
          <w:tcPr/>
          <w:p>
            <w:pPr>
              <w:pStyle w:val="Compact"/>
              <w:jc w:val="left"/>
            </w:pPr>
            <w:r>
              <w:t xml:space="preserve">±0.01</w:t>
            </w:r>
          </w:p>
        </w:tc>
        <w:tc>
          <w:tcPr/>
          <w:p>
            <w:pPr>
              <w:pStyle w:val="Compact"/>
              <w:jc w:val="left"/>
            </w:pPr>
            <w:r>
              <w:rPr>
                <w:rStyle w:val="VerbatimChar"/>
              </w:rPr>
              <w:t xml:space="preserve">truck_cycle_time([18.90,19.80,19.72])</w:t>
            </w:r>
          </w:p>
        </w:tc>
      </w:tr>
      <w:tr>
        <w:tc>
          <w:tcPr/>
          <w:p>
            <w:pPr>
              <w:pStyle w:val="Compact"/>
              <w:jc w:val="left"/>
            </w:pPr>
            <w:r>
              <w:rPr>
                <w:rStyle w:val="VerbatimChar"/>
              </w:rPr>
              <w:t xml:space="preserve">PROD.Payload</w:t>
            </w:r>
          </w:p>
        </w:tc>
        <w:tc>
          <w:tcPr/>
          <w:p>
            <w:pPr>
              <w:pStyle w:val="Compact"/>
              <w:jc w:val="left"/>
            </w:pPr>
            <w:r>
              <w:t xml:space="preserve">[221, 219, 224, 218] t</w:t>
            </w:r>
          </w:p>
        </w:tc>
        <w:tc>
          <w:tcPr/>
          <w:p>
            <w:pPr>
              <w:pStyle w:val="Compact"/>
              <w:jc w:val="left"/>
            </w:pPr>
            <w:r>
              <w:rPr>
                <w:bCs/>
                <w:b/>
              </w:rPr>
              <w:t xml:space="preserve">220.5 t</w:t>
            </w:r>
          </w:p>
        </w:tc>
        <w:tc>
          <w:tcPr/>
          <w:p>
            <w:pPr>
              <w:pStyle w:val="Compact"/>
              <w:jc w:val="left"/>
            </w:pPr>
            <w:r>
              <w:t xml:space="preserve">±0.1</w:t>
            </w:r>
          </w:p>
        </w:tc>
        <w:tc>
          <w:tcPr/>
          <w:p>
            <w:pPr>
              <w:pStyle w:val="Compact"/>
              <w:jc w:val="left"/>
            </w:pPr>
            <w:r>
              <w:rPr>
                <w:rStyle w:val="VerbatimChar"/>
              </w:rPr>
              <w:t xml:space="preserve">mean_payload([221,219,224,218])</w:t>
            </w:r>
          </w:p>
        </w:tc>
      </w:tr>
      <w:tr>
        <w:tc>
          <w:tcPr/>
          <w:p>
            <w:pPr>
              <w:pStyle w:val="Compact"/>
              <w:jc w:val="left"/>
            </w:pPr>
            <w:r>
              <w:rPr>
                <w:rStyle w:val="VerbatimChar"/>
              </w:rPr>
              <w:t xml:space="preserve">HAUL.MatchFactor</w:t>
            </w:r>
            <w:r>
              <w:t xml:space="preserve"> (6 trucks)</w:t>
            </w:r>
          </w:p>
        </w:tc>
        <w:tc>
          <w:tcPr/>
          <w:p>
            <w:pPr>
              <w:pStyle w:val="Compact"/>
              <w:jc w:val="left"/>
            </w:pPr>
            <w:r>
              <w:t xml:space="preserve">6, 1 shovel, 3.0 min load, 19.5 min cycle</w:t>
            </w:r>
          </w:p>
        </w:tc>
        <w:tc>
          <w:tcPr/>
          <w:p>
            <w:pPr>
              <w:pStyle w:val="Compact"/>
              <w:jc w:val="left"/>
            </w:pPr>
            <w:r>
              <w:rPr>
                <w:bCs/>
                <w:b/>
              </w:rPr>
              <w:t xml:space="preserve">0.923</w:t>
            </w:r>
          </w:p>
        </w:tc>
        <w:tc>
          <w:tcPr/>
          <w:p>
            <w:pPr>
              <w:pStyle w:val="Compact"/>
              <w:jc w:val="left"/>
            </w:pPr>
            <w:r>
              <w:t xml:space="preserve">±0.001</w:t>
            </w:r>
          </w:p>
        </w:tc>
        <w:tc>
          <w:tcPr/>
          <w:p>
            <w:pPr>
              <w:pStyle w:val="Compact"/>
              <w:jc w:val="left"/>
            </w:pPr>
            <w:r>
              <w:rPr>
                <w:rStyle w:val="VerbatimChar"/>
              </w:rPr>
              <w:t xml:space="preserve">match_factor(6,1,3.0,19.5)</w:t>
            </w:r>
          </w:p>
        </w:tc>
      </w:tr>
      <w:tr>
        <w:tc>
          <w:tcPr/>
          <w:p>
            <w:pPr>
              <w:pStyle w:val="Compact"/>
              <w:jc w:val="left"/>
            </w:pPr>
            <w:r>
              <w:rPr>
                <w:rStyle w:val="VerbatimChar"/>
              </w:rPr>
              <w:t xml:space="preserve">HAUL.MatchFactor</w:t>
            </w:r>
            <w:r>
              <w:t xml:space="preserve"> (7 trucks)</w:t>
            </w:r>
          </w:p>
        </w:tc>
        <w:tc>
          <w:tcPr/>
          <w:p>
            <w:pPr>
              <w:pStyle w:val="Compact"/>
              <w:jc w:val="left"/>
            </w:pPr>
            <w:r>
              <w:t xml:space="preserve">7, 1, 3.0, 19.5</w:t>
            </w:r>
          </w:p>
        </w:tc>
        <w:tc>
          <w:tcPr/>
          <w:p>
            <w:pPr>
              <w:pStyle w:val="Compact"/>
              <w:jc w:val="left"/>
            </w:pPr>
            <w:r>
              <w:rPr>
                <w:bCs/>
                <w:b/>
              </w:rPr>
              <w:t xml:space="preserve">1.077</w:t>
            </w:r>
          </w:p>
        </w:tc>
        <w:tc>
          <w:tcPr/>
          <w:p>
            <w:pPr>
              <w:pStyle w:val="Compact"/>
              <w:jc w:val="left"/>
            </w:pPr>
            <w:r>
              <w:t xml:space="preserve">±0.001</w:t>
            </w:r>
          </w:p>
        </w:tc>
        <w:tc>
          <w:tcPr/>
          <w:p>
            <w:pPr>
              <w:pStyle w:val="Compact"/>
              <w:jc w:val="left"/>
            </w:pPr>
            <w:r>
              <w:rPr>
                <w:rStyle w:val="VerbatimChar"/>
              </w:rPr>
              <w:t xml:space="preserve">match_factor(7,1,3.0,19.5)</w:t>
            </w:r>
          </w:p>
        </w:tc>
      </w:tr>
      <w:tr>
        <w:tc>
          <w:tcPr/>
          <w:p>
            <w:pPr>
              <w:pStyle w:val="Compact"/>
              <w:jc w:val="left"/>
            </w:pPr>
            <w:r>
              <w:rPr>
                <w:rStyle w:val="VerbatimChar"/>
              </w:rPr>
              <w:t xml:space="preserve">HAUL.TonKm</w:t>
            </w:r>
          </w:p>
        </w:tc>
        <w:tc>
          <w:tcPr/>
          <w:p>
            <w:pPr>
              <w:pStyle w:val="Compact"/>
              <w:jc w:val="left"/>
            </w:pPr>
            <w:r>
              <w:t xml:space="preserve">[220,220] t, [3.2,1.8] km</w:t>
            </w:r>
          </w:p>
        </w:tc>
        <w:tc>
          <w:tcPr/>
          <w:p>
            <w:pPr>
              <w:pStyle w:val="Compact"/>
              <w:jc w:val="left"/>
            </w:pPr>
            <w:r>
              <w:rPr>
                <w:bCs/>
                <w:b/>
              </w:rPr>
              <w:t xml:space="preserve">1100.0 t·km</w:t>
            </w:r>
          </w:p>
        </w:tc>
        <w:tc>
          <w:tcPr/>
          <w:p>
            <w:pPr>
              <w:pStyle w:val="Compact"/>
              <w:jc w:val="left"/>
            </w:pPr>
            <w:r>
              <w:t xml:space="preserve">±0.01</w:t>
            </w:r>
          </w:p>
        </w:tc>
        <w:tc>
          <w:tcPr/>
          <w:p>
            <w:pPr>
              <w:pStyle w:val="Compact"/>
              <w:jc w:val="left"/>
            </w:pPr>
            <w:r>
              <w:rPr>
                <w:rStyle w:val="VerbatimChar"/>
              </w:rPr>
              <w:t xml:space="preserve">ton_kilometres([220,220],[3.2,1.8])</w:t>
            </w:r>
          </w:p>
        </w:tc>
      </w:tr>
      <w:tr>
        <w:tc>
          <w:tcPr/>
          <w:p>
            <w:pPr>
              <w:pStyle w:val="Compact"/>
              <w:jc w:val="left"/>
            </w:pPr>
            <w:r>
              <w:rPr>
                <w:rStyle w:val="VerbatimChar"/>
              </w:rPr>
              <w:t xml:space="preserve">UTIL.PA</w:t>
            </w:r>
          </w:p>
        </w:tc>
        <w:tc>
          <w:tcPr/>
          <w:p>
            <w:pPr>
              <w:pStyle w:val="Compact"/>
              <w:jc w:val="left"/>
            </w:pPr>
            <w:r>
              <w:t xml:space="preserve">146 h avail / 168 h sched</w:t>
            </w:r>
          </w:p>
        </w:tc>
        <w:tc>
          <w:tcPr/>
          <w:p>
            <w:pPr>
              <w:pStyle w:val="Compact"/>
              <w:jc w:val="left"/>
            </w:pPr>
            <w:r>
              <w:rPr>
                <w:bCs/>
                <w:b/>
              </w:rPr>
              <w:t xml:space="preserve">86.9%</w:t>
            </w:r>
          </w:p>
        </w:tc>
        <w:tc>
          <w:tcPr/>
          <w:p>
            <w:pPr>
              <w:pStyle w:val="Compact"/>
              <w:jc w:val="left"/>
            </w:pPr>
            <w:r>
              <w:t xml:space="preserve">±0.1</w:t>
            </w:r>
          </w:p>
        </w:tc>
        <w:tc>
          <w:tcPr/>
          <w:p>
            <w:pPr>
              <w:pStyle w:val="Compact"/>
              <w:jc w:val="left"/>
            </w:pPr>
            <w:r>
              <w:rPr>
                <w:rStyle w:val="VerbatimChar"/>
              </w:rPr>
              <w:t xml:space="preserve">physical_availability(146,168)</w:t>
            </w:r>
          </w:p>
        </w:tc>
      </w:tr>
      <w:tr>
        <w:tc>
          <w:tcPr/>
          <w:p>
            <w:pPr>
              <w:pStyle w:val="Compact"/>
              <w:jc w:val="left"/>
            </w:pPr>
            <w:r>
              <w:rPr>
                <w:rStyle w:val="VerbatimChar"/>
              </w:rPr>
              <w:t xml:space="preserve">UTIL.UA</w:t>
            </w:r>
          </w:p>
        </w:tc>
        <w:tc>
          <w:tcPr/>
          <w:p>
            <w:pPr>
              <w:pStyle w:val="Compact"/>
              <w:jc w:val="left"/>
            </w:pPr>
            <w:r>
              <w:t xml:space="preserve">130 h oper / 146 h avail</w:t>
            </w:r>
          </w:p>
        </w:tc>
        <w:tc>
          <w:tcPr/>
          <w:p>
            <w:pPr>
              <w:pStyle w:val="Compact"/>
              <w:jc w:val="left"/>
            </w:pPr>
            <w:r>
              <w:rPr>
                <w:bCs/>
                <w:b/>
              </w:rPr>
              <w:t xml:space="preserve">89.0%</w:t>
            </w:r>
          </w:p>
        </w:tc>
        <w:tc>
          <w:tcPr/>
          <w:p>
            <w:pPr>
              <w:pStyle w:val="Compact"/>
              <w:jc w:val="left"/>
            </w:pPr>
            <w:r>
              <w:t xml:space="preserve">±0.1</w:t>
            </w:r>
          </w:p>
        </w:tc>
        <w:tc>
          <w:tcPr/>
          <w:p>
            <w:pPr>
              <w:pStyle w:val="Compact"/>
              <w:jc w:val="left"/>
            </w:pPr>
            <w:r>
              <w:rPr>
                <w:rStyle w:val="VerbatimChar"/>
              </w:rPr>
              <w:t xml:space="preserve">use_of_availability(130,146)</w:t>
            </w:r>
          </w:p>
        </w:tc>
      </w:tr>
      <w:tr>
        <w:tc>
          <w:tcPr/>
          <w:p>
            <w:pPr>
              <w:pStyle w:val="Compact"/>
              <w:jc w:val="left"/>
            </w:pPr>
            <w:r>
              <w:rPr>
                <w:rStyle w:val="VerbatimChar"/>
              </w:rPr>
              <w:t xml:space="preserve">UTIL.EU</w:t>
            </w:r>
          </w:p>
        </w:tc>
        <w:tc>
          <w:tcPr/>
          <w:p>
            <w:pPr>
              <w:pStyle w:val="Compact"/>
              <w:jc w:val="left"/>
            </w:pPr>
            <w:r>
              <w:t xml:space="preserve">130 h oper / 168 h sched</w:t>
            </w:r>
          </w:p>
        </w:tc>
        <w:tc>
          <w:tcPr/>
          <w:p>
            <w:pPr>
              <w:pStyle w:val="Compact"/>
              <w:jc w:val="left"/>
            </w:pPr>
            <w:r>
              <w:rPr>
                <w:bCs/>
                <w:b/>
              </w:rPr>
              <w:t xml:space="preserve">77.4%</w:t>
            </w:r>
          </w:p>
        </w:tc>
        <w:tc>
          <w:tcPr/>
          <w:p>
            <w:pPr>
              <w:pStyle w:val="Compact"/>
              <w:jc w:val="left"/>
            </w:pPr>
            <w:r>
              <w:t xml:space="preserve">±0.1</w:t>
            </w:r>
          </w:p>
        </w:tc>
        <w:tc>
          <w:tcPr/>
          <w:p>
            <w:pPr>
              <w:pStyle w:val="Compact"/>
              <w:jc w:val="left"/>
            </w:pPr>
            <w:r>
              <w:rPr>
                <w:rStyle w:val="VerbatimChar"/>
              </w:rPr>
              <w:t xml:space="preserve">effective_utilisation(130,168)</w:t>
            </w:r>
          </w:p>
        </w:tc>
      </w:tr>
      <w:tr>
        <w:tc>
          <w:tcPr/>
          <w:p>
            <w:pPr>
              <w:pStyle w:val="Compact"/>
              <w:jc w:val="left"/>
            </w:pPr>
            <w:r>
              <w:rPr>
                <w:rStyle w:val="VerbatimChar"/>
              </w:rPr>
              <w:t xml:space="preserve">UTIL.EU</w:t>
            </w:r>
            <w:r>
              <w:t xml:space="preserve"> identity</w:t>
            </w:r>
          </w:p>
        </w:tc>
        <w:tc>
          <w:tcPr/>
          <w:p>
            <w:pPr>
              <w:pStyle w:val="Compact"/>
              <w:jc w:val="left"/>
            </w:pPr>
            <w:r>
              <w:t xml:space="preserve">PA × UA / 100</w:t>
            </w:r>
          </w:p>
        </w:tc>
        <w:tc>
          <w:tcPr/>
          <w:p>
            <w:pPr>
              <w:pStyle w:val="Compact"/>
              <w:jc w:val="left"/>
            </w:pPr>
            <w:r>
              <w:rPr>
                <w:bCs/>
                <w:b/>
              </w:rPr>
              <w:t xml:space="preserve">77.4%</w:t>
            </w:r>
          </w:p>
        </w:tc>
        <w:tc>
          <w:tcPr/>
          <w:p>
            <w:pPr>
              <w:pStyle w:val="Compact"/>
              <w:jc w:val="left"/>
            </w:pPr>
            <w:r>
              <w:t xml:space="preserve">&lt; 1e-6</w:t>
            </w:r>
          </w:p>
        </w:tc>
        <w:tc>
          <w:tcPr/>
          <w:p>
            <w:pPr>
              <w:pStyle w:val="Compact"/>
              <w:jc w:val="left"/>
            </w:pPr>
            <w:r>
              <w:rPr>
                <w:rStyle w:val="VerbatimChar"/>
              </w:rPr>
              <w:t xml:space="preserve">abs(EU−PA*UA/100) &lt; 1e-6</w:t>
            </w:r>
          </w:p>
        </w:tc>
      </w:tr>
      <w:tr>
        <w:tc>
          <w:tcPr/>
          <w:p>
            <w:pPr>
              <w:pStyle w:val="Compact"/>
              <w:jc w:val="left"/>
            </w:pPr>
            <w:r>
              <w:rPr>
                <w:rStyle w:val="VerbatimChar"/>
              </w:rPr>
              <w:t xml:space="preserve">UTIL.OEE</w:t>
            </w:r>
          </w:p>
        </w:tc>
        <w:tc>
          <w:tcPr/>
          <w:p>
            <w:pPr>
              <w:pStyle w:val="Compact"/>
              <w:jc w:val="left"/>
            </w:pPr>
            <w:r>
              <w:t xml:space="preserve">A=0.869, P=0.92, Q=0.98</w:t>
            </w:r>
          </w:p>
        </w:tc>
        <w:tc>
          <w:tcPr/>
          <w:p>
            <w:pPr>
              <w:pStyle w:val="Compact"/>
              <w:jc w:val="left"/>
            </w:pPr>
            <w:r>
              <w:rPr>
                <w:bCs/>
                <w:b/>
              </w:rPr>
              <w:t xml:space="preserve">78.3%</w:t>
            </w:r>
          </w:p>
        </w:tc>
        <w:tc>
          <w:tcPr/>
          <w:p>
            <w:pPr>
              <w:pStyle w:val="Compact"/>
              <w:jc w:val="left"/>
            </w:pPr>
            <w:r>
              <w:t xml:space="preserve">±0.1</w:t>
            </w:r>
          </w:p>
        </w:tc>
        <w:tc>
          <w:tcPr/>
          <w:p>
            <w:pPr>
              <w:pStyle w:val="Compact"/>
              <w:jc w:val="left"/>
            </w:pPr>
            <w:r>
              <w:rPr>
                <w:rStyle w:val="VerbatimChar"/>
              </w:rPr>
              <w:t xml:space="preserve">oee(0.869,0.92,0.98)</w:t>
            </w:r>
          </w:p>
        </w:tc>
      </w:tr>
      <w:tr>
        <w:tc>
          <w:tcPr/>
          <w:p>
            <w:pPr>
              <w:pStyle w:val="Compact"/>
              <w:jc w:val="left"/>
            </w:pPr>
            <w:r>
              <w:rPr>
                <w:rStyle w:val="VerbatimChar"/>
              </w:rPr>
              <w:t xml:space="preserve">MAINT.MTBF</w:t>
            </w:r>
          </w:p>
        </w:tc>
        <w:tc>
          <w:tcPr/>
          <w:p>
            <w:pPr>
              <w:pStyle w:val="Compact"/>
              <w:jc w:val="left"/>
            </w:pPr>
            <w:r>
              <w:t xml:space="preserve">130 h / 4 failures</w:t>
            </w:r>
          </w:p>
        </w:tc>
        <w:tc>
          <w:tcPr/>
          <w:p>
            <w:pPr>
              <w:pStyle w:val="Compact"/>
              <w:jc w:val="left"/>
            </w:pPr>
            <w:r>
              <w:rPr>
                <w:bCs/>
                <w:b/>
              </w:rPr>
              <w:t xml:space="preserve">32.5 h</w:t>
            </w:r>
          </w:p>
        </w:tc>
        <w:tc>
          <w:tcPr/>
          <w:p>
            <w:pPr>
              <w:pStyle w:val="Compact"/>
              <w:jc w:val="left"/>
            </w:pPr>
            <w:r>
              <w:t xml:space="preserve">±0.01</w:t>
            </w:r>
          </w:p>
        </w:tc>
        <w:tc>
          <w:tcPr/>
          <w:p>
            <w:pPr>
              <w:pStyle w:val="Compact"/>
              <w:jc w:val="left"/>
            </w:pPr>
            <w:r>
              <w:rPr>
                <w:rStyle w:val="VerbatimChar"/>
              </w:rPr>
              <w:t xml:space="preserve">mtbf(130,4)</w:t>
            </w:r>
          </w:p>
        </w:tc>
      </w:tr>
      <w:tr>
        <w:tc>
          <w:tcPr/>
          <w:p>
            <w:pPr>
              <w:pStyle w:val="Compact"/>
              <w:jc w:val="left"/>
            </w:pPr>
            <w:r>
              <w:rPr>
                <w:rStyle w:val="VerbatimChar"/>
              </w:rPr>
              <w:t xml:space="preserve">MAINT.MTTR</w:t>
            </w:r>
          </w:p>
        </w:tc>
        <w:tc>
          <w:tcPr/>
          <w:p>
            <w:pPr>
              <w:pStyle w:val="Compact"/>
              <w:jc w:val="left"/>
            </w:pPr>
            <w:r>
              <w:t xml:space="preserve">12 h / 4 failures</w:t>
            </w:r>
          </w:p>
        </w:tc>
        <w:tc>
          <w:tcPr/>
          <w:p>
            <w:pPr>
              <w:pStyle w:val="Compact"/>
              <w:jc w:val="left"/>
            </w:pPr>
            <w:r>
              <w:rPr>
                <w:bCs/>
                <w:b/>
              </w:rPr>
              <w:t xml:space="preserve">3.0 h</w:t>
            </w:r>
          </w:p>
        </w:tc>
        <w:tc>
          <w:tcPr/>
          <w:p>
            <w:pPr>
              <w:pStyle w:val="Compact"/>
              <w:jc w:val="left"/>
            </w:pPr>
            <w:r>
              <w:t xml:space="preserve">±0.01</w:t>
            </w:r>
          </w:p>
        </w:tc>
        <w:tc>
          <w:tcPr/>
          <w:p>
            <w:pPr>
              <w:pStyle w:val="Compact"/>
              <w:jc w:val="left"/>
            </w:pPr>
            <w:r>
              <w:rPr>
                <w:rStyle w:val="VerbatimChar"/>
              </w:rPr>
              <w:t xml:space="preserve">mttr(12,4)</w:t>
            </w:r>
          </w:p>
        </w:tc>
      </w:tr>
      <w:tr>
        <w:tc>
          <w:tcPr/>
          <w:p>
            <w:pPr>
              <w:pStyle w:val="Compact"/>
              <w:jc w:val="left"/>
            </w:pPr>
            <w:r>
              <w:rPr>
                <w:rStyle w:val="VerbatimChar"/>
              </w:rPr>
              <w:t xml:space="preserve">MAINT.Ai</w:t>
            </w:r>
          </w:p>
        </w:tc>
        <w:tc>
          <w:tcPr/>
          <w:p>
            <w:pPr>
              <w:pStyle w:val="Compact"/>
              <w:jc w:val="left"/>
            </w:pPr>
            <w:r>
              <w:t xml:space="preserve">MTBF 32.5, MTTR 3.0</w:t>
            </w:r>
          </w:p>
        </w:tc>
        <w:tc>
          <w:tcPr/>
          <w:p>
            <w:pPr>
              <w:pStyle w:val="Compact"/>
              <w:jc w:val="left"/>
            </w:pPr>
            <w:r>
              <w:rPr>
                <w:bCs/>
                <w:b/>
              </w:rPr>
              <w:t xml:space="preserve">91.5%</w:t>
            </w:r>
          </w:p>
        </w:tc>
        <w:tc>
          <w:tcPr/>
          <w:p>
            <w:pPr>
              <w:pStyle w:val="Compact"/>
              <w:jc w:val="left"/>
            </w:pPr>
            <w:r>
              <w:t xml:space="preserve">±0.1</w:t>
            </w:r>
          </w:p>
        </w:tc>
        <w:tc>
          <w:tcPr/>
          <w:p>
            <w:pPr>
              <w:pStyle w:val="Compact"/>
              <w:jc w:val="left"/>
            </w:pPr>
            <w:r>
              <w:rPr>
                <w:rStyle w:val="VerbatimChar"/>
              </w:rPr>
              <w:t xml:space="preserve">inherent_availability(32.5,3.0)</w:t>
            </w:r>
          </w:p>
        </w:tc>
      </w:tr>
      <w:tr>
        <w:tc>
          <w:tcPr/>
          <w:p>
            <w:pPr>
              <w:pStyle w:val="Compact"/>
              <w:jc w:val="left"/>
            </w:pPr>
            <w:r>
              <w:rPr>
                <w:rStyle w:val="VerbatimChar"/>
              </w:rPr>
              <w:t xml:space="preserve">MAINT.Ai − UTIL.PA gap</w:t>
            </w:r>
          </w:p>
        </w:tc>
        <w:tc>
          <w:tcPr/>
          <w:p>
            <w:pPr>
              <w:pStyle w:val="Compact"/>
              <w:jc w:val="left"/>
            </w:pPr>
            <w:r>
              <w:t xml:space="preserve">91.5 − 86.9</w:t>
            </w:r>
          </w:p>
        </w:tc>
        <w:tc>
          <w:tcPr/>
          <w:p>
            <w:pPr>
              <w:pStyle w:val="Compact"/>
              <w:jc w:val="left"/>
            </w:pPr>
            <w:r>
              <w:rPr>
                <w:bCs/>
                <w:b/>
              </w:rPr>
              <w:t xml:space="preserve">4.6 points</w:t>
            </w:r>
          </w:p>
        </w:tc>
        <w:tc>
          <w:tcPr/>
          <w:p>
            <w:pPr>
              <w:pStyle w:val="Compact"/>
              <w:jc w:val="left"/>
            </w:pPr>
            <w:r>
              <w:t xml:space="preserve">±0.1</w:t>
            </w:r>
          </w:p>
        </w:tc>
        <w:tc>
          <w:tcPr/>
          <w:p>
            <w:pPr>
              <w:pStyle w:val="Compact"/>
              <w:jc w:val="left"/>
            </w:pPr>
            <w:r>
              <w:t xml:space="preserve">logistics-loss gap</w:t>
            </w:r>
          </w:p>
        </w:tc>
      </w:tr>
      <w:tr>
        <w:tc>
          <w:tcPr/>
          <w:p>
            <w:pPr>
              <w:pStyle w:val="Compact"/>
              <w:jc w:val="left"/>
            </w:pPr>
            <w:r>
              <w:rPr>
                <w:rStyle w:val="VerbatimChar"/>
              </w:rPr>
              <w:t xml:space="preserve">DELAY.Hours</w:t>
            </w:r>
          </w:p>
        </w:tc>
        <w:tc>
          <w:tcPr/>
          <w:p>
            <w:pPr>
              <w:pStyle w:val="Compact"/>
              <w:jc w:val="left"/>
            </w:pPr>
            <w:r>
              <w:t xml:space="preserve">[120,45,90,66,84,81] min</w:t>
            </w:r>
          </w:p>
        </w:tc>
        <w:tc>
          <w:tcPr/>
          <w:p>
            <w:pPr>
              <w:pStyle w:val="Compact"/>
              <w:jc w:val="left"/>
            </w:pPr>
            <w:r>
              <w:rPr>
                <w:bCs/>
                <w:b/>
              </w:rPr>
              <w:t xml:space="preserve">8.1 h</w:t>
            </w:r>
          </w:p>
        </w:tc>
        <w:tc>
          <w:tcPr/>
          <w:p>
            <w:pPr>
              <w:pStyle w:val="Compact"/>
              <w:jc w:val="left"/>
            </w:pPr>
            <w:r>
              <w:t xml:space="preserve">±0.01</w:t>
            </w:r>
          </w:p>
        </w:tc>
        <w:tc>
          <w:tcPr/>
          <w:p>
            <w:pPr>
              <w:pStyle w:val="Compact"/>
              <w:jc w:val="left"/>
            </w:pPr>
            <w:r>
              <w:rPr>
                <w:rStyle w:val="VerbatimChar"/>
              </w:rPr>
              <w:t xml:space="preserve">delay_hours([120,45,90,66,84,81])</w:t>
            </w:r>
          </w:p>
        </w:tc>
      </w:tr>
      <w:tr>
        <w:tc>
          <w:tcPr/>
          <w:p>
            <w:pPr>
              <w:pStyle w:val="Compact"/>
              <w:jc w:val="left"/>
            </w:pPr>
            <w:r>
              <w:rPr>
                <w:rStyle w:val="VerbatimChar"/>
              </w:rPr>
              <w:t xml:space="preserve">ENERGY.FuelPerTonne</w:t>
            </w:r>
          </w:p>
        </w:tc>
        <w:tc>
          <w:tcPr/>
          <w:p>
            <w:pPr>
              <w:pStyle w:val="Compact"/>
              <w:jc w:val="left"/>
            </w:pPr>
            <w:r>
              <w:t xml:space="preserve">20,850 L / 36,000 t</w:t>
            </w:r>
          </w:p>
        </w:tc>
        <w:tc>
          <w:tcPr/>
          <w:p>
            <w:pPr>
              <w:pStyle w:val="Compact"/>
              <w:jc w:val="left"/>
            </w:pPr>
            <w:r>
              <w:rPr>
                <w:bCs/>
                <w:b/>
              </w:rPr>
              <w:t xml:space="preserve">0.579 L/t</w:t>
            </w:r>
          </w:p>
        </w:tc>
        <w:tc>
          <w:tcPr/>
          <w:p>
            <w:pPr>
              <w:pStyle w:val="Compact"/>
              <w:jc w:val="left"/>
            </w:pPr>
            <w:r>
              <w:t xml:space="preserve">±0.001</w:t>
            </w:r>
          </w:p>
        </w:tc>
        <w:tc>
          <w:tcPr/>
          <w:p>
            <w:pPr>
              <w:pStyle w:val="Compact"/>
              <w:jc w:val="left"/>
            </w:pPr>
            <w:r>
              <w:rPr>
                <w:rStyle w:val="VerbatimChar"/>
              </w:rPr>
              <w:t xml:space="preserve">fuel_per_tonne(20850,36000)</w:t>
            </w:r>
          </w:p>
        </w:tc>
      </w:tr>
      <w:tr>
        <w:tc>
          <w:tcPr/>
          <w:p>
            <w:pPr>
              <w:pStyle w:val="Compact"/>
              <w:jc w:val="left"/>
            </w:pPr>
            <w:r>
              <w:rPr>
                <w:rStyle w:val="VerbatimChar"/>
              </w:rPr>
              <w:t xml:space="preserve">CARBON.CO2PerTonne</w:t>
            </w:r>
          </w:p>
        </w:tc>
        <w:tc>
          <w:tcPr/>
          <w:p>
            <w:pPr>
              <w:pStyle w:val="Compact"/>
              <w:jc w:val="left"/>
            </w:pPr>
            <w:r>
              <w:t xml:space="preserve">20,850 L / 36,000 t / EF 2.68</w:t>
            </w:r>
          </w:p>
        </w:tc>
        <w:tc>
          <w:tcPr/>
          <w:p>
            <w:pPr>
              <w:pStyle w:val="Compact"/>
              <w:jc w:val="left"/>
            </w:pPr>
            <w:r>
              <w:rPr>
                <w:bCs/>
                <w:b/>
              </w:rPr>
              <w:t xml:space="preserve">1.552 kg/t</w:t>
            </w:r>
          </w:p>
        </w:tc>
        <w:tc>
          <w:tcPr/>
          <w:p>
            <w:pPr>
              <w:pStyle w:val="Compact"/>
              <w:jc w:val="left"/>
            </w:pPr>
            <w:r>
              <w:t xml:space="preserve">±0.001</w:t>
            </w:r>
          </w:p>
        </w:tc>
        <w:tc>
          <w:tcPr/>
          <w:p>
            <w:pPr>
              <w:pStyle w:val="Compact"/>
              <w:jc w:val="left"/>
            </w:pPr>
            <w:r>
              <w:rPr>
                <w:rStyle w:val="VerbatimChar"/>
              </w:rPr>
              <w:t xml:space="preserve">co2_per_tonne(20850,36000)</w:t>
            </w:r>
          </w:p>
        </w:tc>
      </w:tr>
      <w:tr>
        <w:tc>
          <w:tcPr/>
          <w:p>
            <w:pPr>
              <w:pStyle w:val="Compact"/>
              <w:jc w:val="left"/>
            </w:pPr>
            <w:r>
              <w:rPr>
                <w:rStyle w:val="VerbatimChar"/>
              </w:rPr>
              <w:t xml:space="preserve">QUAL.Recovery</w:t>
            </w:r>
            <w:r>
              <w:t xml:space="preserve"> (Cu)</w:t>
            </w:r>
          </w:p>
        </w:tc>
        <w:tc>
          <w:tcPr/>
          <w:p>
            <w:pPr>
              <w:pStyle w:val="Compact"/>
              <w:jc w:val="left"/>
            </w:pPr>
            <w:r>
              <w:t xml:space="preserve">f=0.60%, c=28%, t=0.08%</w:t>
            </w:r>
          </w:p>
        </w:tc>
        <w:tc>
          <w:tcPr/>
          <w:p>
            <w:pPr>
              <w:pStyle w:val="Compact"/>
              <w:jc w:val="left"/>
            </w:pPr>
            <w:r>
              <w:rPr>
                <w:bCs/>
                <w:b/>
              </w:rPr>
              <w:t xml:space="preserve">86.91%</w:t>
            </w:r>
          </w:p>
        </w:tc>
        <w:tc>
          <w:tcPr/>
          <w:p>
            <w:pPr>
              <w:pStyle w:val="Compact"/>
              <w:jc w:val="left"/>
            </w:pPr>
            <w:r>
              <w:t xml:space="preserve">±0.01</w:t>
            </w:r>
          </w:p>
        </w:tc>
        <w:tc>
          <w:tcPr/>
          <w:p>
            <w:pPr>
              <w:pStyle w:val="Compact"/>
              <w:jc w:val="left"/>
            </w:pPr>
            <w:r>
              <w:rPr>
                <w:rStyle w:val="VerbatimChar"/>
              </w:rPr>
              <w:t xml:space="preserve">recovery_two_product(0.6,28,0.08)</w:t>
            </w:r>
          </w:p>
        </w:tc>
      </w:tr>
      <w:tr>
        <w:tc>
          <w:tcPr/>
          <w:p>
            <w:pPr>
              <w:pStyle w:val="Compact"/>
              <w:jc w:val="left"/>
            </w:pPr>
            <w:r>
              <w:rPr>
                <w:rStyle w:val="VerbatimChar"/>
              </w:rPr>
              <w:t xml:space="preserve">QUAL.Recovery</w:t>
            </w:r>
            <w:r>
              <w:t xml:space="preserve"> (Li₂O)</w:t>
            </w:r>
          </w:p>
        </w:tc>
        <w:tc>
          <w:tcPr/>
          <w:p>
            <w:pPr>
              <w:pStyle w:val="Compact"/>
              <w:jc w:val="left"/>
            </w:pPr>
            <w:r>
              <w:t xml:space="preserve">f=1.0%, c=4.5%, t=0.35%</w:t>
            </w:r>
          </w:p>
        </w:tc>
        <w:tc>
          <w:tcPr/>
          <w:p>
            <w:pPr>
              <w:pStyle w:val="Compact"/>
              <w:jc w:val="left"/>
            </w:pPr>
            <w:r>
              <w:rPr>
                <w:bCs/>
                <w:b/>
              </w:rPr>
              <w:t xml:space="preserve">70.48%</w:t>
            </w:r>
          </w:p>
        </w:tc>
        <w:tc>
          <w:tcPr/>
          <w:p>
            <w:pPr>
              <w:pStyle w:val="Compact"/>
              <w:jc w:val="left"/>
            </w:pPr>
            <w:r>
              <w:t xml:space="preserve">±0.01</w:t>
            </w:r>
          </w:p>
        </w:tc>
        <w:tc>
          <w:tcPr/>
          <w:p>
            <w:pPr>
              <w:pStyle w:val="Compact"/>
              <w:jc w:val="left"/>
            </w:pPr>
            <w:r>
              <w:rPr>
                <w:rStyle w:val="VerbatimChar"/>
              </w:rPr>
              <w:t xml:space="preserve">recovery_two_product(1.0,4.5,0.35)</w:t>
            </w:r>
          </w:p>
        </w:tc>
      </w:tr>
      <w:tr>
        <w:tc>
          <w:tcPr/>
          <w:p>
            <w:pPr>
              <w:pStyle w:val="Compact"/>
              <w:jc w:val="left"/>
            </w:pPr>
            <w:r>
              <w:rPr>
                <w:rStyle w:val="VerbatimChar"/>
              </w:rPr>
              <w:t xml:space="preserve">COST.CostPerTonne</w:t>
            </w:r>
          </w:p>
        </w:tc>
        <w:tc>
          <w:tcPr/>
          <w:p>
            <w:pPr>
              <w:pStyle w:val="Compact"/>
              <w:jc w:val="left"/>
            </w:pPr>
            <w:r>
              <w:t xml:space="preserve">$79,200 / 36,000 t</w:t>
            </w:r>
          </w:p>
        </w:tc>
        <w:tc>
          <w:tcPr/>
          <w:p>
            <w:pPr>
              <w:pStyle w:val="Compact"/>
              <w:jc w:val="left"/>
            </w:pPr>
            <w:r>
              <w:rPr>
                <w:bCs/>
                <w:b/>
              </w:rPr>
              <w:t xml:space="preserve">$2.20/t</w:t>
            </w:r>
          </w:p>
        </w:tc>
        <w:tc>
          <w:tcPr/>
          <w:p>
            <w:pPr>
              <w:pStyle w:val="Compact"/>
              <w:jc w:val="left"/>
            </w:pPr>
            <w:r>
              <w:t xml:space="preserve">±0.01</w:t>
            </w:r>
          </w:p>
        </w:tc>
        <w:tc>
          <w:tcPr/>
          <w:p>
            <w:pPr>
              <w:pStyle w:val="Compact"/>
              <w:jc w:val="left"/>
            </w:pPr>
            <w:r>
              <w:rPr>
                <w:rStyle w:val="VerbatimChar"/>
              </w:rPr>
              <w:t xml:space="preserve">cost_per_tonne(79200,36000)</w:t>
            </w:r>
          </w:p>
        </w:tc>
      </w:tr>
      <w:tr>
        <w:tc>
          <w:tcPr/>
          <w:p>
            <w:pPr>
              <w:pStyle w:val="Compact"/>
              <w:jc w:val="left"/>
            </w:pPr>
            <w:r>
              <w:rPr>
                <w:rStyle w:val="VerbatimChar"/>
              </w:rPr>
              <w:t xml:space="preserve">SAFE.SpeedViolationRate</w:t>
            </w:r>
          </w:p>
        </w:tc>
        <w:tc>
          <w:tcPr/>
          <w:p>
            <w:pPr>
              <w:pStyle w:val="Compact"/>
              <w:jc w:val="left"/>
            </w:pPr>
            <w:r>
              <w:t xml:space="preserve">7 events / 130 h</w:t>
            </w:r>
          </w:p>
        </w:tc>
        <w:tc>
          <w:tcPr/>
          <w:p>
            <w:pPr>
              <w:pStyle w:val="Compact"/>
              <w:jc w:val="left"/>
            </w:pPr>
            <w:r>
              <w:rPr>
                <w:bCs/>
                <w:b/>
              </w:rPr>
              <w:t xml:space="preserve">5.385 /100h</w:t>
            </w:r>
          </w:p>
        </w:tc>
        <w:tc>
          <w:tcPr/>
          <w:p>
            <w:pPr>
              <w:pStyle w:val="Compact"/>
              <w:jc w:val="left"/>
            </w:pPr>
            <w:r>
              <w:t xml:space="preserve">±0.001</w:t>
            </w:r>
          </w:p>
        </w:tc>
        <w:tc>
          <w:tcPr/>
          <w:p>
            <w:pPr>
              <w:pStyle w:val="Compact"/>
              <w:jc w:val="left"/>
            </w:pPr>
            <w:r>
              <w:rPr>
                <w:rStyle w:val="VerbatimChar"/>
              </w:rPr>
              <w:t xml:space="preserve">speed_violation_rate(7,130)</w:t>
            </w:r>
          </w:p>
        </w:tc>
      </w:tr>
    </w:tbl>
    <w:bookmarkEnd w:id="106"/>
    <w:bookmarkStart w:id="111" w:name="per-notebook-expected-outputs-selected"/>
    <w:p>
      <w:pPr>
        <w:pStyle w:val="Heading2"/>
      </w:pPr>
      <w:bookmarkStart w:id="930070" w:name="_TocLBSv1_930070"/>
      <w:r>
        <w:t xml:space="preserve">Per-notebook expected outputs (selected)</w:t>
      </w:r>
      <w:bookmarkEnd w:id="930070"/>
    </w:p>
    <w:bookmarkStart w:id="107" w:name="nb-06-availability-full-shift"/>
    <w:p>
      <w:pPr>
        <w:pStyle w:val="Heading3"/>
      </w:pPr>
      <w:bookmarkStart w:id="930071" w:name="_TocLBSv1_930071"/>
      <w:r>
        <w:t xml:space="preserve">NB-06 — Availability (full shift)</w:t>
      </w:r>
      <w:bookmarkEnd w:id="930071"/>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KPI</w:t>
            </w:r>
          </w:p>
        </w:tc>
        <w:tc>
          <w:tcPr/>
          <w:p>
            <w:pPr>
              <w:pStyle w:val="Compact"/>
              <w:jc w:val="left"/>
            </w:pPr>
            <w:r>
              <w:t xml:space="preserve">Expected</w:t>
            </w:r>
          </w:p>
        </w:tc>
        <w:tc>
          <w:tcPr/>
          <w:p>
            <w:pPr>
              <w:pStyle w:val="Compact"/>
              <w:jc w:val="left"/>
            </w:pPr>
            <w:r>
              <w:t xml:space="preserve">Tolerance</w:t>
            </w:r>
          </w:p>
        </w:tc>
      </w:tr>
      <w:tr>
        <w:tc>
          <w:tcPr/>
          <w:p>
            <w:pPr>
              <w:pStyle w:val="Compact"/>
              <w:jc w:val="left"/>
            </w:pPr>
            <w:r>
              <w:rPr>
                <w:rStyle w:val="VerbatimChar"/>
              </w:rPr>
              <w:t xml:space="preserve">UTIL.PA</w:t>
            </w:r>
          </w:p>
        </w:tc>
        <w:tc>
          <w:tcPr/>
          <w:p>
            <w:pPr>
              <w:pStyle w:val="Compact"/>
              <w:jc w:val="left"/>
            </w:pPr>
            <w:r>
              <w:t xml:space="preserve">86.9%</w:t>
            </w:r>
          </w:p>
        </w:tc>
        <w:tc>
          <w:tcPr/>
          <w:p>
            <w:pPr>
              <w:pStyle w:val="Compact"/>
              <w:jc w:val="left"/>
            </w:pPr>
            <w:r>
              <w:t xml:space="preserve">±0.1</w:t>
            </w:r>
          </w:p>
        </w:tc>
      </w:tr>
      <w:tr>
        <w:tc>
          <w:tcPr/>
          <w:p>
            <w:pPr>
              <w:pStyle w:val="Compact"/>
              <w:jc w:val="left"/>
            </w:pPr>
            <w:r>
              <w:rPr>
                <w:rStyle w:val="VerbatimChar"/>
              </w:rPr>
              <w:t xml:space="preserve">UTIL.UA</w:t>
            </w:r>
          </w:p>
        </w:tc>
        <w:tc>
          <w:tcPr/>
          <w:p>
            <w:pPr>
              <w:pStyle w:val="Compact"/>
              <w:jc w:val="left"/>
            </w:pPr>
            <w:r>
              <w:t xml:space="preserve">89.0%</w:t>
            </w:r>
          </w:p>
        </w:tc>
        <w:tc>
          <w:tcPr/>
          <w:p>
            <w:pPr>
              <w:pStyle w:val="Compact"/>
              <w:jc w:val="left"/>
            </w:pPr>
            <w:r>
              <w:t xml:space="preserve">±0.1</w:t>
            </w:r>
          </w:p>
        </w:tc>
      </w:tr>
      <w:tr>
        <w:tc>
          <w:tcPr/>
          <w:p>
            <w:pPr>
              <w:pStyle w:val="Compact"/>
              <w:jc w:val="left"/>
            </w:pPr>
            <w:r>
              <w:rPr>
                <w:rStyle w:val="VerbatimChar"/>
              </w:rPr>
              <w:t xml:space="preserve">UTIL.EU</w:t>
            </w:r>
          </w:p>
        </w:tc>
        <w:tc>
          <w:tcPr/>
          <w:p>
            <w:pPr>
              <w:pStyle w:val="Compact"/>
              <w:jc w:val="left"/>
            </w:pPr>
            <w:r>
              <w:t xml:space="preserve">77.4%</w:t>
            </w:r>
          </w:p>
        </w:tc>
        <w:tc>
          <w:tcPr/>
          <w:p>
            <w:pPr>
              <w:pStyle w:val="Compact"/>
              <w:jc w:val="left"/>
            </w:pPr>
            <w:r>
              <w:t xml:space="preserve">±0.1</w:t>
            </w:r>
          </w:p>
        </w:tc>
      </w:tr>
      <w:tr>
        <w:tc>
          <w:tcPr/>
          <w:p>
            <w:pPr>
              <w:pStyle w:val="Compact"/>
              <w:jc w:val="left"/>
            </w:pPr>
            <w:r>
              <w:t xml:space="preserve">EU = PA × UA identity</w:t>
            </w:r>
          </w:p>
        </w:tc>
        <w:tc>
          <w:tcPr/>
          <w:p>
            <w:pPr>
              <w:pStyle w:val="Compact"/>
              <w:jc w:val="left"/>
            </w:pPr>
            <w:r>
              <w:t xml:space="preserve">True</w:t>
            </w:r>
          </w:p>
        </w:tc>
        <w:tc>
          <w:tcPr/>
          <w:p>
            <w:pPr>
              <w:pStyle w:val="Compact"/>
              <w:jc w:val="left"/>
            </w:pPr>
            <w:r>
              <w:t xml:space="preserve">Boolean</w:t>
            </w:r>
          </w:p>
        </w:tc>
      </w:tr>
      <w:tr>
        <w:tc>
          <w:tcPr/>
          <w:p>
            <w:pPr>
              <w:pStyle w:val="Compact"/>
              <w:jc w:val="left"/>
            </w:pPr>
            <w:r>
              <w:t xml:space="preserve">Maintenance delay</w:t>
            </w:r>
          </w:p>
        </w:tc>
        <w:tc>
          <w:tcPr/>
          <w:p>
            <w:pPr>
              <w:pStyle w:val="Compact"/>
              <w:jc w:val="left"/>
            </w:pPr>
            <w:r>
              <w:t xml:space="preserve">22.0 h</w:t>
            </w:r>
          </w:p>
        </w:tc>
        <w:tc>
          <w:tcPr/>
          <w:p>
            <w:pPr>
              <w:pStyle w:val="Compact"/>
              <w:jc w:val="left"/>
            </w:pPr>
            <w:r>
              <w:t xml:space="preserve">±0.5</w:t>
            </w:r>
          </w:p>
        </w:tc>
      </w:tr>
      <w:tr>
        <w:tc>
          <w:tcPr/>
          <w:p>
            <w:pPr>
              <w:pStyle w:val="Compact"/>
              <w:jc w:val="left"/>
            </w:pPr>
            <w:r>
              <w:t xml:space="preserve">Operational delay</w:t>
            </w:r>
          </w:p>
        </w:tc>
        <w:tc>
          <w:tcPr/>
          <w:p>
            <w:pPr>
              <w:pStyle w:val="Compact"/>
              <w:jc w:val="left"/>
            </w:pPr>
            <w:r>
              <w:t xml:space="preserve">16.0 h</w:t>
            </w:r>
          </w:p>
        </w:tc>
        <w:tc>
          <w:tcPr/>
          <w:p>
            <w:pPr>
              <w:pStyle w:val="Compact"/>
              <w:jc w:val="left"/>
            </w:pPr>
            <w:r>
              <w:t xml:space="preserve">±0.5</w:t>
            </w:r>
          </w:p>
        </w:tc>
      </w:tr>
    </w:tbl>
    <w:bookmarkEnd w:id="107"/>
    <w:bookmarkStart w:id="108" w:name="nb-11-truck-productivity-deep-dive"/>
    <w:p>
      <w:pPr>
        <w:pStyle w:val="Heading3"/>
      </w:pPr>
      <w:bookmarkStart w:id="930072" w:name="_TocLBSv1_930072"/>
      <w:r>
        <w:t xml:space="preserve">NB-11 — Truck Productivity Deep Dive</w:t>
      </w:r>
      <w:bookmarkEnd w:id="930072"/>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Output</w:t>
            </w:r>
          </w:p>
        </w:tc>
        <w:tc>
          <w:tcPr/>
          <w:p>
            <w:pPr>
              <w:pStyle w:val="Compact"/>
              <w:jc w:val="left"/>
            </w:pPr>
            <w:r>
              <w:t xml:space="preserve">Expected value</w:t>
            </w:r>
          </w:p>
        </w:tc>
      </w:tr>
      <w:tr>
        <w:tc>
          <w:tcPr/>
          <w:p>
            <w:pPr>
              <w:pStyle w:val="Compact"/>
              <w:jc w:val="left"/>
            </w:pPr>
            <w:r>
              <w:t xml:space="preserve">Fleet mean cycle time</w:t>
            </w:r>
          </w:p>
        </w:tc>
        <w:tc>
          <w:tcPr/>
          <w:p>
            <w:pPr>
              <w:pStyle w:val="Compact"/>
              <w:jc w:val="left"/>
            </w:pPr>
            <w:r>
              <w:t xml:space="preserve">19.47 min</w:t>
            </w:r>
          </w:p>
        </w:tc>
      </w:tr>
      <w:tr>
        <w:tc>
          <w:tcPr/>
          <w:p>
            <w:pPr>
              <w:pStyle w:val="Compact"/>
              <w:jc w:val="left"/>
            </w:pPr>
            <w:r>
              <w:t xml:space="preserve">Fleet mean payload</w:t>
            </w:r>
          </w:p>
        </w:tc>
        <w:tc>
          <w:tcPr/>
          <w:p>
            <w:pPr>
              <w:pStyle w:val="Compact"/>
              <w:jc w:val="left"/>
            </w:pPr>
            <w:r>
              <w:t xml:space="preserve">288.4 t (Pilbara Ridge 290-t rated trucks)</w:t>
            </w:r>
          </w:p>
        </w:tc>
      </w:tr>
      <w:tr>
        <w:tc>
          <w:tcPr/>
          <w:p>
            <w:pPr>
              <w:pStyle w:val="Compact"/>
              <w:jc w:val="left"/>
            </w:pPr>
            <w:r>
              <w:t xml:space="preserve">Fleet TPH</w:t>
            </w:r>
          </w:p>
        </w:tc>
        <w:tc>
          <w:tcPr/>
          <w:p>
            <w:pPr>
              <w:pStyle w:val="Compact"/>
              <w:jc w:val="left"/>
            </w:pPr>
            <w:r>
              <w:t xml:space="preserve">1,212–1,310 t/h depending on shift selection</w:t>
            </w:r>
          </w:p>
        </w:tc>
      </w:tr>
      <w:tr>
        <w:tc>
          <w:tcPr/>
          <w:p>
            <w:pPr>
              <w:pStyle w:val="Compact"/>
              <w:jc w:val="left"/>
            </w:pPr>
            <w:r>
              <w:t xml:space="preserve">Payload coefficient of variation</w:t>
            </w:r>
          </w:p>
        </w:tc>
        <w:tc>
          <w:tcPr/>
          <w:p>
            <w:pPr>
              <w:pStyle w:val="Compact"/>
              <w:jc w:val="left"/>
            </w:pPr>
            <w:r>
              <w:t xml:space="preserve">&lt; 3% (healthy loading)</w:t>
            </w:r>
          </w:p>
        </w:tc>
      </w:tr>
      <w:tr>
        <w:tc>
          <w:tcPr/>
          <w:p>
            <w:pPr>
              <w:pStyle w:val="Compact"/>
              <w:jc w:val="left"/>
            </w:pPr>
            <w:r>
              <w:t xml:space="preserve">Top cycle-time leg</w:t>
            </w:r>
          </w:p>
        </w:tc>
        <w:tc>
          <w:tcPr/>
          <w:p>
            <w:pPr>
              <w:pStyle w:val="Compact"/>
              <w:jc w:val="left"/>
            </w:pPr>
            <w:r>
              <w:t xml:space="preserve">haul (8.1–8.6 min, ~44% of cycle)</w:t>
            </w:r>
          </w:p>
        </w:tc>
      </w:tr>
    </w:tbl>
    <w:bookmarkEnd w:id="108"/>
    <w:bookmarkStart w:id="109" w:name="nb-23-copper-recovery"/>
    <w:p>
      <w:pPr>
        <w:pStyle w:val="Heading3"/>
      </w:pPr>
      <w:bookmarkStart w:id="930073" w:name="_TocLBSv1_930073"/>
      <w:r>
        <w:t xml:space="preserve">NB-23 — Copper Recovery</w:t>
      </w:r>
      <w:bookmarkEnd w:id="930073"/>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Output</w:t>
            </w:r>
          </w:p>
        </w:tc>
        <w:tc>
          <w:tcPr/>
          <w:p>
            <w:pPr>
              <w:pStyle w:val="Compact"/>
              <w:jc w:val="left"/>
            </w:pPr>
            <w:r>
              <w:t xml:space="preserve">Expected value</w:t>
            </w:r>
          </w:p>
        </w:tc>
      </w:tr>
      <w:tr>
        <w:tc>
          <w:tcPr/>
          <w:p>
            <w:pPr>
              <w:pStyle w:val="Compact"/>
              <w:jc w:val="left"/>
            </w:pPr>
            <w:r>
              <w:t xml:space="preserve">Mean shift recovery</w:t>
            </w:r>
          </w:p>
        </w:tc>
        <w:tc>
          <w:tcPr/>
          <w:p>
            <w:pPr>
              <w:pStyle w:val="Compact"/>
              <w:jc w:val="left"/>
            </w:pPr>
            <w:r>
              <w:t xml:space="preserve">86.91% (canonical)</w:t>
            </w:r>
          </w:p>
        </w:tc>
      </w:tr>
      <w:tr>
        <w:tc>
          <w:tcPr/>
          <w:p>
            <w:pPr>
              <w:pStyle w:val="Compact"/>
              <w:jc w:val="left"/>
            </w:pPr>
            <w:r>
              <w:t xml:space="preserve">Range (28-shift dataset)</w:t>
            </w:r>
          </w:p>
        </w:tc>
        <w:tc>
          <w:tcPr/>
          <w:p>
            <w:pPr>
              <w:pStyle w:val="Compact"/>
              <w:jc w:val="left"/>
            </w:pPr>
            <w:r>
              <w:t xml:space="preserve">84.2% – 88.5%</w:t>
            </w:r>
          </w:p>
        </w:tc>
      </w:tr>
      <w:tr>
        <w:tc>
          <w:tcPr/>
          <w:p>
            <w:pPr>
              <w:pStyle w:val="Compact"/>
              <w:jc w:val="left"/>
            </w:pPr>
            <w:r>
              <w:t xml:space="preserve">Top recovery driver</w:t>
            </w:r>
          </w:p>
        </w:tc>
        <w:tc>
          <w:tcPr/>
          <w:p>
            <w:pPr>
              <w:pStyle w:val="Compact"/>
              <w:jc w:val="left"/>
            </w:pPr>
            <w:r>
              <w:t xml:space="preserve">concentrate grade stability</w:t>
            </w:r>
          </w:p>
        </w:tc>
      </w:tr>
      <w:tr>
        <w:tc>
          <w:tcPr/>
          <w:p>
            <w:pPr>
              <w:pStyle w:val="Compact"/>
              <w:jc w:val="left"/>
            </w:pPr>
            <w:r>
              <w:t xml:space="preserve">Recovery trend chart</w:t>
            </w:r>
          </w:p>
        </w:tc>
        <w:tc>
          <w:tcPr/>
          <w:p>
            <w:pPr>
              <w:pStyle w:val="Compact"/>
              <w:jc w:val="left"/>
            </w:pPr>
            <w:r>
              <w:t xml:space="preserve">±1.5% around mean</w:t>
            </w:r>
          </w:p>
        </w:tc>
      </w:tr>
    </w:tbl>
    <w:bookmarkEnd w:id="109"/>
    <w:bookmarkStart w:id="110" w:name="nb-44-fleet-simulation"/>
    <w:p>
      <w:pPr>
        <w:pStyle w:val="Heading3"/>
      </w:pPr>
      <w:bookmarkStart w:id="930074" w:name="_TocLBSv1_930074"/>
      <w:r>
        <w:t xml:space="preserve">NB-44 — Fleet Simulation</w:t>
      </w:r>
      <w:bookmarkEnd w:id="930074"/>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Trucks</w:t>
            </w:r>
          </w:p>
        </w:tc>
        <w:tc>
          <w:tcPr/>
          <w:p>
            <w:pPr>
              <w:pStyle w:val="Compact"/>
              <w:jc w:val="left"/>
            </w:pPr>
            <w:r>
              <w:t xml:space="preserve">Match Factor</w:t>
            </w:r>
          </w:p>
        </w:tc>
        <w:tc>
          <w:tcPr/>
          <w:p>
            <w:pPr>
              <w:pStyle w:val="Compact"/>
              <w:jc w:val="left"/>
            </w:pPr>
            <w:r>
              <w:t xml:space="preserve">Expected TPH change</w:t>
            </w:r>
          </w:p>
        </w:tc>
      </w:tr>
      <w:tr>
        <w:tc>
          <w:tcPr/>
          <w:p>
            <w:pPr>
              <w:pStyle w:val="Compact"/>
              <w:jc w:val="left"/>
            </w:pPr>
            <w:r>
              <w:t xml:space="preserve">5</w:t>
            </w:r>
          </w:p>
        </w:tc>
        <w:tc>
          <w:tcPr/>
          <w:p>
            <w:pPr>
              <w:pStyle w:val="Compact"/>
              <w:jc w:val="left"/>
            </w:pPr>
            <w:r>
              <w:t xml:space="preserve">0.769</w:t>
            </w:r>
          </w:p>
        </w:tc>
        <w:tc>
          <w:tcPr/>
          <w:p>
            <w:pPr>
              <w:pStyle w:val="Compact"/>
              <w:jc w:val="left"/>
            </w:pPr>
            <w:r>
              <w:t xml:space="preserve">−15% vs balanced</w:t>
            </w:r>
          </w:p>
        </w:tc>
      </w:tr>
      <w:tr>
        <w:tc>
          <w:tcPr/>
          <w:p>
            <w:pPr>
              <w:pStyle w:val="Compact"/>
              <w:jc w:val="left"/>
            </w:pPr>
            <w:r>
              <w:t xml:space="preserve">6</w:t>
            </w:r>
          </w:p>
        </w:tc>
        <w:tc>
          <w:tcPr/>
          <w:p>
            <w:pPr>
              <w:pStyle w:val="Compact"/>
              <w:jc w:val="left"/>
            </w:pPr>
            <w:r>
              <w:t xml:space="preserve">0.923</w:t>
            </w:r>
          </w:p>
        </w:tc>
        <w:tc>
          <w:tcPr/>
          <w:p>
            <w:pPr>
              <w:pStyle w:val="Compact"/>
              <w:jc w:val="left"/>
            </w:pPr>
            <w:r>
              <w:t xml:space="preserve">−5% vs balanced</w:t>
            </w:r>
          </w:p>
        </w:tc>
      </w:tr>
      <w:tr>
        <w:tc>
          <w:tcPr/>
          <w:p>
            <w:pPr>
              <w:pStyle w:val="Compact"/>
              <w:jc w:val="left"/>
            </w:pPr>
            <w:r>
              <w:t xml:space="preserve">7</w:t>
            </w:r>
          </w:p>
        </w:tc>
        <w:tc>
          <w:tcPr/>
          <w:p>
            <w:pPr>
              <w:pStyle w:val="Compact"/>
              <w:jc w:val="left"/>
            </w:pPr>
            <w:r>
              <w:t xml:space="preserve">1.077</w:t>
            </w:r>
          </w:p>
        </w:tc>
        <w:tc>
          <w:tcPr/>
          <w:p>
            <w:pPr>
              <w:pStyle w:val="Compact"/>
              <w:jc w:val="left"/>
            </w:pPr>
            <w:r>
              <w:t xml:space="preserve">~balanced (truck queue forming)</w:t>
            </w:r>
          </w:p>
        </w:tc>
      </w:tr>
      <w:tr>
        <w:tc>
          <w:tcPr/>
          <w:p>
            <w:pPr>
              <w:pStyle w:val="Compact"/>
              <w:jc w:val="left"/>
            </w:pPr>
            <w:r>
              <w:t xml:space="preserve">8</w:t>
            </w:r>
          </w:p>
        </w:tc>
        <w:tc>
          <w:tcPr/>
          <w:p>
            <w:pPr>
              <w:pStyle w:val="Compact"/>
              <w:jc w:val="left"/>
            </w:pPr>
            <w:r>
              <w:t xml:space="preserve">1.231</w:t>
            </w:r>
          </w:p>
        </w:tc>
        <w:tc>
          <w:tcPr/>
          <w:p>
            <w:pPr>
              <w:pStyle w:val="Compact"/>
              <w:jc w:val="left"/>
            </w:pPr>
            <w:r>
              <w:t xml:space="preserve">shovel-limited, no gain</w:t>
            </w:r>
          </w:p>
        </w:tc>
      </w:tr>
    </w:tbl>
    <w:bookmarkEnd w:id="110"/>
    <w:bookmarkEnd w:id="111"/>
    <w:bookmarkStart w:id="112" w:name="regression-test-outputs"/>
    <w:p>
      <w:pPr>
        <w:pStyle w:val="Heading2"/>
      </w:pPr>
      <w:bookmarkStart w:id="930075" w:name="_TocLBSv1_930075"/>
      <w:r>
        <w:t xml:space="preserve">Regression-test outputs</w:t>
      </w:r>
      <w:bookmarkEnd w:id="930075"/>
    </w:p>
    <w:p>
      <w:pPr>
        <w:pStyle w:val="FirstParagraph"/>
      </w:pPr>
      <w:r>
        <w:t xml:space="preserve">The regression-test harness (</w:t>
      </w:r>
      <w:r>
        <w:rPr>
          <w:rStyle w:val="VerbatimChar"/>
        </w:rPr>
        <w:t xml:space="preserve">tests/regression/run_regression.py</w:t>
      </w:r>
      <w:r>
        <w:t xml:space="preserve">) reads </w:t>
      </w:r>
      <w:r>
        <w:rPr>
          <w:rStyle w:val="VerbatimChar"/>
        </w:rPr>
        <w:t xml:space="preserve">tests/regression/expected_outputs.json</w:t>
      </w:r>
      <w:r>
        <w:t xml:space="preserve"> and confirms all 22 Active-KPI values are within tolerance on every run. The file is version-controlled; any change to it is a breaking change.</w:t>
      </w:r>
    </w:p>
    <w:p>
      <w:pPr>
        <w:pStyle w:val="SourceCode"/>
      </w:pPr>
      <w:r>
        <w:rPr>
          <w:rStyle w:val="FunctionTok"/>
        </w:rPr>
        <w:t xml:space="preserve">{</w:t>
      </w:r>
      <w:r>
        <w:br/>
      </w:r>
      <w:r>
        <w:rPr>
          <w:rStyle w:val="NormalTok"/>
        </w:rPr>
        <w:t xml:space="preserve">  </w:t>
      </w:r>
      <w:r>
        <w:rPr>
          <w:rStyle w:val="DataTypeTok"/>
        </w:rPr>
        <w:t xml:space="preserve">"PROD.TPH"</w:t>
      </w:r>
      <w:r>
        <w:rPr>
          <w:rStyle w:val="FunctionTok"/>
        </w:rPr>
        <w:t xml:space="preserve">:</w:t>
      </w:r>
      <w:r>
        <w:rPr>
          <w:rStyle w:val="NormalTok"/>
        </w:rPr>
        <w:t xml:space="preserve"> </w:t>
      </w:r>
      <w:r>
        <w:rPr>
          <w:rStyle w:val="FunctionTok"/>
        </w:rPr>
        <w:t xml:space="preserve">{</w:t>
      </w:r>
      <w:r>
        <w:rPr>
          <w:rStyle w:val="DataTypeTok"/>
        </w:rPr>
        <w:t xml:space="preserve">"input"</w:t>
      </w:r>
      <w:r>
        <w:rPr>
          <w:rStyle w:val="FunctionTok"/>
        </w:rPr>
        <w:t xml:space="preserve">:</w:t>
      </w:r>
      <w:r>
        <w:rPr>
          <w:rStyle w:val="NormalTok"/>
        </w:rPr>
        <w:t xml:space="preserve"> </w:t>
      </w:r>
      <w:r>
        <w:rPr>
          <w:rStyle w:val="FunctionTok"/>
        </w:rPr>
        <w:t xml:space="preserve">{</w:t>
      </w:r>
      <w:r>
        <w:rPr>
          <w:rStyle w:val="DataTypeTok"/>
        </w:rPr>
        <w:t xml:space="preserve">"tonnes"</w:t>
      </w:r>
      <w:r>
        <w:rPr>
          <w:rStyle w:val="FunctionTok"/>
        </w:rPr>
        <w:t xml:space="preserve">:</w:t>
      </w:r>
      <w:r>
        <w:rPr>
          <w:rStyle w:val="NormalTok"/>
        </w:rPr>
        <w:t xml:space="preserve"> </w:t>
      </w:r>
      <w:r>
        <w:rPr>
          <w:rStyle w:val="DecValTok"/>
        </w:rPr>
        <w:t xml:space="preserve">36000</w:t>
      </w:r>
      <w:r>
        <w:rPr>
          <w:rStyle w:val="FunctionTok"/>
        </w:rPr>
        <w:t xml:space="preserve">,</w:t>
      </w:r>
      <w:r>
        <w:rPr>
          <w:rStyle w:val="NormalTok"/>
        </w:rPr>
        <w:t xml:space="preserve"> </w:t>
      </w:r>
      <w:r>
        <w:rPr>
          <w:rStyle w:val="DataTypeTok"/>
        </w:rPr>
        <w:t xml:space="preserve">"operating_hours"</w:t>
      </w:r>
      <w:r>
        <w:rPr>
          <w:rStyle w:val="FunctionTok"/>
        </w:rPr>
        <w:t xml:space="preserve">:</w:t>
      </w:r>
      <w:r>
        <w:rPr>
          <w:rStyle w:val="NormalTok"/>
        </w:rPr>
        <w:t xml:space="preserve"> </w:t>
      </w:r>
      <w:r>
        <w:rPr>
          <w:rStyle w:val="FloatTok"/>
        </w:rPr>
        <w:t xml:space="preserve">29.7</w:t>
      </w:r>
      <w:r>
        <w:rPr>
          <w:rStyle w:val="FunctionTok"/>
        </w:rPr>
        <w:t xml:space="preserve">},</w:t>
      </w:r>
      <w:r>
        <w:br/>
      </w:r>
      <w:r>
        <w:rPr>
          <w:rStyle w:val="NormalTok"/>
        </w:rPr>
        <w:t xml:space="preserve">               </w:t>
      </w:r>
      <w:r>
        <w:rPr>
          <w:rStyle w:val="DataTypeTok"/>
        </w:rPr>
        <w:t xml:space="preserve">"expected"</w:t>
      </w:r>
      <w:r>
        <w:rPr>
          <w:rStyle w:val="FunctionTok"/>
        </w:rPr>
        <w:t xml:space="preserve">:</w:t>
      </w:r>
      <w:r>
        <w:rPr>
          <w:rStyle w:val="NormalTok"/>
        </w:rPr>
        <w:t xml:space="preserve"> </w:t>
      </w:r>
      <w:r>
        <w:rPr>
          <w:rStyle w:val="FloatTok"/>
        </w:rPr>
        <w:t xml:space="preserve">1212.1</w:t>
      </w:r>
      <w:r>
        <w:rPr>
          <w:rStyle w:val="FunctionTok"/>
        </w:rPr>
        <w:t xml:space="preserve">,</w:t>
      </w:r>
      <w:r>
        <w:rPr>
          <w:rStyle w:val="NormalTok"/>
        </w:rPr>
        <w:t xml:space="preserve"> </w:t>
      </w:r>
      <w:r>
        <w:rPr>
          <w:rStyle w:val="DataTypeTok"/>
        </w:rPr>
        <w:t xml:space="preserve">"tolerance"</w:t>
      </w:r>
      <w:r>
        <w:rPr>
          <w:rStyle w:val="FunctionTok"/>
        </w:rPr>
        <w:t xml:space="preserve">:</w:t>
      </w:r>
      <w:r>
        <w:rPr>
          <w:rStyle w:val="NormalTok"/>
        </w:rPr>
        <w:t xml:space="preserve"> </w:t>
      </w:r>
      <w:r>
        <w:rPr>
          <w:rStyle w:val="FloatTok"/>
        </w:rPr>
        <w:t xml:space="preserve">0.1</w:t>
      </w:r>
      <w:r>
        <w:rPr>
          <w:rStyle w:val="FunctionTok"/>
        </w:rPr>
        <w:t xml:space="preserve">},</w:t>
      </w:r>
      <w:r>
        <w:br/>
      </w:r>
      <w:r>
        <w:rPr>
          <w:rStyle w:val="NormalTok"/>
        </w:rPr>
        <w:t xml:space="preserve">  </w:t>
      </w:r>
      <w:r>
        <w:rPr>
          <w:rStyle w:val="DataTypeTok"/>
        </w:rPr>
        <w:t xml:space="preserve">"UTIL.PA"</w:t>
      </w:r>
      <w:r>
        <w:rPr>
          <w:rStyle w:val="FunctionTok"/>
        </w:rPr>
        <w:t xml:space="preserve">:</w:t>
      </w:r>
      <w:r>
        <w:rPr>
          <w:rStyle w:val="NormalTok"/>
        </w:rPr>
        <w:t xml:space="preserve">  </w:t>
      </w:r>
      <w:r>
        <w:rPr>
          <w:rStyle w:val="FunctionTok"/>
        </w:rPr>
        <w:t xml:space="preserve">{</w:t>
      </w:r>
      <w:r>
        <w:rPr>
          <w:rStyle w:val="DataTypeTok"/>
        </w:rPr>
        <w:t xml:space="preserve">"input"</w:t>
      </w:r>
      <w:r>
        <w:rPr>
          <w:rStyle w:val="FunctionTok"/>
        </w:rPr>
        <w:t xml:space="preserve">:</w:t>
      </w:r>
      <w:r>
        <w:rPr>
          <w:rStyle w:val="NormalTok"/>
        </w:rPr>
        <w:t xml:space="preserve"> </w:t>
      </w:r>
      <w:r>
        <w:rPr>
          <w:rStyle w:val="FunctionTok"/>
        </w:rPr>
        <w:t xml:space="preserve">{</w:t>
      </w:r>
      <w:r>
        <w:rPr>
          <w:rStyle w:val="DataTypeTok"/>
        </w:rPr>
        <w:t xml:space="preserve">"available_hours"</w:t>
      </w:r>
      <w:r>
        <w:rPr>
          <w:rStyle w:val="FunctionTok"/>
        </w:rPr>
        <w:t xml:space="preserve">:</w:t>
      </w:r>
      <w:r>
        <w:rPr>
          <w:rStyle w:val="NormalTok"/>
        </w:rPr>
        <w:t xml:space="preserve"> </w:t>
      </w:r>
      <w:r>
        <w:rPr>
          <w:rStyle w:val="DecValTok"/>
        </w:rPr>
        <w:t xml:space="preserve">146</w:t>
      </w:r>
      <w:r>
        <w:rPr>
          <w:rStyle w:val="FunctionTok"/>
        </w:rPr>
        <w:t xml:space="preserve">,</w:t>
      </w:r>
      <w:r>
        <w:rPr>
          <w:rStyle w:val="NormalTok"/>
        </w:rPr>
        <w:t xml:space="preserve"> </w:t>
      </w:r>
      <w:r>
        <w:rPr>
          <w:rStyle w:val="DataTypeTok"/>
        </w:rPr>
        <w:t xml:space="preserve">"scheduled_hours"</w:t>
      </w:r>
      <w:r>
        <w:rPr>
          <w:rStyle w:val="FunctionTok"/>
        </w:rPr>
        <w:t xml:space="preserve">:</w:t>
      </w:r>
      <w:r>
        <w:rPr>
          <w:rStyle w:val="NormalTok"/>
        </w:rPr>
        <w:t xml:space="preserve"> </w:t>
      </w:r>
      <w:r>
        <w:rPr>
          <w:rStyle w:val="DecValTok"/>
        </w:rPr>
        <w:t xml:space="preserve">168</w:t>
      </w:r>
      <w:r>
        <w:rPr>
          <w:rStyle w:val="FunctionTok"/>
        </w:rPr>
        <w:t xml:space="preserve">},</w:t>
      </w:r>
      <w:r>
        <w:br/>
      </w:r>
      <w:r>
        <w:rPr>
          <w:rStyle w:val="NormalTok"/>
        </w:rPr>
        <w:t xml:space="preserve">               </w:t>
      </w:r>
      <w:r>
        <w:rPr>
          <w:rStyle w:val="DataTypeTok"/>
        </w:rPr>
        <w:t xml:space="preserve">"expected"</w:t>
      </w:r>
      <w:r>
        <w:rPr>
          <w:rStyle w:val="FunctionTok"/>
        </w:rPr>
        <w:t xml:space="preserve">:</w:t>
      </w:r>
      <w:r>
        <w:rPr>
          <w:rStyle w:val="NormalTok"/>
        </w:rPr>
        <w:t xml:space="preserve"> </w:t>
      </w:r>
      <w:r>
        <w:rPr>
          <w:rStyle w:val="FloatTok"/>
        </w:rPr>
        <w:t xml:space="preserve">86.9</w:t>
      </w:r>
      <w:r>
        <w:rPr>
          <w:rStyle w:val="FunctionTok"/>
        </w:rPr>
        <w:t xml:space="preserve">,</w:t>
      </w:r>
      <w:r>
        <w:rPr>
          <w:rStyle w:val="NormalTok"/>
        </w:rPr>
        <w:t xml:space="preserve"> </w:t>
      </w:r>
      <w:r>
        <w:rPr>
          <w:rStyle w:val="DataTypeTok"/>
        </w:rPr>
        <w:t xml:space="preserve">"tolerance"</w:t>
      </w:r>
      <w:r>
        <w:rPr>
          <w:rStyle w:val="FunctionTok"/>
        </w:rPr>
        <w:t xml:space="preserve">:</w:t>
      </w:r>
      <w:r>
        <w:rPr>
          <w:rStyle w:val="NormalTok"/>
        </w:rPr>
        <w:t xml:space="preserve"> </w:t>
      </w:r>
      <w:r>
        <w:rPr>
          <w:rStyle w:val="FloatTok"/>
        </w:rPr>
        <w:t xml:space="preserve">0.1</w:t>
      </w:r>
      <w:r>
        <w:rPr>
          <w:rStyle w:val="FunctionTok"/>
        </w:rPr>
        <w:t xml:space="preserve">},</w:t>
      </w:r>
      <w:r>
        <w:br/>
      </w:r>
      <w:r>
        <w:rPr>
          <w:rStyle w:val="NormalTok"/>
        </w:rPr>
        <w:t xml:space="preserve">  </w:t>
      </w:r>
      <w:r>
        <w:rPr>
          <w:rStyle w:val="ErrorTok"/>
        </w:rPr>
        <w:t xml:space="preserve">...</w:t>
      </w:r>
      <w:r>
        <w:br/>
      </w:r>
      <w:r>
        <w:rPr>
          <w:rStyle w:val="FunctionTok"/>
        </w:rPr>
        <w:t xml:space="preserve">}</w:t>
      </w:r>
    </w:p>
    <w:p>
      <w:r>
        <w:br w:type="page"/>
      </w:r>
    </w:p>
    <w:bookmarkEnd w:id="112"/>
    <w:bookmarkEnd w:id="113"/>
    <w:bookmarkStart w:id="127" w:name="part-iv-benchmark-seeds"/>
    <w:p>
      <w:pPr>
        <w:pStyle w:val="Heading1"/>
      </w:pPr>
      <w:bookmarkStart w:id="930076" w:name="_TocLBSv1_930076"/>
      <w:r>
        <w:t xml:space="preserve">Part IV — Benchmark Seeds</w:t>
      </w:r>
      <w:bookmarkEnd w:id="930076"/>
    </w:p>
    <w:p>
      <w:pPr>
        <w:pStyle w:val="LearningObjectives"/>
      </w:pPr>
      <w:r>
        <w:rPr>
          <w:bCs/>
          <w:b/>
        </w:rPr>
        <w:t xml:space="preserve">Learning Objectives.</w:t>
      </w:r>
      <w:r>
        <w:t xml:space="preserve"> After reading this part you will understand: the purpose and limits of benchmark seeds; how the four operational scenarios (Excellent/Good/Average/Poor) are defined; the illustrative KPI ranges for each commodity; and why these are explicitly </w:t>
      </w:r>
      <w:r>
        <w:rPr>
          <w:iCs/>
          <w:i/>
        </w:rPr>
        <w:t xml:space="preserve">not</w:t>
      </w:r>
      <w:r>
        <w:t xml:space="preserve"> normative industry benchmarks.</w:t>
      </w:r>
    </w:p>
    <w:p>
      <w:pPr>
        <w:pStyle w:val="Warning"/>
      </w:pPr>
      <w:r>
        <w:rPr>
          <w:bCs/>
          <w:b/>
        </w:rPr>
        <w:t xml:space="preserve">These are educational datasets, not validated industry benchmarks.</w:t>
      </w:r>
      <w:r>
        <w:t xml:space="preserve"> Benchmark seeds are illustrative operational scenarios designed to teach learners what a high-performing or underperforming mine </w:t>
      </w:r>
      <w:r>
        <w:rPr>
          <w:iCs/>
          <w:i/>
        </w:rPr>
        <w:t xml:space="preserve">looks like</w:t>
      </w:r>
      <w:r>
        <w:t xml:space="preserve"> in data — the shapes, patterns, and KPI signatures. They are deliberately labelled “Excellent/Good/Average/Poor” relative to each dataset’s own plan rate, not against external industry standards. Future certified benchmark thresholds are a separate, governed deliverable requiring industry validation.</w:t>
      </w:r>
    </w:p>
    <w:p>
      <w:pPr>
        <w:pStyle w:val="CaptionedFigure"/>
      </w:pPr>
      <w:r>
        <w:drawing>
          <wp:inline>
            <wp:extent cx="5334000" cy="2502584"/>
            <wp:effectExtent b="0" l="0" r="0" t="0"/>
            <wp:docPr descr="Benchmark Seeds: four operational scenarios (Excellent, Good, Average, Poor) for each of the seven commodities, with illustrative KPI ranges relative to the plan rate. The warning at the base reminds users these are educational scenarios, not normative benchmarks." title="" id="115" name="Picture"/>
            <a:graphic>
              <a:graphicData uri="http://schemas.openxmlformats.org/drawingml/2006/picture">
                <pic:pic>
                  <pic:nvPicPr>
                    <pic:cNvPr descr="/home/claude/lbs_figs/lbs_benchmark_seeds.png" id="116" name="Picture"/>
                    <pic:cNvPicPr>
                      <a:picLocks noChangeArrowheads="1" noChangeAspect="1"/>
                    </pic:cNvPicPr>
                  </pic:nvPicPr>
                  <pic:blipFill>
                    <a:blip r:embed="rId114"/>
                    <a:stretch>
                      <a:fillRect/>
                    </a:stretch>
                  </pic:blipFill>
                  <pic:spPr bwMode="auto">
                    <a:xfrm>
                      <a:off x="0" y="0"/>
                      <a:ext cx="5334000" cy="2502584"/>
                    </a:xfrm>
                    <a:prstGeom prst="rect">
                      <a:avLst/>
                    </a:prstGeom>
                    <a:noFill/>
                    <a:ln w="9525">
                      <a:noFill/>
                      <a:headEnd/>
                      <a:tailEnd/>
                    </a:ln>
                  </pic:spPr>
                </pic:pic>
              </a:graphicData>
            </a:graphic>
          </wp:inline>
        </w:drawing>
      </w:r>
    </w:p>
    <w:p>
      <w:pPr>
        <w:pStyle w:val="ImageCaption"/>
      </w:pPr>
      <w:r>
        <w:t xml:space="preserve">Benchmark Seeds: four operational scenarios (Excellent, Good, Average, Poor) for each of the seven commodities, with illustrative KPI ranges relative to the plan rate. The warning at the base reminds users these are educational scenarios, not normative benchmarks.</w:t>
      </w:r>
    </w:p>
    <w:bookmarkStart w:id="121" w:name="scenario-definitions"/>
    <w:p>
      <w:pPr>
        <w:pStyle w:val="Heading2"/>
      </w:pPr>
      <w:bookmarkStart w:id="930077" w:name="_TocLBSv1_930077"/>
      <w:r>
        <w:t xml:space="preserve">Scenario definitions</w:t>
      </w:r>
      <w:bookmarkEnd w:id="930077"/>
    </w:p>
    <w:p>
      <w:pPr>
        <w:pStyle w:val="FirstParagraph"/>
      </w:pPr>
      <w:r>
        <w:t xml:space="preserve">Each benchmark seed is a complete synthetic dataset (all core tables) representing 28 days (56 shifts) of operations at a given mine, parameterised to produce KPIs in the target scenario band.</w:t>
      </w:r>
    </w:p>
    <w:bookmarkStart w:id="117" w:name="excellent-scenario"/>
    <w:p>
      <w:pPr>
        <w:pStyle w:val="Heading3"/>
      </w:pPr>
      <w:bookmarkStart w:id="930078" w:name="_TocLBSv1_930078"/>
      <w:r>
        <w:t xml:space="preserve">Excellent scenario</w:t>
      </w:r>
      <w:bookmarkEnd w:id="930078"/>
    </w:p>
    <w:p>
      <w:pPr>
        <w:pStyle w:val="FirstParagraph"/>
      </w:pPr>
      <w:r>
        <w:t>An Excellent dataset represents operations running at or above plan, with high availability, low non-scheduled delay, consistent payload, and no significant reliability events. It is designed to show what “everything working well” looks like — useful for target-setting and as a regression baseline.</w:t>
      </w:r>
    </w:p>
    <w:p>
      <w:pPr>
        <w:pStyle w:val="BodyText"/>
      </w:pPr>
      <w:r>
        <w:rPr>
          <w:bCs/>
          <w:b/>
        </w:rPr>
        <w:t xml:space="preserve">Illustrative KPI signatures — Pilbara Ridge iron ore (Excellent).</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KPI</w:t>
            </w:r>
          </w:p>
        </w:tc>
        <w:tc>
          <w:tcPr/>
          <w:p>
            <w:pPr>
              <w:pStyle w:val="Compact"/>
              <w:jc w:val="left"/>
            </w:pPr>
            <w:r>
              <w:t xml:space="preserve">Illustrative range</w:t>
            </w:r>
          </w:p>
        </w:tc>
        <w:tc>
          <w:tcPr/>
          <w:p>
            <w:pPr>
              <w:pStyle w:val="Compact"/>
              <w:jc w:val="left"/>
            </w:pPr>
            <w:r>
              <w:t xml:space="preserve">Notes</w:t>
            </w:r>
          </w:p>
        </w:tc>
      </w:tr>
      <w:tr>
        <w:tc>
          <w:tcPr/>
          <w:p>
            <w:pPr>
              <w:pStyle w:val="Compact"/>
              <w:jc w:val="left"/>
            </w:pPr>
            <w:r>
              <w:rPr>
                <w:rStyle w:val="VerbatimChar"/>
              </w:rPr>
              <w:t xml:space="preserve">PROD.TPH</w:t>
            </w:r>
          </w:p>
        </w:tc>
        <w:tc>
          <w:tcPr/>
          <w:p>
            <w:pPr>
              <w:pStyle w:val="Compact"/>
              <w:jc w:val="left"/>
            </w:pPr>
            <w:r>
              <w:t xml:space="preserve">1,280 – 1,350 t/h</w:t>
            </w:r>
          </w:p>
        </w:tc>
        <w:tc>
          <w:tcPr/>
          <w:p>
            <w:pPr>
              <w:pStyle w:val="Compact"/>
              <w:jc w:val="left"/>
            </w:pPr>
            <w:r>
              <w:t xml:space="preserve">At or above plan rate</w:t>
            </w:r>
          </w:p>
        </w:tc>
      </w:tr>
      <w:tr>
        <w:tc>
          <w:tcPr/>
          <w:p>
            <w:pPr>
              <w:pStyle w:val="Compact"/>
              <w:jc w:val="left"/>
            </w:pPr>
            <w:r>
              <w:rPr>
                <w:rStyle w:val="VerbatimChar"/>
              </w:rPr>
              <w:t xml:space="preserve">UTIL.PA</w:t>
            </w:r>
          </w:p>
        </w:tc>
        <w:tc>
          <w:tcPr/>
          <w:p>
            <w:pPr>
              <w:pStyle w:val="Compact"/>
              <w:jc w:val="left"/>
            </w:pPr>
            <w:r>
              <w:t xml:space="preserve">91 – 94%</w:t>
            </w:r>
          </w:p>
        </w:tc>
        <w:tc>
          <w:tcPr/>
          <w:p>
            <w:pPr>
              <w:pStyle w:val="Compact"/>
              <w:jc w:val="left"/>
            </w:pPr>
            <w:r>
              <w:t xml:space="preserve">Low equipment delay</w:t>
            </w:r>
          </w:p>
        </w:tc>
      </w:tr>
      <w:tr>
        <w:tc>
          <w:tcPr/>
          <w:p>
            <w:pPr>
              <w:pStyle w:val="Compact"/>
              <w:jc w:val="left"/>
            </w:pPr>
            <w:r>
              <w:rPr>
                <w:rStyle w:val="VerbatimChar"/>
              </w:rPr>
              <w:t xml:space="preserve">UTIL.UA</w:t>
            </w:r>
          </w:p>
        </w:tc>
        <w:tc>
          <w:tcPr/>
          <w:p>
            <w:pPr>
              <w:pStyle w:val="Compact"/>
              <w:jc w:val="left"/>
            </w:pPr>
            <w:r>
              <w:t xml:space="preserve">92 – 95%</w:t>
            </w:r>
          </w:p>
        </w:tc>
        <w:tc>
          <w:tcPr/>
          <w:p>
            <w:pPr>
              <w:pStyle w:val="Compact"/>
              <w:jc w:val="left"/>
            </w:pPr>
            <w:r>
              <w:t xml:space="preserve">Minimal standby and operational delay</w:t>
            </w:r>
          </w:p>
        </w:tc>
      </w:tr>
      <w:tr>
        <w:tc>
          <w:tcPr/>
          <w:p>
            <w:pPr>
              <w:pStyle w:val="Compact"/>
              <w:jc w:val="left"/>
            </w:pPr>
            <w:r>
              <w:rPr>
                <w:rStyle w:val="VerbatimChar"/>
              </w:rPr>
              <w:t xml:space="preserve">UTIL.EU</w:t>
            </w:r>
          </w:p>
        </w:tc>
        <w:tc>
          <w:tcPr/>
          <w:p>
            <w:pPr>
              <w:pStyle w:val="Compact"/>
              <w:jc w:val="left"/>
            </w:pPr>
            <w:r>
              <w:t xml:space="preserve">84 – 89%</w:t>
            </w:r>
          </w:p>
        </w:tc>
        <w:tc>
          <w:tcPr/>
          <w:p>
            <w:pPr>
              <w:pStyle w:val="Compact"/>
              <w:jc w:val="left"/>
            </w:pPr>
            <w:r>
              <w:t xml:space="preserve">PA × UA composite</w:t>
            </w:r>
          </w:p>
        </w:tc>
      </w:tr>
      <w:tr>
        <w:tc>
          <w:tcPr/>
          <w:p>
            <w:pPr>
              <w:pStyle w:val="Compact"/>
              <w:jc w:val="left"/>
            </w:pPr>
            <w:r>
              <w:rPr>
                <w:rStyle w:val="VerbatimChar"/>
              </w:rPr>
              <w:t xml:space="preserve">MAINT.MTBF</w:t>
            </w:r>
          </w:p>
        </w:tc>
        <w:tc>
          <w:tcPr/>
          <w:p>
            <w:pPr>
              <w:pStyle w:val="Compact"/>
              <w:jc w:val="left"/>
            </w:pPr>
            <w:r>
              <w:t xml:space="preserve">45 – 60 h</w:t>
            </w:r>
          </w:p>
        </w:tc>
        <w:tc>
          <w:tcPr/>
          <w:p>
            <w:pPr>
              <w:pStyle w:val="Compact"/>
              <w:jc w:val="left"/>
            </w:pPr>
            <w:r>
              <w:t xml:space="preserve">Infrequent failures</w:t>
            </w:r>
          </w:p>
        </w:tc>
      </w:tr>
      <w:tr>
        <w:tc>
          <w:tcPr/>
          <w:p>
            <w:pPr>
              <w:pStyle w:val="Compact"/>
              <w:jc w:val="left"/>
            </w:pPr>
            <w:r>
              <w:rPr>
                <w:rStyle w:val="VerbatimChar"/>
              </w:rPr>
              <w:t xml:space="preserve">MAINT.MTTR</w:t>
            </w:r>
          </w:p>
        </w:tc>
        <w:tc>
          <w:tcPr/>
          <w:p>
            <w:pPr>
              <w:pStyle w:val="Compact"/>
              <w:jc w:val="left"/>
            </w:pPr>
            <w:r>
              <w:t xml:space="preserve">2.0 – 3.0 h</w:t>
            </w:r>
          </w:p>
        </w:tc>
        <w:tc>
          <w:tcPr/>
          <w:p>
            <w:pPr>
              <w:pStyle w:val="Compact"/>
              <w:jc w:val="left"/>
            </w:pPr>
            <w:r>
              <w:t xml:space="preserve">Fast response, parts available</w:t>
            </w:r>
          </w:p>
        </w:tc>
      </w:tr>
      <w:tr>
        <w:tc>
          <w:tcPr/>
          <w:p>
            <w:pPr>
              <w:pStyle w:val="Compact"/>
              <w:jc w:val="left"/>
            </w:pPr>
            <w:r>
              <w:rPr>
                <w:rStyle w:val="VerbatimChar"/>
              </w:rPr>
              <w:t xml:space="preserve">ENERGY.FuelPerTonne</w:t>
            </w:r>
          </w:p>
        </w:tc>
        <w:tc>
          <w:tcPr/>
          <w:p>
            <w:pPr>
              <w:pStyle w:val="Compact"/>
              <w:jc w:val="left"/>
            </w:pPr>
            <w:r>
              <w:t xml:space="preserve">0.52 – 0.56 L/t</w:t>
            </w:r>
          </w:p>
        </w:tc>
        <w:tc>
          <w:tcPr/>
          <w:p>
            <w:pPr>
              <w:pStyle w:val="Compact"/>
              <w:jc w:val="left"/>
            </w:pPr>
            <w:r>
              <w:t xml:space="preserve">Below benchmark — good payloads, low idle</w:t>
            </w:r>
          </w:p>
        </w:tc>
      </w:tr>
      <w:tr>
        <w:tc>
          <w:tcPr/>
          <w:p>
            <w:pPr>
              <w:pStyle w:val="Compact"/>
              <w:jc w:val="left"/>
            </w:pPr>
            <w:r>
              <w:rPr>
                <w:rStyle w:val="VerbatimChar"/>
              </w:rPr>
              <w:t xml:space="preserve">DELAY.Hours</w:t>
            </w:r>
          </w:p>
        </w:tc>
        <w:tc>
          <w:tcPr/>
          <w:p>
            <w:pPr>
              <w:pStyle w:val="Compact"/>
              <w:jc w:val="left"/>
            </w:pPr>
            <w:r>
              <w:t xml:space="preserve">5 – 7 h/shift</w:t>
            </w:r>
          </w:p>
        </w:tc>
        <w:tc>
          <w:tcPr/>
          <w:p>
            <w:pPr>
              <w:pStyle w:val="Compact"/>
              <w:jc w:val="left"/>
            </w:pPr>
            <w:r>
              <w:t xml:space="preserve">Dominated by scheduled events</w:t>
            </w:r>
          </w:p>
        </w:tc>
      </w:tr>
      <w:tr>
        <w:tc>
          <w:tcPr/>
          <w:p>
            <w:pPr>
              <w:pStyle w:val="Compact"/>
              <w:jc w:val="left"/>
            </w:pPr>
            <w:r>
              <w:rPr>
                <w:rStyle w:val="VerbatimChar"/>
              </w:rPr>
              <w:t xml:space="preserve">SAFE.SpeedViolationRate</w:t>
            </w:r>
          </w:p>
        </w:tc>
        <w:tc>
          <w:tcPr/>
          <w:p>
            <w:pPr>
              <w:pStyle w:val="Compact"/>
              <w:jc w:val="left"/>
            </w:pPr>
            <w:r>
              <w:t xml:space="preserve">1 – 2 per 100 h</w:t>
            </w:r>
          </w:p>
        </w:tc>
        <w:tc>
          <w:tcPr/>
          <w:p>
            <w:pPr>
              <w:pStyle w:val="Compact"/>
              <w:jc w:val="left"/>
            </w:pPr>
            <w:r>
              <w:t xml:space="preserve">Strong operating discipline</w:t>
            </w:r>
          </w:p>
        </w:tc>
      </w:tr>
    </w:tbl>
    <w:bookmarkEnd w:id="117"/>
    <w:bookmarkStart w:id="118" w:name="good-scenario"/>
    <w:p>
      <w:pPr>
        <w:pStyle w:val="Heading3"/>
      </w:pPr>
      <w:bookmarkStart w:id="930079" w:name="_TocLBSv1_930079"/>
      <w:r>
        <w:t xml:space="preserve">Good scenario</w:t>
      </w:r>
      <w:bookmarkEnd w:id="930079"/>
    </w:p>
    <w:p>
      <w:pPr>
        <w:pStyle w:val="FirstParagraph"/>
      </w:pPr>
      <w:r>
        <w:t xml:space="preserve">Good operations are on-plan or marginally below, with occasional recoverable delays, normal equipment availability, and no sustained reliability issue.</w:t>
      </w:r>
    </w:p>
    <w:p>
      <w:pPr>
        <w:pStyle w:val="BodyText"/>
      </w:pPr>
      <w:r>
        <w:rPr>
          <w:bCs/>
          <w:b/>
        </w:rPr>
        <w:t xml:space="preserve">Illustrative KPI signatures — Pilbara Ridge iron ore (Good).</w:t>
      </w:r>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KPI</w:t>
            </w:r>
          </w:p>
        </w:tc>
        <w:tc>
          <w:tcPr/>
          <w:p>
            <w:pPr>
              <w:pStyle w:val="Compact"/>
              <w:jc w:val="left"/>
            </w:pPr>
            <w:r>
              <w:t xml:space="preserve">Illustrative range</w:t>
            </w:r>
          </w:p>
        </w:tc>
        <w:tc>
          <w:tcPr/>
          <w:p>
            <w:pPr>
              <w:pStyle w:val="Compact"/>
              <w:jc w:val="left"/>
            </w:pPr>
            <w:r>
              <w:t xml:space="preserve">Notes</w:t>
            </w:r>
          </w:p>
        </w:tc>
      </w:tr>
      <w:tr>
        <w:tc>
          <w:tcPr/>
          <w:p>
            <w:pPr>
              <w:pStyle w:val="Compact"/>
              <w:jc w:val="left"/>
            </w:pPr>
            <w:r>
              <w:rPr>
                <w:rStyle w:val="VerbatimChar"/>
              </w:rPr>
              <w:t xml:space="preserve">PROD.TPH</w:t>
            </w:r>
          </w:p>
        </w:tc>
        <w:tc>
          <w:tcPr/>
          <w:p>
            <w:pPr>
              <w:pStyle w:val="Compact"/>
              <w:jc w:val="left"/>
            </w:pPr>
            <w:r>
              <w:t xml:space="preserve">1,200 – 1,280 t/h</w:t>
            </w:r>
          </w:p>
        </w:tc>
        <w:tc>
          <w:tcPr/>
          <w:p>
            <w:pPr>
              <w:pStyle w:val="Compact"/>
              <w:jc w:val="left"/>
            </w:pPr>
            <w:r>
              <w:t xml:space="preserve">Within ±5% of plan</w:t>
            </w:r>
          </w:p>
        </w:tc>
      </w:tr>
      <w:tr>
        <w:tc>
          <w:tcPr/>
          <w:p>
            <w:pPr>
              <w:pStyle w:val="Compact"/>
              <w:jc w:val="left"/>
            </w:pPr>
            <w:r>
              <w:rPr>
                <w:rStyle w:val="VerbatimChar"/>
              </w:rPr>
              <w:t xml:space="preserve">UTIL.PA</w:t>
            </w:r>
          </w:p>
        </w:tc>
        <w:tc>
          <w:tcPr/>
          <w:p>
            <w:pPr>
              <w:pStyle w:val="Compact"/>
              <w:jc w:val="left"/>
            </w:pPr>
            <w:r>
              <w:t xml:space="preserve">86 – 91%</w:t>
            </w:r>
          </w:p>
        </w:tc>
        <w:tc>
          <w:tcPr/>
          <w:p>
            <w:pPr>
              <w:pStyle w:val="Compact"/>
              <w:jc w:val="left"/>
            </w:pPr>
            <w:r>
              <w:t xml:space="preserve">Occasional unplanned stops</w:t>
            </w:r>
          </w:p>
        </w:tc>
      </w:tr>
      <w:tr>
        <w:tc>
          <w:tcPr/>
          <w:p>
            <w:pPr>
              <w:pStyle w:val="Compact"/>
              <w:jc w:val="left"/>
            </w:pPr>
            <w:r>
              <w:rPr>
                <w:rStyle w:val="VerbatimChar"/>
              </w:rPr>
              <w:t xml:space="preserve">UTIL.UA</w:t>
            </w:r>
          </w:p>
        </w:tc>
        <w:tc>
          <w:tcPr/>
          <w:p>
            <w:pPr>
              <w:pStyle w:val="Compact"/>
              <w:jc w:val="left"/>
            </w:pPr>
            <w:r>
              <w:t xml:space="preserve">87 – 92%</w:t>
            </w:r>
          </w:p>
        </w:tc>
        <w:tc>
          <w:tcPr/>
          <w:p>
            <w:pPr>
              <w:pStyle w:val="Compact"/>
              <w:jc w:val="left"/>
            </w:pPr>
            <w:r>
              <w:t xml:space="preserve">Small standby loss</w:t>
            </w:r>
          </w:p>
        </w:tc>
      </w:tr>
      <w:tr>
        <w:tc>
          <w:tcPr/>
          <w:p>
            <w:pPr>
              <w:pStyle w:val="Compact"/>
              <w:jc w:val="left"/>
            </w:pPr>
            <w:r>
              <w:rPr>
                <w:rStyle w:val="VerbatimChar"/>
              </w:rPr>
              <w:t xml:space="preserve">MAINT.MTBF</w:t>
            </w:r>
          </w:p>
        </w:tc>
        <w:tc>
          <w:tcPr/>
          <w:p>
            <w:pPr>
              <w:pStyle w:val="Compact"/>
              <w:jc w:val="left"/>
            </w:pPr>
            <w:r>
              <w:t xml:space="preserve">30 – 45 h</w:t>
            </w:r>
          </w:p>
        </w:tc>
        <w:tc>
          <w:tcPr/>
          <w:p>
            <w:pPr>
              <w:pStyle w:val="Compact"/>
              <w:jc w:val="left"/>
            </w:pPr>
            <w:r>
              <w:t xml:space="preserve">Typical fleet</w:t>
            </w:r>
          </w:p>
        </w:tc>
      </w:tr>
      <w:tr>
        <w:tc>
          <w:tcPr/>
          <w:p>
            <w:pPr>
              <w:pStyle w:val="Compact"/>
              <w:jc w:val="left"/>
            </w:pPr>
            <w:r>
              <w:rPr>
                <w:rStyle w:val="VerbatimChar"/>
              </w:rPr>
              <w:t xml:space="preserve">ENERGY.FuelPerTonne</w:t>
            </w:r>
          </w:p>
        </w:tc>
        <w:tc>
          <w:tcPr/>
          <w:p>
            <w:pPr>
              <w:pStyle w:val="Compact"/>
              <w:jc w:val="left"/>
            </w:pPr>
            <w:r>
              <w:t xml:space="preserve">0.56 – 0.62 L/t</w:t>
            </w:r>
          </w:p>
        </w:tc>
        <w:tc>
          <w:tcPr/>
          <w:p>
            <w:pPr>
              <w:pStyle w:val="Compact"/>
              <w:jc w:val="left"/>
            </w:pPr>
            <w:r>
              <w:t xml:space="preserve">On benchmark</w:t>
            </w:r>
          </w:p>
        </w:tc>
      </w:tr>
      <w:tr>
        <w:tc>
          <w:tcPr/>
          <w:p>
            <w:pPr>
              <w:pStyle w:val="Compact"/>
              <w:jc w:val="left"/>
            </w:pPr>
            <w:r>
              <w:rPr>
                <w:rStyle w:val="VerbatimChar"/>
              </w:rPr>
              <w:t xml:space="preserve">DELAY.Hours</w:t>
            </w:r>
          </w:p>
        </w:tc>
        <w:tc>
          <w:tcPr/>
          <w:p>
            <w:pPr>
              <w:pStyle w:val="Compact"/>
              <w:jc w:val="left"/>
            </w:pPr>
            <w:r>
              <w:t xml:space="preserve">7 – 10 h/shift</w:t>
            </w:r>
          </w:p>
        </w:tc>
        <w:tc>
          <w:tcPr/>
          <w:p>
            <w:pPr>
              <w:pStyle w:val="Compact"/>
              <w:jc w:val="left"/>
            </w:pPr>
            <w:r>
              <w:t xml:space="preserve">Mix of scheduled and operational</w:t>
            </w:r>
          </w:p>
        </w:tc>
      </w:tr>
    </w:tbl>
    <w:bookmarkEnd w:id="118"/>
    <w:bookmarkStart w:id="119" w:name="average-scenario"/>
    <w:p>
      <w:pPr>
        <w:pStyle w:val="Heading3"/>
      </w:pPr>
      <w:bookmarkStart w:id="930080" w:name="_TocLBSv1_930080"/>
      <w:r>
        <w:t xml:space="preserve">Average scenario</w:t>
      </w:r>
      <w:bookmarkEnd w:id="930080"/>
    </w:p>
    <w:p>
      <w:pPr>
        <w:pStyle w:val="FirstParagraph"/>
      </w:pPr>
      <w:r>
        <w:t xml:space="preserve">Average operations show 5–15% below-plan production, elevated delay (non-scheduled mix growing), occasional reliability events, and fuel intensity at the top of the typical range.</w:t>
      </w:r>
    </w:p>
    <w:p>
      <w:pPr>
        <w:pStyle w:val="BodyText"/>
      </w:pPr>
      <w:r>
        <w:rPr>
          <w:bCs/>
          <w:b/>
        </w:rPr>
        <w:t xml:space="preserve">Illustrative KPI signatures — Pilbara Ridge iron ore (Average).</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KPI</w:t>
            </w:r>
          </w:p>
        </w:tc>
        <w:tc>
          <w:tcPr/>
          <w:p>
            <w:pPr>
              <w:pStyle w:val="Compact"/>
              <w:jc w:val="left"/>
            </w:pPr>
            <w:r>
              <w:t xml:space="preserve">Illustrative range</w:t>
            </w:r>
          </w:p>
        </w:tc>
        <w:tc>
          <w:tcPr/>
          <w:p>
            <w:pPr>
              <w:pStyle w:val="Compact"/>
              <w:jc w:val="left"/>
            </w:pPr>
            <w:r>
              <w:t xml:space="preserve">Notes</w:t>
            </w:r>
          </w:p>
        </w:tc>
      </w:tr>
      <w:tr>
        <w:tc>
          <w:tcPr/>
          <w:p>
            <w:pPr>
              <w:pStyle w:val="Compact"/>
              <w:jc w:val="left"/>
            </w:pPr>
            <w:r>
              <w:rPr>
                <w:rStyle w:val="VerbatimChar"/>
              </w:rPr>
              <w:t xml:space="preserve">PROD.TPH</w:t>
            </w:r>
          </w:p>
        </w:tc>
        <w:tc>
          <w:tcPr/>
          <w:p>
            <w:pPr>
              <w:pStyle w:val="Compact"/>
              <w:jc w:val="left"/>
            </w:pPr>
            <w:r>
              <w:t xml:space="preserve">1,040 – 1,200 t/h</w:t>
            </w:r>
          </w:p>
        </w:tc>
        <w:tc>
          <w:tcPr/>
          <w:p>
            <w:pPr>
              <w:pStyle w:val="Compact"/>
              <w:jc w:val="left"/>
            </w:pPr>
            <w:r>
              <w:t xml:space="preserve">–5% to –15% of plan</w:t>
            </w:r>
          </w:p>
        </w:tc>
      </w:tr>
      <w:tr>
        <w:tc>
          <w:tcPr/>
          <w:p>
            <w:pPr>
              <w:pStyle w:val="Compact"/>
              <w:jc w:val="left"/>
            </w:pPr>
            <w:r>
              <w:rPr>
                <w:rStyle w:val="VerbatimChar"/>
              </w:rPr>
              <w:t xml:space="preserve">UTIL.PA</w:t>
            </w:r>
          </w:p>
        </w:tc>
        <w:tc>
          <w:tcPr/>
          <w:p>
            <w:pPr>
              <w:pStyle w:val="Compact"/>
              <w:jc w:val="left"/>
            </w:pPr>
            <w:r>
              <w:t xml:space="preserve">80 – 86%</w:t>
            </w:r>
          </w:p>
        </w:tc>
        <w:tc>
          <w:tcPr/>
          <w:p>
            <w:pPr>
              <w:pStyle w:val="Compact"/>
              <w:jc w:val="left"/>
            </w:pPr>
            <w:r>
              <w:t xml:space="preserve">Elevated equipment delay</w:t>
            </w:r>
          </w:p>
        </w:tc>
      </w:tr>
      <w:tr>
        <w:tc>
          <w:tcPr/>
          <w:p>
            <w:pPr>
              <w:pStyle w:val="Compact"/>
              <w:jc w:val="left"/>
            </w:pPr>
            <w:r>
              <w:rPr>
                <w:rStyle w:val="VerbatimChar"/>
              </w:rPr>
              <w:t xml:space="preserve">UTIL.UA</w:t>
            </w:r>
          </w:p>
        </w:tc>
        <w:tc>
          <w:tcPr/>
          <w:p>
            <w:pPr>
              <w:pStyle w:val="Compact"/>
              <w:jc w:val="left"/>
            </w:pPr>
            <w:r>
              <w:t xml:space="preserve">82 – 87%</w:t>
            </w:r>
          </w:p>
        </w:tc>
        <w:tc>
          <w:tcPr/>
          <w:p>
            <w:pPr>
              <w:pStyle w:val="Compact"/>
              <w:jc w:val="left"/>
            </w:pPr>
            <w:r>
              <w:t xml:space="preserve">Standby growing</w:t>
            </w:r>
          </w:p>
        </w:tc>
      </w:tr>
      <w:tr>
        <w:tc>
          <w:tcPr/>
          <w:p>
            <w:pPr>
              <w:pStyle w:val="Compact"/>
              <w:jc w:val="left"/>
            </w:pPr>
            <w:r>
              <w:rPr>
                <w:rStyle w:val="VerbatimChar"/>
              </w:rPr>
              <w:t xml:space="preserve">MAINT.MTBF</w:t>
            </w:r>
          </w:p>
        </w:tc>
        <w:tc>
          <w:tcPr/>
          <w:p>
            <w:pPr>
              <w:pStyle w:val="Compact"/>
              <w:jc w:val="left"/>
            </w:pPr>
            <w:r>
              <w:t xml:space="preserve">18 – 30 h</w:t>
            </w:r>
          </w:p>
        </w:tc>
        <w:tc>
          <w:tcPr/>
          <w:p>
            <w:pPr>
              <w:pStyle w:val="Compact"/>
              <w:jc w:val="left"/>
            </w:pPr>
            <w:r>
              <w:t xml:space="preserve">Reliability degrading</w:t>
            </w:r>
          </w:p>
        </w:tc>
      </w:tr>
      <w:tr>
        <w:tc>
          <w:tcPr/>
          <w:p>
            <w:pPr>
              <w:pStyle w:val="Compact"/>
              <w:jc w:val="left"/>
            </w:pPr>
            <w:r>
              <w:rPr>
                <w:rStyle w:val="VerbatimChar"/>
              </w:rPr>
              <w:t xml:space="preserve">ENERGY.FuelPerTonne</w:t>
            </w:r>
          </w:p>
        </w:tc>
        <w:tc>
          <w:tcPr/>
          <w:p>
            <w:pPr>
              <w:pStyle w:val="Compact"/>
              <w:jc w:val="left"/>
            </w:pPr>
            <w:r>
              <w:t xml:space="preserve">0.62 – 0.70 L/t</w:t>
            </w:r>
          </w:p>
        </w:tc>
        <w:tc>
          <w:tcPr/>
          <w:p>
            <w:pPr>
              <w:pStyle w:val="Compact"/>
              <w:jc w:val="left"/>
            </w:pPr>
            <w:r>
              <w:t xml:space="preserve">Rising — under-loading or idling</w:t>
            </w:r>
          </w:p>
        </w:tc>
      </w:tr>
      <w:tr>
        <w:tc>
          <w:tcPr/>
          <w:p>
            <w:pPr>
              <w:pStyle w:val="Compact"/>
              <w:jc w:val="left"/>
            </w:pPr>
            <w:r>
              <w:rPr>
                <w:rStyle w:val="VerbatimChar"/>
              </w:rPr>
              <w:t xml:space="preserve">DELAY.Hours</w:t>
            </w:r>
          </w:p>
        </w:tc>
        <w:tc>
          <w:tcPr/>
          <w:p>
            <w:pPr>
              <w:pStyle w:val="Compact"/>
              <w:jc w:val="left"/>
            </w:pPr>
            <w:r>
              <w:t xml:space="preserve">10 – 14 h/shift</w:t>
            </w:r>
          </w:p>
        </w:tc>
        <w:tc>
          <w:tcPr/>
          <w:p>
            <w:pPr>
              <w:pStyle w:val="Compact"/>
              <w:jc w:val="left"/>
            </w:pPr>
            <w:r>
              <w:t xml:space="preserve">Operational and equipment mix</w:t>
            </w:r>
          </w:p>
        </w:tc>
      </w:tr>
      <w:tr>
        <w:tc>
          <w:tcPr/>
          <w:p>
            <w:pPr>
              <w:pStyle w:val="Compact"/>
              <w:jc w:val="left"/>
            </w:pPr>
            <w:r>
              <w:rPr>
                <w:rStyle w:val="VerbatimChar"/>
              </w:rPr>
              <w:t xml:space="preserve">SAFE.SpeedViolationRate</w:t>
            </w:r>
          </w:p>
        </w:tc>
        <w:tc>
          <w:tcPr/>
          <w:p>
            <w:pPr>
              <w:pStyle w:val="Compact"/>
              <w:jc w:val="left"/>
            </w:pPr>
            <w:r>
              <w:t xml:space="preserve">6 – 10 per 100 h</w:t>
            </w:r>
          </w:p>
        </w:tc>
        <w:tc>
          <w:tcPr/>
          <w:p>
            <w:pPr>
              <w:pStyle w:val="Compact"/>
              <w:jc w:val="left"/>
            </w:pPr>
            <w:r>
              <w:t xml:space="preserve">Deteriorating</w:t>
            </w:r>
          </w:p>
        </w:tc>
      </w:tr>
    </w:tbl>
    <w:bookmarkEnd w:id="119"/>
    <w:bookmarkStart w:id="120" w:name="poor-scenario"/>
    <w:p>
      <w:pPr>
        <w:pStyle w:val="Heading3"/>
      </w:pPr>
      <w:bookmarkStart w:id="930081" w:name="_TocLBSv1_930081"/>
      <w:r>
        <w:t xml:space="preserve">Poor scenario</w:t>
      </w:r>
      <w:bookmarkEnd w:id="930081"/>
    </w:p>
    <w:p>
      <w:pPr>
        <w:pStyle w:val="FirstParagraph"/>
      </w:pPr>
      <w:r>
        <w:t>Poor operations show &gt; 20% below-plan production, availability well below 80%, dominant equipment and standby delay, and elevated fuel/cost intensity. Designed to teach root-cause analysis and intervention — the “what to fix” teaching scenario.</w:t>
      </w:r>
    </w:p>
    <w:p>
      <w:pPr>
        <w:pStyle w:val="BodyText"/>
      </w:pPr>
      <w:r>
        <w:rPr>
          <w:bCs/>
          <w:b/>
        </w:rPr>
        <w:t xml:space="preserve">Illustrative KPI signatures — Pilbara Ridge iron ore (Poor).</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KPI</w:t>
            </w:r>
          </w:p>
        </w:tc>
        <w:tc>
          <w:tcPr/>
          <w:p>
            <w:pPr>
              <w:pStyle w:val="Compact"/>
              <w:jc w:val="left"/>
            </w:pPr>
            <w:r>
              <w:t xml:space="preserve">Illustrative range</w:t>
            </w:r>
          </w:p>
        </w:tc>
        <w:tc>
          <w:tcPr/>
          <w:p>
            <w:pPr>
              <w:pStyle w:val="Compact"/>
              <w:jc w:val="left"/>
            </w:pPr>
            <w:r>
              <w:t xml:space="preserve">Notes</w:t>
            </w:r>
          </w:p>
        </w:tc>
      </w:tr>
      <w:tr>
        <w:tc>
          <w:tcPr/>
          <w:p>
            <w:pPr>
              <w:pStyle w:val="Compact"/>
              <w:jc w:val="left"/>
            </w:pPr>
            <w:r>
              <w:rPr>
                <w:rStyle w:val="VerbatimChar"/>
              </w:rPr>
              <w:t xml:space="preserve">PROD.TPH</w:t>
            </w:r>
          </w:p>
        </w:tc>
        <w:tc>
          <w:tcPr/>
          <w:p>
            <w:pPr>
              <w:pStyle w:val="Compact"/>
              <w:jc w:val="left"/>
            </w:pPr>
            <w:r>
              <w:t xml:space="preserve">800 – 1,040 t/h</w:t>
            </w:r>
          </w:p>
        </w:tc>
        <w:tc>
          <w:tcPr/>
          <w:p>
            <w:pPr>
              <w:pStyle w:val="Compact"/>
              <w:jc w:val="left"/>
            </w:pPr>
            <w:r>
              <w:t xml:space="preserve">&gt; –20% of plan</w:t>
            </w:r>
          </w:p>
        </w:tc>
      </w:tr>
      <w:tr>
        <w:tc>
          <w:tcPr/>
          <w:p>
            <w:pPr>
              <w:pStyle w:val="Compact"/>
              <w:jc w:val="left"/>
            </w:pPr>
            <w:r>
              <w:rPr>
                <w:rStyle w:val="VerbatimChar"/>
              </w:rPr>
              <w:t xml:space="preserve">UTIL.PA</w:t>
            </w:r>
          </w:p>
        </w:tc>
        <w:tc>
          <w:tcPr/>
          <w:p>
            <w:pPr>
              <w:pStyle w:val="Compact"/>
              <w:jc w:val="left"/>
            </w:pPr>
            <w:r>
              <w:t xml:space="preserve">70 – 80%</w:t>
            </w:r>
          </w:p>
        </w:tc>
        <w:tc>
          <w:tcPr/>
          <w:p>
            <w:pPr>
              <w:pStyle w:val="Compact"/>
              <w:jc w:val="left"/>
            </w:pPr>
            <w:r>
              <w:t xml:space="preserve">Chronic equipment breakdown</w:t>
            </w:r>
          </w:p>
        </w:tc>
      </w:tr>
      <w:tr>
        <w:tc>
          <w:tcPr/>
          <w:p>
            <w:pPr>
              <w:pStyle w:val="Compact"/>
              <w:jc w:val="left"/>
            </w:pPr>
            <w:r>
              <w:rPr>
                <w:rStyle w:val="VerbatimChar"/>
              </w:rPr>
              <w:t xml:space="preserve">UTIL.UA</w:t>
            </w:r>
          </w:p>
        </w:tc>
        <w:tc>
          <w:tcPr/>
          <w:p>
            <w:pPr>
              <w:pStyle w:val="Compact"/>
              <w:jc w:val="left"/>
            </w:pPr>
            <w:r>
              <w:t xml:space="preserve">72 – 82%</w:t>
            </w:r>
          </w:p>
        </w:tc>
        <w:tc>
          <w:tcPr/>
          <w:p>
            <w:pPr>
              <w:pStyle w:val="Compact"/>
              <w:jc w:val="left"/>
            </w:pPr>
            <w:r>
              <w:t xml:space="preserve">Standby and operational loss</w:t>
            </w:r>
          </w:p>
        </w:tc>
      </w:tr>
      <w:tr>
        <w:tc>
          <w:tcPr/>
          <w:p>
            <w:pPr>
              <w:pStyle w:val="Compact"/>
              <w:jc w:val="left"/>
            </w:pPr>
            <w:r>
              <w:rPr>
                <w:rStyle w:val="VerbatimChar"/>
              </w:rPr>
              <w:t xml:space="preserve">MAINT.MTBF</w:t>
            </w:r>
          </w:p>
        </w:tc>
        <w:tc>
          <w:tcPr/>
          <w:p>
            <w:pPr>
              <w:pStyle w:val="Compact"/>
              <w:jc w:val="left"/>
            </w:pPr>
            <w:r>
              <w:t xml:space="preserve">8 – 18 h</w:t>
            </w:r>
          </w:p>
        </w:tc>
        <w:tc>
          <w:tcPr/>
          <w:p>
            <w:pPr>
              <w:pStyle w:val="Compact"/>
              <w:jc w:val="left"/>
            </w:pPr>
            <w:r>
              <w:t xml:space="preserve">Frequent failures</w:t>
            </w:r>
          </w:p>
        </w:tc>
      </w:tr>
      <w:tr>
        <w:tc>
          <w:tcPr/>
          <w:p>
            <w:pPr>
              <w:pStyle w:val="Compact"/>
              <w:jc w:val="left"/>
            </w:pPr>
            <w:r>
              <w:rPr>
                <w:rStyle w:val="VerbatimChar"/>
              </w:rPr>
              <w:t xml:space="preserve">MAINT.MTTR</w:t>
            </w:r>
          </w:p>
        </w:tc>
        <w:tc>
          <w:tcPr/>
          <w:p>
            <w:pPr>
              <w:pStyle w:val="Compact"/>
              <w:jc w:val="left"/>
            </w:pPr>
            <w:r>
              <w:t xml:space="preserve">4 – 8 h</w:t>
            </w:r>
          </w:p>
        </w:tc>
        <w:tc>
          <w:tcPr/>
          <w:p>
            <w:pPr>
              <w:pStyle w:val="Compact"/>
              <w:jc w:val="left"/>
            </w:pPr>
            <w:r>
              <w:t xml:space="preserve">Parts/crew delays</w:t>
            </w:r>
          </w:p>
        </w:tc>
      </w:tr>
      <w:tr>
        <w:tc>
          <w:tcPr/>
          <w:p>
            <w:pPr>
              <w:pStyle w:val="Compact"/>
              <w:jc w:val="left"/>
            </w:pPr>
            <w:r>
              <w:rPr>
                <w:rStyle w:val="VerbatimChar"/>
              </w:rPr>
              <w:t xml:space="preserve">MAINT.Ai</w:t>
            </w:r>
          </w:p>
        </w:tc>
        <w:tc>
          <w:tcPr/>
          <w:p>
            <w:pPr>
              <w:pStyle w:val="Compact"/>
              <w:jc w:val="left"/>
            </w:pPr>
            <w:r>
              <w:t xml:space="preserve">72 – 82%</w:t>
            </w:r>
          </w:p>
        </w:tc>
        <w:tc>
          <w:tcPr/>
          <w:p>
            <w:pPr>
              <w:pStyle w:val="Compact"/>
              <w:jc w:val="left"/>
            </w:pPr>
            <w:r>
              <w:t xml:space="preserve">Logistics gap wide</w:t>
            </w:r>
          </w:p>
        </w:tc>
      </w:tr>
      <w:tr>
        <w:tc>
          <w:tcPr/>
          <w:p>
            <w:pPr>
              <w:pStyle w:val="Compact"/>
              <w:jc w:val="left"/>
            </w:pPr>
            <w:r>
              <w:rPr>
                <w:rStyle w:val="VerbatimChar"/>
              </w:rPr>
              <w:t xml:space="preserve">ENERGY.FuelPerTonne</w:t>
            </w:r>
          </w:p>
        </w:tc>
        <w:tc>
          <w:tcPr/>
          <w:p>
            <w:pPr>
              <w:pStyle w:val="Compact"/>
              <w:jc w:val="left"/>
            </w:pPr>
            <w:r>
              <w:t xml:space="preserve">0.70 – 0.85 L/t</w:t>
            </w:r>
          </w:p>
        </w:tc>
        <w:tc>
          <w:tcPr/>
          <w:p>
            <w:pPr>
              <w:pStyle w:val="Compact"/>
              <w:jc w:val="left"/>
            </w:pPr>
            <w:r>
              <w:t xml:space="preserve">High idle, low payload</w:t>
            </w:r>
          </w:p>
        </w:tc>
      </w:tr>
      <w:tr>
        <w:tc>
          <w:tcPr/>
          <w:p>
            <w:pPr>
              <w:pStyle w:val="Compact"/>
              <w:jc w:val="left"/>
            </w:pPr>
            <w:r>
              <w:rPr>
                <w:rStyle w:val="VerbatimChar"/>
              </w:rPr>
              <w:t xml:space="preserve">DELAY.Hours</w:t>
            </w:r>
          </w:p>
        </w:tc>
        <w:tc>
          <w:tcPr/>
          <w:p>
            <w:pPr>
              <w:pStyle w:val="Compact"/>
              <w:jc w:val="left"/>
            </w:pPr>
            <w:r>
              <w:t xml:space="preserve">14 – 18 h/shift</w:t>
            </w:r>
          </w:p>
        </w:tc>
        <w:tc>
          <w:tcPr/>
          <w:p>
            <w:pPr>
              <w:pStyle w:val="Compact"/>
              <w:jc w:val="left"/>
            </w:pPr>
            <w:r>
              <w:t xml:space="preserve">Equipment-dominated</w:t>
            </w:r>
          </w:p>
        </w:tc>
      </w:tr>
      <w:tr>
        <w:tc>
          <w:tcPr/>
          <w:p>
            <w:pPr>
              <w:pStyle w:val="Compact"/>
              <w:jc w:val="left"/>
            </w:pPr>
            <w:r>
              <w:rPr>
                <w:rStyle w:val="VerbatimChar"/>
              </w:rPr>
              <w:t xml:space="preserve">SAFE.SpeedViolationRate</w:t>
            </w:r>
          </w:p>
        </w:tc>
        <w:tc>
          <w:tcPr/>
          <w:p>
            <w:pPr>
              <w:pStyle w:val="Compact"/>
              <w:jc w:val="left"/>
            </w:pPr>
            <w:r>
              <w:t xml:space="preserve">12 – 20 per 100 h</w:t>
            </w:r>
          </w:p>
        </w:tc>
        <w:tc>
          <w:tcPr/>
          <w:p>
            <w:pPr>
              <w:pStyle w:val="Compact"/>
              <w:jc w:val="left"/>
            </w:pPr>
            <w:r>
              <w:t xml:space="preserve">High — intervention required</w:t>
            </w:r>
          </w:p>
        </w:tc>
      </w:tr>
    </w:tbl>
    <w:bookmarkEnd w:id="120"/>
    <w:bookmarkEnd w:id="121"/>
    <w:bookmarkStart w:id="126" w:name="commodity-specific-scenario-summaries"/>
    <w:p>
      <w:pPr>
        <w:pStyle w:val="Heading2"/>
      </w:pPr>
      <w:bookmarkStart w:id="930082" w:name="_TocLBSv1_930082"/>
      <w:r>
        <w:t xml:space="preserve">Commodity-specific scenario summaries</w:t>
      </w:r>
      <w:bookmarkEnd w:id="930082"/>
    </w:p>
    <w:bookmarkStart w:id="122" w:name="bingham-west-copper-illustrative-ranges"/>
    <w:p>
      <w:pPr>
        <w:pStyle w:val="Heading3"/>
      </w:pPr>
      <w:bookmarkStart w:id="930083" w:name="_TocLBSv1_930083"/>
      <w:r>
        <w:t xml:space="preserve">Bingham West — Copper (illustrative ranges)</w:t>
      </w:r>
      <w:bookmarkEnd w:id="930083"/>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Scenario</w:t>
            </w:r>
          </w:p>
        </w:tc>
        <w:tc>
          <w:tcPr/>
          <w:p>
            <w:pPr>
              <w:pStyle w:val="Compact"/>
              <w:jc w:val="left"/>
            </w:pPr>
            <w:r>
              <w:t xml:space="preserve">Recovery (Cu)</w:t>
            </w:r>
          </w:p>
        </w:tc>
        <w:tc>
          <w:tcPr/>
          <w:p>
            <w:pPr>
              <w:pStyle w:val="Compact"/>
              <w:jc w:val="left"/>
            </w:pPr>
            <w:r>
              <w:t xml:space="preserve">TPH</w:t>
            </w:r>
          </w:p>
        </w:tc>
        <w:tc>
          <w:tcPr/>
          <w:p>
            <w:pPr>
              <w:pStyle w:val="Compact"/>
              <w:jc w:val="left"/>
            </w:pPr>
            <w:r>
              <w:t xml:space="preserve">PA</w:t>
            </w:r>
          </w:p>
        </w:tc>
      </w:tr>
      <w:tr>
        <w:tc>
          <w:tcPr/>
          <w:p>
            <w:pPr>
              <w:pStyle w:val="Compact"/>
              <w:jc w:val="left"/>
            </w:pPr>
            <w:r>
              <w:t xml:space="preserve">Excellent</w:t>
            </w:r>
          </w:p>
        </w:tc>
        <w:tc>
          <w:tcPr/>
          <w:p>
            <w:pPr>
              <w:pStyle w:val="Compact"/>
              <w:jc w:val="left"/>
            </w:pPr>
            <w:r>
              <w:t xml:space="preserve">89 – 92%</w:t>
            </w:r>
          </w:p>
        </w:tc>
        <w:tc>
          <w:tcPr/>
          <w:p>
            <w:pPr>
              <w:pStyle w:val="Compact"/>
              <w:jc w:val="left"/>
            </w:pPr>
            <w:r>
              <w:t xml:space="preserve">2,800 – 3,100 t/h</w:t>
            </w:r>
          </w:p>
        </w:tc>
        <w:tc>
          <w:tcPr/>
          <w:p>
            <w:pPr>
              <w:pStyle w:val="Compact"/>
              <w:jc w:val="left"/>
            </w:pPr>
            <w:r>
              <w:t xml:space="preserve">90 – 94%</w:t>
            </w:r>
          </w:p>
        </w:tc>
      </w:tr>
      <w:tr>
        <w:tc>
          <w:tcPr/>
          <w:p>
            <w:pPr>
              <w:pStyle w:val="Compact"/>
              <w:jc w:val="left"/>
            </w:pPr>
            <w:r>
              <w:t xml:space="preserve">Good</w:t>
            </w:r>
          </w:p>
        </w:tc>
        <w:tc>
          <w:tcPr/>
          <w:p>
            <w:pPr>
              <w:pStyle w:val="Compact"/>
              <w:jc w:val="left"/>
            </w:pPr>
            <w:r>
              <w:t xml:space="preserve">85 – 89%</w:t>
            </w:r>
          </w:p>
        </w:tc>
        <w:tc>
          <w:tcPr/>
          <w:p>
            <w:pPr>
              <w:pStyle w:val="Compact"/>
              <w:jc w:val="left"/>
            </w:pPr>
            <w:r>
              <w:t xml:space="preserve">2,500 – 2,800 t/h</w:t>
            </w:r>
          </w:p>
        </w:tc>
        <w:tc>
          <w:tcPr/>
          <w:p>
            <w:pPr>
              <w:pStyle w:val="Compact"/>
              <w:jc w:val="left"/>
            </w:pPr>
            <w:r>
              <w:t xml:space="preserve">85 – 90%</w:t>
            </w:r>
          </w:p>
        </w:tc>
      </w:tr>
      <w:tr>
        <w:tc>
          <w:tcPr/>
          <w:p>
            <w:pPr>
              <w:pStyle w:val="Compact"/>
              <w:jc w:val="left"/>
            </w:pPr>
            <w:r>
              <w:t xml:space="preserve">Average</w:t>
            </w:r>
          </w:p>
        </w:tc>
        <w:tc>
          <w:tcPr/>
          <w:p>
            <w:pPr>
              <w:pStyle w:val="Compact"/>
              <w:jc w:val="left"/>
            </w:pPr>
            <w:r>
              <w:t xml:space="preserve">80 – 85%</w:t>
            </w:r>
          </w:p>
        </w:tc>
        <w:tc>
          <w:tcPr/>
          <w:p>
            <w:pPr>
              <w:pStyle w:val="Compact"/>
              <w:jc w:val="left"/>
            </w:pPr>
            <w:r>
              <w:t xml:space="preserve">2,100 – 2,500 t/h</w:t>
            </w:r>
          </w:p>
        </w:tc>
        <w:tc>
          <w:tcPr/>
          <w:p>
            <w:pPr>
              <w:pStyle w:val="Compact"/>
              <w:jc w:val="left"/>
            </w:pPr>
            <w:r>
              <w:t xml:space="preserve">79 – 85%</w:t>
            </w:r>
          </w:p>
        </w:tc>
      </w:tr>
      <w:tr>
        <w:tc>
          <w:tcPr/>
          <w:p>
            <w:pPr>
              <w:pStyle w:val="Compact"/>
              <w:jc w:val="left"/>
            </w:pPr>
            <w:r>
              <w:t xml:space="preserve">Poor</w:t>
            </w:r>
          </w:p>
        </w:tc>
        <w:tc>
          <w:tcPr/>
          <w:p>
            <w:pPr>
              <w:pStyle w:val="Compact"/>
              <w:jc w:val="left"/>
            </w:pPr>
            <w:r>
              <w:t xml:space="preserve">&lt; 80%</w:t>
            </w:r>
          </w:p>
        </w:tc>
        <w:tc>
          <w:tcPr/>
          <w:p>
            <w:pPr>
              <w:pStyle w:val="Compact"/>
              <w:jc w:val="left"/>
            </w:pPr>
            <w:r>
              <w:t xml:space="preserve">&lt; 2,100 t/h</w:t>
            </w:r>
          </w:p>
        </w:tc>
        <w:tc>
          <w:tcPr/>
          <w:p>
            <w:pPr>
              <w:pStyle w:val="Compact"/>
              <w:jc w:val="left"/>
            </w:pPr>
            <w:r>
              <w:t xml:space="preserve">&lt; 79%</w:t>
            </w:r>
          </w:p>
        </w:tc>
      </w:tr>
    </w:tbl>
    <w:bookmarkEnd w:id="122"/>
    <w:bookmarkStart w:id="123" w:name="black-diamond-coal-illustrative-ranges"/>
    <w:p>
      <w:pPr>
        <w:pStyle w:val="Heading3"/>
      </w:pPr>
      <w:bookmarkStart w:id="930084" w:name="_TocLBSv1_930084"/>
      <w:r>
        <w:t xml:space="preserve">Black Diamond — Coal (illustrative ranges)</w:t>
      </w:r>
      <w:bookmarkEnd w:id="930084"/>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Scenario</w:t>
            </w:r>
          </w:p>
        </w:tc>
        <w:tc>
          <w:tcPr/>
          <w:p>
            <w:pPr>
              <w:pStyle w:val="Compact"/>
              <w:jc w:val="left"/>
            </w:pPr>
            <w:r>
              <w:t xml:space="preserve">Face Advance</w:t>
            </w:r>
          </w:p>
        </w:tc>
        <w:tc>
          <w:tcPr/>
          <w:p>
            <w:pPr>
              <w:pStyle w:val="Compact"/>
              <w:jc w:val="left"/>
            </w:pPr>
            <w:r>
              <w:t xml:space="preserve">TPH</w:t>
            </w:r>
          </w:p>
        </w:tc>
        <w:tc>
          <w:tcPr/>
          <w:p>
            <w:pPr>
              <w:pStyle w:val="Compact"/>
              <w:jc w:val="left"/>
            </w:pPr>
            <w:r>
              <w:t xml:space="preserve">MTBF</w:t>
            </w:r>
          </w:p>
        </w:tc>
      </w:tr>
      <w:tr>
        <w:tc>
          <w:tcPr/>
          <w:p>
            <w:pPr>
              <w:pStyle w:val="Compact"/>
              <w:jc w:val="left"/>
            </w:pPr>
            <w:r>
              <w:t xml:space="preserve">Excellent</w:t>
            </w:r>
          </w:p>
        </w:tc>
        <w:tc>
          <w:tcPr/>
          <w:p>
            <w:pPr>
              <w:pStyle w:val="Compact"/>
              <w:jc w:val="left"/>
            </w:pPr>
            <w:r>
              <w:t xml:space="preserve">&gt; 7 m/shift</w:t>
            </w:r>
          </w:p>
        </w:tc>
        <w:tc>
          <w:tcPr/>
          <w:p>
            <w:pPr>
              <w:pStyle w:val="Compact"/>
              <w:jc w:val="left"/>
            </w:pPr>
            <w:r>
              <w:t xml:space="preserve">2,200+ t/h</w:t>
            </w:r>
          </w:p>
        </w:tc>
        <w:tc>
          <w:tcPr/>
          <w:p>
            <w:pPr>
              <w:pStyle w:val="Compact"/>
              <w:jc w:val="left"/>
            </w:pPr>
            <w:r>
              <w:t xml:space="preserve">&gt; 40 h</w:t>
            </w:r>
          </w:p>
        </w:tc>
      </w:tr>
      <w:tr>
        <w:tc>
          <w:tcPr/>
          <w:p>
            <w:pPr>
              <w:pStyle w:val="Compact"/>
              <w:jc w:val="left"/>
            </w:pPr>
            <w:r>
              <w:t xml:space="preserve">Good</w:t>
            </w:r>
          </w:p>
        </w:tc>
        <w:tc>
          <w:tcPr/>
          <w:p>
            <w:pPr>
              <w:pStyle w:val="Compact"/>
              <w:jc w:val="left"/>
            </w:pPr>
            <w:r>
              <w:t xml:space="preserve">5 – 7 m/shift</w:t>
            </w:r>
          </w:p>
        </w:tc>
        <w:tc>
          <w:tcPr/>
          <w:p>
            <w:pPr>
              <w:pStyle w:val="Compact"/>
              <w:jc w:val="left"/>
            </w:pPr>
            <w:r>
              <w:t xml:space="preserve">1,800 – 2,200 t/h</w:t>
            </w:r>
          </w:p>
        </w:tc>
        <w:tc>
          <w:tcPr/>
          <w:p>
            <w:pPr>
              <w:pStyle w:val="Compact"/>
              <w:jc w:val="left"/>
            </w:pPr>
            <w:r>
              <w:t xml:space="preserve">28 – 40 h</w:t>
            </w:r>
          </w:p>
        </w:tc>
      </w:tr>
      <w:tr>
        <w:tc>
          <w:tcPr/>
          <w:p>
            <w:pPr>
              <w:pStyle w:val="Compact"/>
              <w:jc w:val="left"/>
            </w:pPr>
            <w:r>
              <w:t xml:space="preserve">Average</w:t>
            </w:r>
          </w:p>
        </w:tc>
        <w:tc>
          <w:tcPr/>
          <w:p>
            <w:pPr>
              <w:pStyle w:val="Compact"/>
              <w:jc w:val="left"/>
            </w:pPr>
            <w:r>
              <w:t xml:space="preserve">3 – 5 m/shift</w:t>
            </w:r>
          </w:p>
        </w:tc>
        <w:tc>
          <w:tcPr/>
          <w:p>
            <w:pPr>
              <w:pStyle w:val="Compact"/>
              <w:jc w:val="left"/>
            </w:pPr>
            <w:r>
              <w:t xml:space="preserve">1,400 – 1,800 t/h</w:t>
            </w:r>
          </w:p>
        </w:tc>
        <w:tc>
          <w:tcPr/>
          <w:p>
            <w:pPr>
              <w:pStyle w:val="Compact"/>
              <w:jc w:val="left"/>
            </w:pPr>
            <w:r>
              <w:t xml:space="preserve">15 – 28 h</w:t>
            </w:r>
          </w:p>
        </w:tc>
      </w:tr>
      <w:tr>
        <w:tc>
          <w:tcPr/>
          <w:p>
            <w:pPr>
              <w:pStyle w:val="Compact"/>
              <w:jc w:val="left"/>
            </w:pPr>
            <w:r>
              <w:t xml:space="preserve">Poor</w:t>
            </w:r>
          </w:p>
        </w:tc>
        <w:tc>
          <w:tcPr/>
          <w:p>
            <w:pPr>
              <w:pStyle w:val="Compact"/>
              <w:jc w:val="left"/>
            </w:pPr>
            <w:r>
              <w:t xml:space="preserve">&lt; 3 m/shift</w:t>
            </w:r>
          </w:p>
        </w:tc>
        <w:tc>
          <w:tcPr/>
          <w:p>
            <w:pPr>
              <w:pStyle w:val="Compact"/>
              <w:jc w:val="left"/>
            </w:pPr>
            <w:r>
              <w:t xml:space="preserve">&lt; 1,400 t/h</w:t>
            </w:r>
          </w:p>
        </w:tc>
        <w:tc>
          <w:tcPr/>
          <w:p>
            <w:pPr>
              <w:pStyle w:val="Compact"/>
              <w:jc w:val="left"/>
            </w:pPr>
            <w:r>
              <w:t xml:space="preserve">&lt; 15 h</w:t>
            </w:r>
          </w:p>
        </w:tc>
      </w:tr>
    </w:tbl>
    <w:bookmarkEnd w:id="123"/>
    <w:bookmarkStart w:id="124" w:name="aurora-gold-gold-illustrative-ranges"/>
    <w:p>
      <w:pPr>
        <w:pStyle w:val="Heading3"/>
      </w:pPr>
      <w:bookmarkStart w:id="930085" w:name="_TocLBSv1_930085"/>
      <w:r>
        <w:t xml:space="preserve">Aurora Gold — Gold (illustrative ranges)</w:t>
      </w:r>
      <w:bookmarkEnd w:id="930085"/>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Scenario</w:t>
            </w:r>
          </w:p>
        </w:tc>
        <w:tc>
          <w:tcPr/>
          <w:p>
            <w:pPr>
              <w:pStyle w:val="Compact"/>
              <w:jc w:val="left"/>
            </w:pPr>
            <w:r>
              <w:t xml:space="preserve">TPH</w:t>
            </w:r>
          </w:p>
        </w:tc>
        <w:tc>
          <w:tcPr/>
          <w:p>
            <w:pPr>
              <w:pStyle w:val="Compact"/>
              <w:jc w:val="left"/>
            </w:pPr>
            <w:r>
              <w:t xml:space="preserve">Cost/t</w:t>
            </w:r>
          </w:p>
        </w:tc>
        <w:tc>
          <w:tcPr/>
          <w:p>
            <w:pPr>
              <w:pStyle w:val="Compact"/>
              <w:jc w:val="left"/>
            </w:pPr>
            <w:r>
              <w:t xml:space="preserve">Recovery</w:t>
            </w:r>
          </w:p>
        </w:tc>
      </w:tr>
      <w:tr>
        <w:tc>
          <w:tcPr/>
          <w:p>
            <w:pPr>
              <w:pStyle w:val="Compact"/>
              <w:jc w:val="left"/>
            </w:pPr>
            <w:r>
              <w:t xml:space="preserve">Excellent</w:t>
            </w:r>
          </w:p>
        </w:tc>
        <w:tc>
          <w:tcPr/>
          <w:p>
            <w:pPr>
              <w:pStyle w:val="Compact"/>
              <w:jc w:val="left"/>
            </w:pPr>
            <w:r>
              <w:t xml:space="preserve">620 – 680 t/h</w:t>
            </w:r>
          </w:p>
        </w:tc>
        <w:tc>
          <w:tcPr/>
          <w:p>
            <w:pPr>
              <w:pStyle w:val="Compact"/>
              <w:jc w:val="left"/>
            </w:pPr>
            <w:r>
              <w:t xml:space="preserve">&lt; $18/t</w:t>
            </w:r>
          </w:p>
        </w:tc>
        <w:tc>
          <w:tcPr/>
          <w:p>
            <w:pPr>
              <w:pStyle w:val="Compact"/>
              <w:jc w:val="left"/>
            </w:pPr>
            <w:r>
              <w:t xml:space="preserve">92 – 95% Au</w:t>
            </w:r>
          </w:p>
        </w:tc>
      </w:tr>
      <w:tr>
        <w:tc>
          <w:tcPr/>
          <w:p>
            <w:pPr>
              <w:pStyle w:val="Compact"/>
              <w:jc w:val="left"/>
            </w:pPr>
            <w:r>
              <w:t xml:space="preserve">Good</w:t>
            </w:r>
          </w:p>
        </w:tc>
        <w:tc>
          <w:tcPr/>
          <w:p>
            <w:pPr>
              <w:pStyle w:val="Compact"/>
              <w:jc w:val="left"/>
            </w:pPr>
            <w:r>
              <w:t xml:space="preserve">560 – 620 t/h</w:t>
            </w:r>
          </w:p>
        </w:tc>
        <w:tc>
          <w:tcPr/>
          <w:p>
            <w:pPr>
              <w:pStyle w:val="Compact"/>
              <w:jc w:val="left"/>
            </w:pPr>
            <w:r>
              <w:t xml:space="preserve">$18 – 22/t</w:t>
            </w:r>
          </w:p>
        </w:tc>
        <w:tc>
          <w:tcPr/>
          <w:p>
            <w:pPr>
              <w:pStyle w:val="Compact"/>
              <w:jc w:val="left"/>
            </w:pPr>
            <w:r>
              <w:t xml:space="preserve">88 – 92% Au</w:t>
            </w:r>
          </w:p>
        </w:tc>
      </w:tr>
      <w:tr>
        <w:tc>
          <w:tcPr/>
          <w:p>
            <w:pPr>
              <w:pStyle w:val="Compact"/>
              <w:jc w:val="left"/>
            </w:pPr>
            <w:r>
              <w:t xml:space="preserve">Average</w:t>
            </w:r>
          </w:p>
        </w:tc>
        <w:tc>
          <w:tcPr/>
          <w:p>
            <w:pPr>
              <w:pStyle w:val="Compact"/>
              <w:jc w:val="left"/>
            </w:pPr>
            <w:r>
              <w:t xml:space="preserve">480 – 560 t/h</w:t>
            </w:r>
          </w:p>
        </w:tc>
        <w:tc>
          <w:tcPr/>
          <w:p>
            <w:pPr>
              <w:pStyle w:val="Compact"/>
              <w:jc w:val="left"/>
            </w:pPr>
            <w:r>
              <w:t xml:space="preserve">$22 – 28/t</w:t>
            </w:r>
          </w:p>
        </w:tc>
        <w:tc>
          <w:tcPr/>
          <w:p>
            <w:pPr>
              <w:pStyle w:val="Compact"/>
              <w:jc w:val="left"/>
            </w:pPr>
            <w:r>
              <w:t xml:space="preserve">82 – 88% Au</w:t>
            </w:r>
          </w:p>
        </w:tc>
      </w:tr>
      <w:tr>
        <w:tc>
          <w:tcPr/>
          <w:p>
            <w:pPr>
              <w:pStyle w:val="Compact"/>
              <w:jc w:val="left"/>
            </w:pPr>
            <w:r>
              <w:t xml:space="preserve">Poor</w:t>
            </w:r>
          </w:p>
        </w:tc>
        <w:tc>
          <w:tcPr/>
          <w:p>
            <w:pPr>
              <w:pStyle w:val="Compact"/>
              <w:jc w:val="left"/>
            </w:pPr>
            <w:r>
              <w:t xml:space="preserve">&lt; 480 t/h</w:t>
            </w:r>
          </w:p>
        </w:tc>
        <w:tc>
          <w:tcPr/>
          <w:p>
            <w:pPr>
              <w:pStyle w:val="Compact"/>
              <w:jc w:val="left"/>
            </w:pPr>
            <w:r>
              <w:t xml:space="preserve">&gt; $28/t</w:t>
            </w:r>
          </w:p>
        </w:tc>
        <w:tc>
          <w:tcPr/>
          <w:p>
            <w:pPr>
              <w:pStyle w:val="Compact"/>
              <w:jc w:val="left"/>
            </w:pPr>
            <w:r>
              <w:t xml:space="preserve">&lt; 82% Au</w:t>
            </w:r>
          </w:p>
        </w:tc>
      </w:tr>
    </w:tbl>
    <w:bookmarkEnd w:id="124"/>
    <w:bookmarkStart w:id="125" w:name="green-valley-lithium-illustrative-ranges"/>
    <w:p>
      <w:pPr>
        <w:pStyle w:val="Heading3"/>
      </w:pPr>
      <w:bookmarkStart w:id="930086" w:name="_TocLBSv1_930086"/>
      <w:r>
        <w:t xml:space="preserve">Green Valley — Lithium (illustrative ranges)</w:t>
      </w:r>
      <w:bookmarkEnd w:id="930086"/>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Scenario</w:t>
            </w:r>
          </w:p>
        </w:tc>
        <w:tc>
          <w:tcPr/>
          <w:p>
            <w:pPr>
              <w:pStyle w:val="Compact"/>
              <w:jc w:val="left"/>
            </w:pPr>
            <w:r>
              <w:t xml:space="preserve">Li₂O Recovery</w:t>
            </w:r>
          </w:p>
        </w:tc>
        <w:tc>
          <w:tcPr/>
          <w:p>
            <w:pPr>
              <w:pStyle w:val="Compact"/>
              <w:jc w:val="left"/>
            </w:pPr>
            <w:r>
              <w:t xml:space="preserve">TPH</w:t>
            </w:r>
          </w:p>
        </w:tc>
        <w:tc>
          <w:tcPr/>
          <w:p>
            <w:pPr>
              <w:pStyle w:val="Compact"/>
              <w:jc w:val="left"/>
            </w:pPr>
            <w:r>
              <w:t xml:space="preserve">Carbon Intensity</w:t>
            </w:r>
          </w:p>
        </w:tc>
      </w:tr>
      <w:tr>
        <w:tc>
          <w:tcPr/>
          <w:p>
            <w:pPr>
              <w:pStyle w:val="Compact"/>
              <w:jc w:val="left"/>
            </w:pPr>
            <w:r>
              <w:t xml:space="preserve">Excellent</w:t>
            </w:r>
          </w:p>
        </w:tc>
        <w:tc>
          <w:tcPr/>
          <w:p>
            <w:pPr>
              <w:pStyle w:val="Compact"/>
              <w:jc w:val="left"/>
            </w:pPr>
            <w:r>
              <w:t xml:space="preserve">73 – 76%</w:t>
            </w:r>
          </w:p>
        </w:tc>
        <w:tc>
          <w:tcPr/>
          <w:p>
            <w:pPr>
              <w:pStyle w:val="Compact"/>
              <w:jc w:val="left"/>
            </w:pPr>
            <w:r>
              <w:t xml:space="preserve">850 – 950 t/h</w:t>
            </w:r>
          </w:p>
        </w:tc>
        <w:tc>
          <w:tcPr/>
          <w:p>
            <w:pPr>
              <w:pStyle w:val="Compact"/>
              <w:jc w:val="left"/>
            </w:pPr>
            <w:r>
              <w:t xml:space="preserve">&lt; 1.3 kg CO₂e/t</w:t>
            </w:r>
          </w:p>
        </w:tc>
      </w:tr>
      <w:tr>
        <w:tc>
          <w:tcPr/>
          <w:p>
            <w:pPr>
              <w:pStyle w:val="Compact"/>
              <w:jc w:val="left"/>
            </w:pPr>
            <w:r>
              <w:t xml:space="preserve">Good</w:t>
            </w:r>
          </w:p>
        </w:tc>
        <w:tc>
          <w:tcPr/>
          <w:p>
            <w:pPr>
              <w:pStyle w:val="Compact"/>
              <w:jc w:val="left"/>
            </w:pPr>
            <w:r>
              <w:t xml:space="preserve">70 – 73%</w:t>
            </w:r>
          </w:p>
        </w:tc>
        <w:tc>
          <w:tcPr/>
          <w:p>
            <w:pPr>
              <w:pStyle w:val="Compact"/>
              <w:jc w:val="left"/>
            </w:pPr>
            <w:r>
              <w:t xml:space="preserve">750 – 850 t/h</w:t>
            </w:r>
          </w:p>
        </w:tc>
        <w:tc>
          <w:tcPr/>
          <w:p>
            <w:pPr>
              <w:pStyle w:val="Compact"/>
              <w:jc w:val="left"/>
            </w:pPr>
            <w:r>
              <w:t xml:space="preserve">1.3 – 1.6 kg CO₂e/t</w:t>
            </w:r>
          </w:p>
        </w:tc>
      </w:tr>
      <w:tr>
        <w:tc>
          <w:tcPr/>
          <w:p>
            <w:pPr>
              <w:pStyle w:val="Compact"/>
              <w:jc w:val="left"/>
            </w:pPr>
            <w:r>
              <w:t xml:space="preserve">Average</w:t>
            </w:r>
          </w:p>
        </w:tc>
        <w:tc>
          <w:tcPr/>
          <w:p>
            <w:pPr>
              <w:pStyle w:val="Compact"/>
              <w:jc w:val="left"/>
            </w:pPr>
            <w:r>
              <w:t xml:space="preserve">65 – 70%</w:t>
            </w:r>
          </w:p>
        </w:tc>
        <w:tc>
          <w:tcPr/>
          <w:p>
            <w:pPr>
              <w:pStyle w:val="Compact"/>
              <w:jc w:val="left"/>
            </w:pPr>
            <w:r>
              <w:t xml:space="preserve">640 – 750 t/h</w:t>
            </w:r>
          </w:p>
        </w:tc>
        <w:tc>
          <w:tcPr/>
          <w:p>
            <w:pPr>
              <w:pStyle w:val="Compact"/>
              <w:jc w:val="left"/>
            </w:pPr>
            <w:r>
              <w:t xml:space="preserve">1.6 – 2.0 kg CO₂e/t</w:t>
            </w:r>
          </w:p>
        </w:tc>
      </w:tr>
      <w:tr>
        <w:tc>
          <w:tcPr/>
          <w:p>
            <w:pPr>
              <w:pStyle w:val="Compact"/>
              <w:jc w:val="left"/>
            </w:pPr>
            <w:r>
              <w:t xml:space="preserve">Poor</w:t>
            </w:r>
          </w:p>
        </w:tc>
        <w:tc>
          <w:tcPr/>
          <w:p>
            <w:pPr>
              <w:pStyle w:val="Compact"/>
              <w:jc w:val="left"/>
            </w:pPr>
            <w:r>
              <w:t xml:space="preserve">&lt; 65%</w:t>
            </w:r>
          </w:p>
        </w:tc>
        <w:tc>
          <w:tcPr/>
          <w:p>
            <w:pPr>
              <w:pStyle w:val="Compact"/>
              <w:jc w:val="left"/>
            </w:pPr>
            <w:r>
              <w:t xml:space="preserve">&lt; 640 t/h</w:t>
            </w:r>
          </w:p>
        </w:tc>
        <w:tc>
          <w:tcPr/>
          <w:p>
            <w:pPr>
              <w:pStyle w:val="Compact"/>
              <w:jc w:val="left"/>
            </w:pPr>
            <w:r>
              <w:t xml:space="preserve">&gt; 2.0 kg CO₂e/t</w:t>
            </w:r>
          </w:p>
        </w:tc>
      </w:tr>
    </w:tbl>
    <w:p>
      <w:pPr>
        <w:pStyle w:val="BestPractice"/>
      </w:pPr>
      <w:r>
        <w:rPr>
          <w:bCs/>
          <w:b/>
        </w:rPr>
        <w:t xml:space="preserve">Best Practice — use benchmark seeds for teaching, not for reporting.</w:t>
      </w:r>
      <w:r>
        <w:t xml:space="preserve"> Present a benchmark seed to a learner as “here is what a Poor operation looks like — can you identify the root cause from the KPI signature?” Do not use them to claim your mine is Excellent or Poor relative to industry — that requires validated, industry-sourced thresholds that this First Edition does not provide.</w:t>
      </w:r>
    </w:p>
    <w:p>
      <w:r>
        <w:br w:type="page"/>
      </w:r>
    </w:p>
    <w:bookmarkEnd w:id="125"/>
    <w:bookmarkEnd w:id="126"/>
    <w:bookmarkEnd w:id="127"/>
    <w:bookmarkStart w:id="146" w:name="part-v-visualization-gallery"/>
    <w:p>
      <w:pPr>
        <w:pStyle w:val="Heading1"/>
      </w:pPr>
      <w:bookmarkStart w:id="930087" w:name="_TocLBSv1_930087"/>
      <w:r>
        <w:t xml:space="preserve">Part V — Visualization Gallery</w:t>
      </w:r>
      <w:bookmarkEnd w:id="930087"/>
    </w:p>
    <w:p>
      <w:pPr>
        <w:pStyle w:val="LearningObjectives"/>
      </w:pPr>
      <w:r>
        <w:rPr>
          <w:bCs/>
          <w:b/>
        </w:rPr>
        <w:t xml:space="preserve">Learning Objectives.</w:t>
      </w:r>
      <w:r>
        <w:t xml:space="preserve"> After reading this part you will be able to: match a KPI type to its most effective chart type; apply the project’s visual language (established in the Architecture Handbook and Part III) to new charts; and avoid the most common mis-visualization errors in mining analytics.</w:t>
      </w:r>
    </w:p>
    <w:p>
      <w:pPr>
        <w:pStyle w:val="CaptionedFigure"/>
      </w:pPr>
      <w:r>
        <w:drawing>
          <wp:inline>
            <wp:extent cx="5334000" cy="2699883"/>
            <wp:effectExtent b="0" l="0" r="0" t="0"/>
            <wp:docPr descr="Visualization Gallery: KPI category to chart type mapping — PROD uses Time Series and Control Charts; UTIL uses Waterfall and KPI Card; DELAY uses Pareto and Sankey; MAINT uses Scatter and Histogram; HAUL uses Fleet Map and Bubble; COST uses Waterfall and Stacked Bar; ENERGY/CARBON uses Heatmap and Line+Area; SAFE uses KPI Card and Timeline." title="" id="129" name="Picture"/>
            <a:graphic>
              <a:graphicData uri="http://schemas.openxmlformats.org/drawingml/2006/picture">
                <pic:pic>
                  <pic:nvPicPr>
                    <pic:cNvPr descr="/home/claude/lbs_figs/lbs_viz_gallery.png" id="130" name="Picture"/>
                    <pic:cNvPicPr>
                      <a:picLocks noChangeArrowheads="1" noChangeAspect="1"/>
                    </pic:cNvPicPr>
                  </pic:nvPicPr>
                  <pic:blipFill>
                    <a:blip r:embed="rId128"/>
                    <a:stretch>
                      <a:fillRect/>
                    </a:stretch>
                  </pic:blipFill>
                  <pic:spPr bwMode="auto">
                    <a:xfrm>
                      <a:off x="0" y="0"/>
                      <a:ext cx="5334000" cy="2699883"/>
                    </a:xfrm>
                    <a:prstGeom prst="rect">
                      <a:avLst/>
                    </a:prstGeom>
                    <a:noFill/>
                    <a:ln w="9525">
                      <a:noFill/>
                      <a:headEnd/>
                      <a:tailEnd/>
                    </a:ln>
                  </pic:spPr>
                </pic:pic>
              </a:graphicData>
            </a:graphic>
          </wp:inline>
        </w:drawing>
      </w:r>
    </w:p>
    <w:p>
      <w:pPr>
        <w:pStyle w:val="ImageCaption"/>
      </w:pPr>
      <w:r>
        <w:t xml:space="preserve">Visualization Gallery: KPI category to chart type mapping — PROD uses Time Series and Control Charts; UTIL uses Waterfall and KPI Card; DELAY uses Pareto and Sankey; MAINT uses Scatter and Histogram; HAUL uses Fleet Map and Bubble; COST uses Waterfall and Stacked Bar; ENERGY/CARBON uses Heatmap and Line+Area; SAFE uses KPI Card and Timeline.</w:t>
      </w:r>
    </w:p>
    <w:bookmarkStart w:id="144" w:name="chart-types-and-their-kpi-matches"/>
    <w:p>
      <w:pPr>
        <w:pStyle w:val="Heading2"/>
      </w:pPr>
      <w:bookmarkStart w:id="930088" w:name="_TocLBSv1_930088"/>
      <w:r>
        <w:t xml:space="preserve">Chart types and their KPI matches</w:t>
      </w:r>
      <w:bookmarkEnd w:id="930088"/>
    </w:p>
    <w:bookmarkStart w:id="131" w:name="kpi-cards"/>
    <w:p>
      <w:pPr>
        <w:pStyle w:val="Heading3"/>
      </w:pPr>
      <w:bookmarkStart w:id="930089" w:name="_TocLBSv1_930089"/>
      <w:r>
        <w:t xml:space="preserve">KPI Cards</w:t>
      </w:r>
      <w:bookmarkEnd w:id="930089"/>
    </w:p>
    <w:p>
      <w:pPr>
        <w:pStyle w:val="FirstParagraph"/>
      </w:pPr>
      <w:r>
        <w:rPr>
          <w:bCs/>
          <w:b/>
        </w:rPr>
        <w:t xml:space="preserve">Best for.</w:t>
      </w:r>
      <w:r>
        <w:t xml:space="preserve"> A single scalar at a point in time, read against a target. The first chart anyone looks at. </w:t>
      </w:r>
      <w:r>
        <w:rPr>
          <w:bCs/>
          <w:b/>
        </w:rPr>
        <w:t xml:space="preserve">KPIs.</w:t>
      </w:r>
      <w:r>
        <w:t xml:space="preserve"> Any scalar Active KPI: </w:t>
      </w:r>
      <w:r>
        <w:rPr>
          <w:rStyle w:val="VerbatimChar"/>
        </w:rPr>
        <w:t xml:space="preserve">PROD.TPH</w:t>
      </w:r>
      <w:r>
        <w:t xml:space="preserve">, </w:t>
      </w:r>
      <w:r>
        <w:rPr>
          <w:rStyle w:val="VerbatimChar"/>
        </w:rPr>
        <w:t xml:space="preserve">UTIL.PA</w:t>
      </w:r>
      <w:r>
        <w:t xml:space="preserve">, </w:t>
      </w:r>
      <w:r>
        <w:rPr>
          <w:rStyle w:val="VerbatimChar"/>
        </w:rPr>
        <w:t xml:space="preserve">MAINT.MTBF</w:t>
      </w:r>
      <w:r>
        <w:t xml:space="preserve">, </w:t>
      </w:r>
      <w:r>
        <w:rPr>
          <w:rStyle w:val="VerbatimChar"/>
        </w:rPr>
        <w:t xml:space="preserve">SAFE.SpeedViolationRate</w:t>
      </w:r>
      <w:r>
        <w:t xml:space="preserve">. </w:t>
      </w:r>
      <w:r>
        <w:rPr>
          <w:bCs/>
          <w:b/>
        </w:rPr>
        <w:t xml:space="preserve">Design rules.</w:t>
      </w:r>
      <w:r>
        <w:t xml:space="preserve"> Large number, unit label, target line or band, trend arrow (↑↓→), colour-coded by band (green/amber/red). Never use a KPI card for a ratio that must be read with its components (e.g. show </w:t>
      </w:r>
      <w:r>
        <w:rPr>
          <w:rStyle w:val="VerbatimChar"/>
        </w:rPr>
        <w:t xml:space="preserve">UTIL.OEE</w:t>
      </w:r>
      <w:r>
        <w:t xml:space="preserve"> card only alongside its three factor cards).</w:t>
      </w:r>
    </w:p>
    <w:bookmarkEnd w:id="131"/>
    <w:bookmarkStart w:id="132" w:name="time-series"/>
    <w:p>
      <w:pPr>
        <w:pStyle w:val="Heading3"/>
      </w:pPr>
      <w:bookmarkStart w:id="930090" w:name="_TocLBSv1_930090"/>
      <w:r>
        <w:t xml:space="preserve">Time Series</w:t>
      </w:r>
      <w:bookmarkEnd w:id="930090"/>
    </w:p>
    <w:p>
      <w:pPr>
        <w:pStyle w:val="FirstParagraph"/>
      </w:pPr>
      <w:r>
        <w:rPr>
          <w:bCs/>
          <w:b/>
        </w:rPr>
        <w:t xml:space="preserve">Best for.</w:t>
      </w:r>
      <w:r>
        <w:t xml:space="preserve"> Trending a KPI over shifts, days, or weeks. The workhorse chart of operational analytics. </w:t>
      </w:r>
      <w:r>
        <w:rPr>
          <w:bCs/>
          <w:b/>
        </w:rPr>
        <w:t xml:space="preserve">KPIs.</w:t>
      </w:r>
      <w:r>
        <w:t xml:space="preserve"> All rate and percentage KPIs: </w:t>
      </w:r>
      <w:r>
        <w:rPr>
          <w:rStyle w:val="VerbatimChar"/>
        </w:rPr>
        <w:t xml:space="preserve">PROD.TPH</w:t>
      </w:r>
      <w:r>
        <w:t xml:space="preserve">, </w:t>
      </w:r>
      <w:r>
        <w:rPr>
          <w:rStyle w:val="VerbatimChar"/>
        </w:rPr>
        <w:t xml:space="preserve">UTIL.PA</w:t>
      </w:r>
      <w:r>
        <w:t xml:space="preserve">, </w:t>
      </w:r>
      <w:r>
        <w:rPr>
          <w:rStyle w:val="VerbatimChar"/>
        </w:rPr>
        <w:t xml:space="preserve">UTIL.EU</w:t>
      </w:r>
      <w:r>
        <w:t xml:space="preserve">, </w:t>
      </w:r>
      <w:r>
        <w:rPr>
          <w:rStyle w:val="VerbatimChar"/>
        </w:rPr>
        <w:t xml:space="preserve">ENERGY.FuelPerTonne</w:t>
      </w:r>
      <w:r>
        <w:t xml:space="preserve">, </w:t>
      </w:r>
      <w:r>
        <w:rPr>
          <w:rStyle w:val="VerbatimChar"/>
        </w:rPr>
        <w:t xml:space="preserve">SAFE.SpeedViolationRate</w:t>
      </w:r>
      <w:r>
        <w:t xml:space="preserve">. </w:t>
      </w:r>
      <w:r>
        <w:rPr>
          <w:bCs/>
          <w:b/>
        </w:rPr>
        <w:t xml:space="preserve">Design rules.</w:t>
      </w:r>
      <w:r>
        <w:t xml:space="preserve"> A reference line (target or plan) is mandatory; rolling window highlighted; anomalies annotated. Never connect a time series across a data gap — break the line and label the gap.</w:t>
      </w:r>
    </w:p>
    <w:bookmarkEnd w:id="132"/>
    <w:bookmarkStart w:id="133" w:name="pareto"/>
    <w:p>
      <w:pPr>
        <w:pStyle w:val="Heading3"/>
      </w:pPr>
      <w:bookmarkStart w:id="930091" w:name="_TocLBSv1_930091"/>
      <w:r>
        <w:t xml:space="preserve">Pareto</w:t>
      </w:r>
      <w:bookmarkEnd w:id="930091"/>
    </w:p>
    <w:p>
      <w:pPr>
        <w:pStyle w:val="FirstParagraph"/>
      </w:pPr>
      <w:r>
        <w:rPr>
          <w:bCs/>
          <w:b/>
        </w:rPr>
        <w:t xml:space="preserve">Best for.</w:t>
      </w:r>
      <w:r>
        <w:t xml:space="preserve"> Ranked categorical contribution — finding the biggest driver among many. </w:t>
      </w:r>
      <w:r>
        <w:rPr>
          <w:bCs/>
          <w:b/>
        </w:rPr>
        <w:t xml:space="preserve">KPIs.</w:t>
      </w:r>
      <w:r>
        <w:t xml:space="preserve"> </w:t>
      </w:r>
      <w:r>
        <w:rPr>
          <w:rStyle w:val="VerbatimChar"/>
        </w:rPr>
        <w:t xml:space="preserve">DELAY.Hours</w:t>
      </w:r>
      <w:r>
        <w:t xml:space="preserve"> (by category), </w:t>
      </w:r>
      <w:r>
        <w:rPr>
          <w:rStyle w:val="VerbatimChar"/>
        </w:rPr>
        <w:t xml:space="preserve">COST.CostPerTonne</w:t>
      </w:r>
      <w:r>
        <w:t xml:space="preserve"> (by cost type), failure events (by </w:t>
      </w:r>
      <w:r>
        <w:rPr>
          <w:rStyle w:val="VerbatimChar"/>
        </w:rPr>
        <w:t xml:space="preserve">FailureMode</w:t>
      </w:r>
      <w:r>
        <w:t xml:space="preserve">), safety events (by road segment). </w:t>
      </w:r>
      <w:r>
        <w:rPr>
          <w:bCs/>
          <w:b/>
        </w:rPr>
        <w:t xml:space="preserve">Design rules.</w:t>
      </w:r>
      <w:r>
        <w:t xml:space="preserve"> Left bars descending, right cumulative line, 80% cumulative marked. The Pareto is the delay analysis chart — it is referenced in Part III and produced by NB-05.</w:t>
      </w:r>
    </w:p>
    <w:bookmarkEnd w:id="133"/>
    <w:bookmarkStart w:id="134" w:name="waterfall"/>
    <w:p>
      <w:pPr>
        <w:pStyle w:val="Heading3"/>
      </w:pPr>
      <w:bookmarkStart w:id="930092" w:name="_TocLBSv1_930092"/>
      <w:r>
        <w:t xml:space="preserve">Waterfall</w:t>
      </w:r>
      <w:bookmarkEnd w:id="930092"/>
    </w:p>
    <w:p>
      <w:pPr>
        <w:pStyle w:val="FirstParagraph"/>
      </w:pPr>
      <w:r>
        <w:rPr>
          <w:bCs/>
          <w:b/>
        </w:rPr>
        <w:t xml:space="preserve">Best for.</w:t>
      </w:r>
      <w:r>
        <w:t xml:space="preserve"> Decomposing a total into its additive or subtractive components. </w:t>
      </w:r>
      <w:r>
        <w:rPr>
          <w:bCs/>
          <w:b/>
        </w:rPr>
        <w:t xml:space="preserve">KPIs.</w:t>
      </w:r>
      <w:r>
        <w:t xml:space="preserve"> </w:t>
      </w:r>
      <w:r>
        <w:rPr>
          <w:rStyle w:val="VerbatimChar"/>
        </w:rPr>
        <w:t xml:space="preserve">UTIL.OEE</w:t>
      </w:r>
      <w:r>
        <w:t xml:space="preserve"> (three-factor loss), </w:t>
      </w:r>
      <w:r>
        <w:rPr>
          <w:rStyle w:val="VerbatimChar"/>
        </w:rPr>
        <w:t xml:space="preserve">COST.CostPerTonne</w:t>
      </w:r>
      <w:r>
        <w:t xml:space="preserve"> (by cost type, period-over-period change), availability time model (scheduled → available → operating). </w:t>
      </w:r>
      <w:r>
        <w:rPr>
          <w:bCs/>
          <w:b/>
        </w:rPr>
        <w:t xml:space="preserve">Design rules.</w:t>
      </w:r>
      <w:r>
        <w:t xml:space="preserve"> Positive and negative bars colour-coded consistently with the domain palette; subtotals clearly marked; always starts from 100% for OEE and availability.</w:t>
      </w:r>
    </w:p>
    <w:bookmarkEnd w:id="134"/>
    <w:bookmarkStart w:id="135" w:name="sankey-diagram"/>
    <w:p>
      <w:pPr>
        <w:pStyle w:val="Heading3"/>
      </w:pPr>
      <w:bookmarkStart w:id="930093" w:name="_TocLBSv1_930093"/>
      <w:r>
        <w:t xml:space="preserve">Sankey Diagram</w:t>
      </w:r>
      <w:bookmarkEnd w:id="930093"/>
    </w:p>
    <w:p>
      <w:pPr>
        <w:pStyle w:val="FirstParagraph"/>
      </w:pPr>
      <w:r>
        <w:rPr>
          <w:bCs/>
          <w:b/>
        </w:rPr>
        <w:t xml:space="preserve">Best for.</w:t>
      </w:r>
      <w:r>
        <w:t xml:space="preserve"> Flows — material movement, haulage work distribution, delay attribution. </w:t>
      </w:r>
      <w:r>
        <w:rPr>
          <w:bCs/>
          <w:b/>
        </w:rPr>
        <w:t xml:space="preserve">KPIs.</w:t>
      </w:r>
      <w:r>
        <w:t xml:space="preserve"> </w:t>
      </w:r>
      <w:r>
        <w:rPr>
          <w:rStyle w:val="VerbatimChar"/>
        </w:rPr>
        <w:t xml:space="preserve">HAUL.TonKm</w:t>
      </w:r>
      <w:r>
        <w:t xml:space="preserve"> (flow from bench to destination), delay hours by category (flow from shift hours to lost/productive), cost allocation. </w:t>
      </w:r>
      <w:r>
        <w:rPr>
          <w:bCs/>
          <w:b/>
        </w:rPr>
        <w:t xml:space="preserve">Design rules.</w:t>
      </w:r>
      <w:r>
        <w:t xml:space="preserve"> Node width proportional to flow magnitude; use domain colours; label both nodes and flows for mining audiences unfamiliar with Sankey.</w:t>
      </w:r>
    </w:p>
    <w:bookmarkEnd w:id="135"/>
    <w:bookmarkStart w:id="136" w:name="scatter-plot"/>
    <w:p>
      <w:pPr>
        <w:pStyle w:val="Heading3"/>
      </w:pPr>
      <w:bookmarkStart w:id="930094" w:name="_TocLBSv1_930094"/>
      <w:r>
        <w:t xml:space="preserve">Scatter Plot</w:t>
      </w:r>
      <w:bookmarkEnd w:id="930094"/>
    </w:p>
    <w:p>
      <w:pPr>
        <w:pStyle w:val="FirstParagraph"/>
      </w:pPr>
      <w:r>
        <w:rPr>
          <w:bCs/>
          <w:b/>
        </w:rPr>
        <w:t xml:space="preserve">Best for.</w:t>
      </w:r>
      <w:r>
        <w:t xml:space="preserve"> Relationships between two continuous KPIs; spotting outliers and clusters. </w:t>
      </w:r>
      <w:r>
        <w:rPr>
          <w:bCs/>
          <w:b/>
        </w:rPr>
        <w:t xml:space="preserve">KPIs.</w:t>
      </w:r>
      <w:r>
        <w:t xml:space="preserve"> </w:t>
      </w:r>
      <w:r>
        <w:rPr>
          <w:rStyle w:val="VerbatimChar"/>
        </w:rPr>
        <w:t xml:space="preserve">UTIL.PA</w:t>
      </w:r>
      <w:r>
        <w:t xml:space="preserve"> vs </w:t>
      </w:r>
      <w:r>
        <w:rPr>
          <w:rStyle w:val="VerbatimChar"/>
        </w:rPr>
        <w:t xml:space="preserve">UTIL.UA</w:t>
      </w:r>
      <w:r>
        <w:t xml:space="preserve"> (the maintenance/operations split), </w:t>
      </w:r>
      <w:r>
        <w:rPr>
          <w:rStyle w:val="VerbatimChar"/>
        </w:rPr>
        <w:t xml:space="preserve">MAINT.MTBF</w:t>
      </w:r>
      <w:r>
        <w:t xml:space="preserve"> vs </w:t>
      </w:r>
      <w:r>
        <w:rPr>
          <w:rStyle w:val="VerbatimChar"/>
        </w:rPr>
        <w:t xml:space="preserve">MAINT.MTTR</w:t>
      </w:r>
      <w:r>
        <w:t xml:space="preserve"> (reliability quadrant), </w:t>
      </w:r>
      <w:r>
        <w:rPr>
          <w:rStyle w:val="VerbatimChar"/>
        </w:rPr>
        <w:t xml:space="preserve">PROD.Payload</w:t>
      </w:r>
      <w:r>
        <w:t xml:space="preserve"> vs </w:t>
      </w:r>
      <w:r>
        <w:rPr>
          <w:rStyle w:val="VerbatimChar"/>
        </w:rPr>
        <w:t xml:space="preserve">PROD.TruckCycleTime</w:t>
      </w:r>
      <w:r>
        <w:t xml:space="preserve"> (fleet efficiency space), </w:t>
      </w:r>
      <w:r>
        <w:rPr>
          <w:rStyle w:val="VerbatimChar"/>
        </w:rPr>
        <w:t xml:space="preserve">QUAL.Recovery</w:t>
      </w:r>
      <w:r>
        <w:t xml:space="preserve"> vs concentrate grade (grade-recovery curve). </w:t>
      </w:r>
      <w:r>
        <w:rPr>
          <w:bCs/>
          <w:b/>
        </w:rPr>
        <w:t xml:space="preserve">Design rules.</w:t>
      </w:r>
      <w:r>
        <w:t xml:space="preserve"> Quadrant lines at target values; colour by equipment or operator; annotate outliers; include marginal distributions for large datasets.</w:t>
      </w:r>
    </w:p>
    <w:bookmarkEnd w:id="136"/>
    <w:bookmarkStart w:id="137" w:name="histogram"/>
    <w:p>
      <w:pPr>
        <w:pStyle w:val="Heading3"/>
      </w:pPr>
      <w:bookmarkStart w:id="930095" w:name="_TocLBSv1_930095"/>
      <w:r>
        <w:t xml:space="preserve">Histogram</w:t>
      </w:r>
      <w:bookmarkEnd w:id="930095"/>
    </w:p>
    <w:p>
      <w:pPr>
        <w:pStyle w:val="FirstParagraph"/>
      </w:pPr>
      <w:r>
        <w:rPr>
          <w:bCs/>
          <w:b/>
        </w:rPr>
        <w:t xml:space="preserve">Best for.</w:t>
      </w:r>
      <w:r>
        <w:t xml:space="preserve"> Distribution of a continuous KPI — revealing spread and outliers beyond the mean. </w:t>
      </w:r>
      <w:r>
        <w:rPr>
          <w:bCs/>
          <w:b/>
        </w:rPr>
        <w:t xml:space="preserve">KPIs.</w:t>
      </w:r>
      <w:r>
        <w:t xml:space="preserve"> </w:t>
      </w:r>
      <w:r>
        <w:rPr>
          <w:rStyle w:val="VerbatimChar"/>
        </w:rPr>
        <w:t xml:space="preserve">PROD.Payload</w:t>
      </w:r>
      <w:r>
        <w:t xml:space="preserve"> (payload distribution per operator or fleet — the fill-factor teaching chart), </w:t>
      </w:r>
      <w:r>
        <w:rPr>
          <w:rStyle w:val="VerbatimChar"/>
        </w:rPr>
        <w:t xml:space="preserve">PROD.TruckCycleTime</w:t>
      </w:r>
      <w:r>
        <w:t xml:space="preserve">, </w:t>
      </w:r>
      <w:r>
        <w:rPr>
          <w:rStyle w:val="VerbatimChar"/>
        </w:rPr>
        <w:t xml:space="preserve">MAINT.MTTR</w:t>
      </w:r>
      <w:r>
        <w:t xml:space="preserve"> (fat-tail repair times), speed violations. </w:t>
      </w:r>
      <w:r>
        <w:rPr>
          <w:bCs/>
          <w:b/>
        </w:rPr>
        <w:t xml:space="preserve">Design rules.</w:t>
      </w:r>
      <w:r>
        <w:t xml:space="preserve"> Mark rated capacity and target on payload histograms; show both mean and median for MTTR (the distribution is skewed); use bin width ≈ 2× measurement resolution.</w:t>
      </w:r>
    </w:p>
    <w:bookmarkEnd w:id="137"/>
    <w:bookmarkStart w:id="138" w:name="control-chart-shewhart"/>
    <w:p>
      <w:pPr>
        <w:pStyle w:val="Heading3"/>
      </w:pPr>
      <w:bookmarkStart w:id="930096" w:name="_TocLBSv1_930096"/>
      <w:r>
        <w:t xml:space="preserve">Control Chart (Shewhart)</w:t>
      </w:r>
      <w:bookmarkEnd w:id="930096"/>
    </w:p>
    <w:p>
      <w:pPr>
        <w:pStyle w:val="FirstParagraph"/>
      </w:pPr>
      <w:r>
        <w:rPr>
          <w:bCs/>
          <w:b/>
        </w:rPr>
        <w:t xml:space="preserve">Best for.</w:t>
      </w:r>
      <w:r>
        <w:t xml:space="preserve"> Process stability monitoring — distinguishing common-cause variation from special causes. </w:t>
      </w:r>
      <w:r>
        <w:rPr>
          <w:bCs/>
          <w:b/>
        </w:rPr>
        <w:t xml:space="preserve">KPIs.</w:t>
      </w:r>
      <w:r>
        <w:t xml:space="preserve"> </w:t>
      </w:r>
      <w:r>
        <w:rPr>
          <w:rStyle w:val="VerbatimChar"/>
        </w:rPr>
        <w:t xml:space="preserve">PROD.TPH</w:t>
      </w:r>
      <w:r>
        <w:t xml:space="preserve"> (shift-level control chart is the operational heartbeat), </w:t>
      </w:r>
      <w:r>
        <w:rPr>
          <w:rStyle w:val="VerbatimChar"/>
        </w:rPr>
        <w:t xml:space="preserve">PROD.Payload</w:t>
      </w:r>
      <w:r>
        <w:t xml:space="preserve">, </w:t>
      </w:r>
      <w:r>
        <w:rPr>
          <w:rStyle w:val="VerbatimChar"/>
        </w:rPr>
        <w:t xml:space="preserve">UTIL.PA</w:t>
      </w:r>
      <w:r>
        <w:t xml:space="preserve"> per week. </w:t>
      </w:r>
      <w:r>
        <w:rPr>
          <w:bCs/>
          <w:b/>
        </w:rPr>
        <w:t xml:space="preserve">Design rules.</w:t>
      </w:r>
      <w:r>
        <w:t xml:space="preserve"> UCL/LCL at ±3σ of the baseline period; annotate rule violations (runs of 8+ above/below mean, single point outside ±3σ); always show the baseline period visibly.</w:t>
      </w:r>
    </w:p>
    <w:bookmarkEnd w:id="138"/>
    <w:bookmarkStart w:id="139" w:name="heatmap"/>
    <w:p>
      <w:pPr>
        <w:pStyle w:val="Heading3"/>
      </w:pPr>
      <w:bookmarkStart w:id="930097" w:name="_TocLBSv1_930097"/>
      <w:r>
        <w:t xml:space="preserve">Heatmap</w:t>
      </w:r>
      <w:bookmarkEnd w:id="930097"/>
    </w:p>
    <w:p>
      <w:pPr>
        <w:pStyle w:val="FirstParagraph"/>
      </w:pPr>
      <w:r>
        <w:rPr>
          <w:bCs/>
          <w:b/>
        </w:rPr>
        <w:t xml:space="preserve">Best for.</w:t>
      </w:r>
      <w:r>
        <w:t xml:space="preserve"> Two-dimensional intensity — time-of-day by day, operator by KPI, mine zone by event count. </w:t>
      </w:r>
      <w:r>
        <w:rPr>
          <w:bCs/>
          <w:b/>
        </w:rPr>
        <w:t xml:space="preserve">KPIs.</w:t>
      </w:r>
      <w:r>
        <w:t xml:space="preserve"> </w:t>
      </w:r>
      <w:r>
        <w:rPr>
          <w:rStyle w:val="VerbatimChar"/>
        </w:rPr>
        <w:t xml:space="preserve">SAFE.SpeedViolationRate</w:t>
      </w:r>
      <w:r>
        <w:t xml:space="preserve"> (by road segment × time-of-day), </w:t>
      </w:r>
      <w:r>
        <w:rPr>
          <w:rStyle w:val="VerbatimChar"/>
        </w:rPr>
        <w:t xml:space="preserve">DELAY.Hours</w:t>
      </w:r>
      <w:r>
        <w:t xml:space="preserve"> (by equipment × shift day), </w:t>
      </w:r>
      <w:r>
        <w:rPr>
          <w:rStyle w:val="VerbatimChar"/>
        </w:rPr>
        <w:t xml:space="preserve">ENERGY.IdleFuelRatio</w:t>
      </w:r>
      <w:r>
        <w:t xml:space="preserve"> (by operator × time-of-day). </w:t>
      </w:r>
      <w:r>
        <w:rPr>
          <w:bCs/>
          <w:b/>
        </w:rPr>
        <w:t xml:space="preserve">Design rules.</w:t>
      </w:r>
      <w:r>
        <w:t xml:space="preserve"> Consistent colour scale (sequential for intensity, diverging for deviation from target); annotate cells with values when the heatmap has &lt; 100 cells; always label both axes fully.</w:t>
      </w:r>
    </w:p>
    <w:bookmarkEnd w:id="139"/>
    <w:bookmarkStart w:id="140" w:name="fleet-map"/>
    <w:p>
      <w:pPr>
        <w:pStyle w:val="Heading3"/>
      </w:pPr>
      <w:bookmarkStart w:id="930098" w:name="_TocLBSv1_930098"/>
      <w:r>
        <w:t xml:space="preserve">Fleet Map</w:t>
      </w:r>
      <w:bookmarkEnd w:id="930098"/>
    </w:p>
    <w:p>
      <w:pPr>
        <w:pStyle w:val="FirstParagraph"/>
      </w:pPr>
      <w:r>
        <w:rPr>
          <w:bCs/>
          <w:b/>
        </w:rPr>
        <w:t xml:space="preserve">Best for.</w:t>
      </w:r>
      <w:r>
        <w:t xml:space="preserve"> Spatial representation of equipment positions and KPIs at a point in time. </w:t>
      </w:r>
      <w:r>
        <w:rPr>
          <w:bCs/>
          <w:b/>
        </w:rPr>
        <w:t xml:space="preserve">KPIs.</w:t>
      </w:r>
      <w:r>
        <w:t xml:space="preserve"> </w:t>
      </w:r>
      <w:r>
        <w:rPr>
          <w:rStyle w:val="VerbatimChar"/>
        </w:rPr>
        <w:t xml:space="preserve">HAUL.MatchFactor</w:t>
      </w:r>
      <w:r>
        <w:t xml:space="preserve"> (truck assignments by route), </w:t>
      </w:r>
      <w:r>
        <w:rPr>
          <w:rStyle w:val="VerbatimChar"/>
        </w:rPr>
        <w:t xml:space="preserve">SAFE.SpeedViolationRate</w:t>
      </w:r>
      <w:r>
        <w:t xml:space="preserve"> (by road segment), </w:t>
      </w:r>
      <w:r>
        <w:rPr>
          <w:rStyle w:val="VerbatimChar"/>
        </w:rPr>
        <w:t xml:space="preserve">DELAY.Hours</w:t>
      </w:r>
      <w:r>
        <w:t xml:space="preserve"> (by equipment location). </w:t>
      </w:r>
      <w:r>
        <w:rPr>
          <w:bCs/>
          <w:b/>
        </w:rPr>
        <w:t xml:space="preserve">Design rules.</w:t>
      </w:r>
      <w:r>
        <w:t xml:space="preserve"> Schematic (not satellite) mine layout; equipment icons coloured by status or KPI band; route widths proportional to t·km; interactive tooltip for digital delivery.</w:t>
      </w:r>
    </w:p>
    <w:bookmarkEnd w:id="140"/>
    <w:bookmarkStart w:id="141" w:name="bubble-chart"/>
    <w:p>
      <w:pPr>
        <w:pStyle w:val="Heading3"/>
      </w:pPr>
      <w:bookmarkStart w:id="930099" w:name="_TocLBSv1_930099"/>
      <w:r>
        <w:t xml:space="preserve">Bubble Chart</w:t>
      </w:r>
      <w:bookmarkEnd w:id="930099"/>
    </w:p>
    <w:p>
      <w:pPr>
        <w:pStyle w:val="FirstParagraph"/>
      </w:pPr>
      <w:r>
        <w:rPr>
          <w:bCs/>
          <w:b/>
        </w:rPr>
        <w:t xml:space="preserve">Best for.</w:t>
      </w:r>
      <w:r>
        <w:t xml:space="preserve"> Three-dimensional comparison — x, y, and bubble size encode three KPIs simultaneously. </w:t>
      </w:r>
      <w:r>
        <w:rPr>
          <w:bCs/>
          <w:b/>
        </w:rPr>
        <w:t xml:space="preserve">KPIs.</w:t>
      </w:r>
      <w:r>
        <w:t xml:space="preserve"> Fleet comparison: x=</w:t>
      </w:r>
      <w:r>
        <w:rPr>
          <w:rStyle w:val="VerbatimChar"/>
        </w:rPr>
        <w:t xml:space="preserve">UTIL.PA</w:t>
      </w:r>
      <w:r>
        <w:t xml:space="preserve">, y=</w:t>
      </w:r>
      <w:r>
        <w:rPr>
          <w:rStyle w:val="VerbatimChar"/>
        </w:rPr>
        <w:t xml:space="preserve">UTIL.UA</w:t>
      </w:r>
      <w:r>
        <w:t xml:space="preserve">, bubble=</w:t>
      </w:r>
      <w:r>
        <w:rPr>
          <w:rStyle w:val="VerbatimChar"/>
        </w:rPr>
        <w:t xml:space="preserve">PROD.TPH</w:t>
      </w:r>
      <w:r>
        <w:t xml:space="preserve"> (the fleet intelligence scatter); mine comparison: x=cost/t, y=recovery, bubble=tonnes. </w:t>
      </w:r>
      <w:r>
        <w:rPr>
          <w:bCs/>
          <w:b/>
        </w:rPr>
        <w:t xml:space="preserve">Design rules.</w:t>
      </w:r>
      <w:r>
        <w:t xml:space="preserve"> Bubble area (not diameter) proportional to the third KPI; reference lines at targets in both axes; label bubbles with equipment or mine names.</w:t>
      </w:r>
    </w:p>
    <w:bookmarkEnd w:id="141"/>
    <w:bookmarkStart w:id="142" w:name="timeline-gantt"/>
    <w:p>
      <w:pPr>
        <w:pStyle w:val="Heading3"/>
      </w:pPr>
      <w:bookmarkStart w:id="930100" w:name="_TocLBSv1_930100"/>
      <w:r>
        <w:t xml:space="preserve">Timeline / Gantt</w:t>
      </w:r>
      <w:bookmarkEnd w:id="930100"/>
    </w:p>
    <w:p>
      <w:pPr>
        <w:pStyle w:val="FirstParagraph"/>
      </w:pPr>
      <w:r>
        <w:rPr>
          <w:bCs/>
          <w:b/>
        </w:rPr>
        <w:t xml:space="preserve">Best for.</w:t>
      </w:r>
      <w:r>
        <w:t xml:space="preserve"> Event sequences on a time axis — maintenance history, delay sequences, shift event flow. </w:t>
      </w:r>
      <w:r>
        <w:rPr>
          <w:bCs/>
          <w:b/>
        </w:rPr>
        <w:t xml:space="preserve">KPIs.</w:t>
      </w:r>
      <w:r>
        <w:t xml:space="preserve"> </w:t>
      </w:r>
      <w:r>
        <w:rPr>
          <w:rStyle w:val="VerbatimChar"/>
        </w:rPr>
        <w:t xml:space="preserve">DELAY.Hours</w:t>
      </w:r>
      <w:r>
        <w:t xml:space="preserve"> as a Gantt (time lost by category, by equipment, across a shift), </w:t>
      </w:r>
      <w:r>
        <w:rPr>
          <w:rStyle w:val="VerbatimChar"/>
        </w:rPr>
        <w:t xml:space="preserve">MAINT.MTTR</w:t>
      </w:r>
      <w:r>
        <w:t xml:space="preserve"> as repair timeline, shift event flow for root-cause analysis. </w:t>
      </w:r>
      <w:r>
        <w:rPr>
          <w:bCs/>
          <w:b/>
        </w:rPr>
        <w:t xml:space="preserve">Design rules.</w:t>
      </w:r>
      <w:r>
        <w:t xml:space="preserve"> Domain colours for event categories; horizontal bars by equipment on the y-axis; time on x-axis; align with the shift boundaries from </w:t>
      </w:r>
      <w:r>
        <w:rPr>
          <w:rStyle w:val="VerbatimChar"/>
        </w:rPr>
        <w:t xml:space="preserve">shift_calendar.csv</w:t>
      </w:r>
      <w:r>
        <w:t xml:space="preserve">.</w:t>
      </w:r>
    </w:p>
    <w:bookmarkEnd w:id="142"/>
    <w:bookmarkStart w:id="143" w:name="dual-axis-line-chart"/>
    <w:p>
      <w:pPr>
        <w:pStyle w:val="Heading3"/>
      </w:pPr>
      <w:bookmarkStart w:id="930101" w:name="_TocLBSv1_930101"/>
      <w:r>
        <w:t xml:space="preserve">Dual-Axis Line Chart</w:t>
      </w:r>
      <w:bookmarkEnd w:id="930101"/>
    </w:p>
    <w:p>
      <w:pPr>
        <w:pStyle w:val="FirstParagraph"/>
      </w:pPr>
      <w:r>
        <w:rPr>
          <w:bCs/>
          <w:b/>
        </w:rPr>
        <w:t xml:space="preserve">Best for.</w:t>
      </w:r>
      <w:r>
        <w:t xml:space="preserve"> Two related but differently-scaled KPIs over time. </w:t>
      </w:r>
      <w:r>
        <w:rPr>
          <w:bCs/>
          <w:b/>
        </w:rPr>
        <w:t xml:space="preserve">KPIs.</w:t>
      </w:r>
      <w:r>
        <w:t xml:space="preserve"> </w:t>
      </w:r>
      <w:r>
        <w:rPr>
          <w:rStyle w:val="VerbatimChar"/>
        </w:rPr>
        <w:t xml:space="preserve">ENERGY.FuelPerTonne</w:t>
      </w:r>
      <w:r>
        <w:t xml:space="preserve"> (L/t, left) alongside </w:t>
      </w:r>
      <w:r>
        <w:rPr>
          <w:rStyle w:val="VerbatimChar"/>
        </w:rPr>
        <w:t xml:space="preserve">CARBON.CO2PerTonne</w:t>
      </w:r>
      <w:r>
        <w:t xml:space="preserve"> (kg CO₂e/t, right) — the fuel-carbon identity; </w:t>
      </w:r>
      <w:r>
        <w:rPr>
          <w:rStyle w:val="VerbatimChar"/>
        </w:rPr>
        <w:t xml:space="preserve">UTIL.PA</w:t>
      </w:r>
      <w:r>
        <w:t xml:space="preserve"> alongside </w:t>
      </w:r>
      <w:r>
        <w:rPr>
          <w:rStyle w:val="VerbatimChar"/>
        </w:rPr>
        <w:t xml:space="preserve">MAINT.MTBF</w:t>
      </w:r>
      <w:r>
        <w:t xml:space="preserve"> (the reliability–availability link). </w:t>
      </w:r>
      <w:r>
        <w:rPr>
          <w:bCs/>
          <w:b/>
        </w:rPr>
        <w:t xml:space="preserve">Design rules.</w:t>
      </w:r>
      <w:r>
        <w:t xml:space="preserve"> Left and right axes must be clearly labelled with units; highlight that the two lines are always proportional for fuel–carbon (by the emission factor) to teach the linkage; never use dual-axis for unrelated KPIs.</w:t>
      </w:r>
    </w:p>
    <w:bookmarkEnd w:id="143"/>
    <w:bookmarkEnd w:id="144"/>
    <w:bookmarkStart w:id="145" w:name="worst-practice-patterns-to-avoid"/>
    <w:p>
      <w:pPr>
        <w:pStyle w:val="Heading2"/>
      </w:pPr>
      <w:bookmarkStart w:id="930102" w:name="_TocLBSv1_930102"/>
      <w:r>
        <w:t xml:space="preserve">Worst-practice patterns to avoid</w:t>
      </w:r>
      <w:bookmarkEnd w:id="930102"/>
    </w:p>
    <w:p>
      <w:pPr>
        <w:pStyle w:val="CommonMistake"/>
      </w:pPr>
      <w:r>
        <w:rPr>
          <w:bCs/>
          <w:b/>
        </w:rPr>
        <w:t xml:space="preserve">Common Mistake — the wrong chart for the KPI type.</w:t>
      </w:r>
      <w:r>
        <w:t xml:space="preserve"> (1) Pie chart for delay hours: a Pareto always tells you more. (2) Bar chart mean for MTTR: always show the distribution, as the mean is dominated by long tail events. (3) Averaging </w:t>
      </w:r>
      <w:r>
        <w:rPr>
          <w:rStyle w:val="VerbatimChar"/>
        </w:rPr>
        <w:t xml:space="preserve">UTIL.PA</w:t>
      </w:r>
      <w:r>
        <w:t xml:space="preserve"> across equipment without recomputing from hours: always pool hours, never average percentages. (4) Single-axis line for </w:t>
      </w:r>
      <w:r>
        <w:rPr>
          <w:rStyle w:val="VerbatimChar"/>
        </w:rPr>
        <w:t xml:space="preserve">UTIL.PA</w:t>
      </w:r>
      <w:r>
        <w:t xml:space="preserve"> and </w:t>
      </w:r>
      <w:r>
        <w:rPr>
          <w:rStyle w:val="VerbatimChar"/>
        </w:rPr>
        <w:t xml:space="preserve">UTIL.UA</w:t>
      </w:r>
      <w:r>
        <w:t xml:space="preserve"> separately, missing the PA × UA = EU insight: always use the availability waterfall for this pair.</w:t>
      </w:r>
    </w:p>
    <w:p>
      <w:r>
        <w:br w:type="page"/>
      </w:r>
    </w:p>
    <w:bookmarkEnd w:id="145"/>
    <w:bookmarkEnd w:id="146"/>
    <w:bookmarkStart w:id="160" w:name="part-vi-ai-demonstration-gallery"/>
    <w:p>
      <w:pPr>
        <w:pStyle w:val="Heading1"/>
      </w:pPr>
      <w:bookmarkStart w:id="930103" w:name="_TocLBSv1_930103"/>
      <w:r>
        <w:t xml:space="preserve">Part VI — AI Demonstration Gallery</w:t>
      </w:r>
      <w:bookmarkEnd w:id="930103"/>
    </w:p>
    <w:p>
      <w:pPr>
        <w:pStyle w:val="LearningObjectives"/>
      </w:pPr>
      <w:r>
        <w:rPr>
          <w:bCs/>
          <w:b/>
        </w:rPr>
        <w:t xml:space="preserve">Learning Objectives.</w:t>
      </w:r>
      <w:r>
        <w:t xml:space="preserve"> After reading this part you will understand: how each of the nine AI demonstration notebooks is structured; what inputs feed the Claude API and what structured output is expected; how to validate an AI response against a KPI-grounded expected answer; and the design principles that make AI mining analytics trustworthy.</w:t>
      </w:r>
    </w:p>
    <w:p>
      <w:pPr>
        <w:pStyle w:val="BodyText"/>
      </w:pPr>
      <w:r>
        <w:t xml:space="preserve">The AI Demo Gallery shows how the Claude API, the KPI engine, and the MineProductivity ontology combine to deliver structured, explainable mining intelligence. Each demo follows a strict four-stage pattern: </w:t>
      </w:r>
      <w:r>
        <w:rPr>
          <w:bCs/>
          <w:b/>
        </w:rPr>
        <w:t xml:space="preserve">Inputs → API call → Expected output structure → Validation approach.</w:t>
      </w:r>
    </w:p>
    <w:p>
      <w:pPr>
        <w:pStyle w:val="CaptionedFigure"/>
      </w:pPr>
      <w:r>
        <w:drawing>
          <wp:inline>
            <wp:extent cx="5334000" cy="2489200"/>
            <wp:effectExtent b="0" l="0" r="0" t="0"/>
            <wp:docPr descr="AI Demonstration Gallery: nine demonstration flows — Root Cause Analysis, KPI Explanation, Delay Investigation, Shift Summary Generation, Productivity Recommendations, Fleet Optimisation, Digital Twin Querying, Ontology Exploration, Benchmark Comparison. Each demo flows from structured input → Claude API → expected output → human validation." title="" id="148" name="Picture"/>
            <a:graphic>
              <a:graphicData uri="http://schemas.openxmlformats.org/drawingml/2006/picture">
                <pic:pic>
                  <pic:nvPicPr>
                    <pic:cNvPr descr="/home/claude/lbs_figs/lbs_ai_gallery.png" id="149" name="Picture"/>
                    <pic:cNvPicPr>
                      <a:picLocks noChangeArrowheads="1" noChangeAspect="1"/>
                    </pic:cNvPicPr>
                  </pic:nvPicPr>
                  <pic:blipFill>
                    <a:blip r:embed="rId147"/>
                    <a:stretch>
                      <a:fillRect/>
                    </a:stretch>
                  </pic:blipFill>
                  <pic:spPr bwMode="auto">
                    <a:xfrm>
                      <a:off x="0" y="0"/>
                      <a:ext cx="5334000" cy="2489200"/>
                    </a:xfrm>
                    <a:prstGeom prst="rect">
                      <a:avLst/>
                    </a:prstGeom>
                    <a:noFill/>
                    <a:ln w="9525">
                      <a:noFill/>
                      <a:headEnd/>
                      <a:tailEnd/>
                    </a:ln>
                  </pic:spPr>
                </pic:pic>
              </a:graphicData>
            </a:graphic>
          </wp:inline>
        </w:drawing>
      </w:r>
    </w:p>
    <w:p>
      <w:pPr>
        <w:pStyle w:val="ImageCaption"/>
      </w:pPr>
      <w:r>
        <w:t xml:space="preserve">AI Demonstration Gallery: nine demonstration flows — Root Cause Analysis, KPI Explanation, Delay Investigation, Shift Summary Generation, Productivity Recommendations, Fleet Optimisation, Digital Twin Querying, Ontology Exploration, Benchmark Comparison. Each demo flows from structured input → Claude API → expected output → human validation.</w:t>
      </w:r>
    </w:p>
    <w:p>
      <w:pPr>
        <w:pStyle w:val="ArchitectureInsight"/>
      </w:pPr>
      <w:r>
        <w:rPr>
          <w:bCs/>
          <w:b/>
        </w:rPr>
        <w:t xml:space="preserve">Architecture Insight — the KPI engine, not the LLM, computes the numbers.</w:t>
      </w:r>
      <w:r>
        <w:t xml:space="preserve"> In every demo, the Python KPI engine computes the numbers; the Claude API explains, interprets, and recommends. The LLM is never asked to perform the arithmetic — it is given validated KPI values and asked to reason about them in natural language. This separation is the design principle that makes AI mining analytics auditable: the number is reproducible from code; the interpretation is from the model.</w:t>
      </w:r>
    </w:p>
    <w:bookmarkStart w:id="150" w:name="demo-structure-standard-template"/>
    <w:p>
      <w:pPr>
        <w:pStyle w:val="Heading2"/>
      </w:pPr>
      <w:bookmarkStart w:id="930104" w:name="_TocLBSv1_930104"/>
      <w:r>
        <w:t xml:space="preserve">Demo structure — standard template</w:t>
      </w:r>
      <w:bookmarkEnd w:id="930104"/>
    </w:p>
    <w:p>
      <w:pPr>
        <w:pStyle w:val="FirstParagraph"/>
      </w:pPr>
      <w:r>
        <w:t xml:space="preserve">Every demo notebook follows this pattern:</w:t>
      </w:r>
    </w:p>
    <w:p>
      <w:pPr>
        <w:numPr>
          <w:ilvl w:val="0"/>
          <w:numId w:val="1002"/>
        </w:numPr>
        <w:pStyle w:val="Compact"/>
      </w:pPr>
      <w:r>
        <w:rPr>
          <w:bCs/>
          <w:b/>
        </w:rPr>
        <w:t xml:space="preserve">Load and compute KPIs</w:t>
      </w:r>
      <w:r>
        <w:t xml:space="preserve"> using </w:t>
      </w:r>
      <w:r>
        <w:rPr>
          <w:rStyle w:val="VerbatimChar"/>
        </w:rPr>
        <w:t xml:space="preserve">mp_kpis_p3.py</w:t>
      </w:r>
      <w:r>
        <w:t xml:space="preserve"> and the canonical dataset.</w:t>
      </w:r>
    </w:p>
    <w:p>
      <w:pPr>
        <w:numPr>
          <w:ilvl w:val="0"/>
          <w:numId w:val="1002"/>
        </w:numPr>
        <w:pStyle w:val="Compact"/>
      </w:pPr>
      <w:r>
        <w:rPr>
          <w:bCs/>
          <w:b/>
        </w:rPr>
        <w:t xml:space="preserve">Construct a structured prompt</w:t>
      </w:r>
      <w:r>
        <w:t xml:space="preserve"> that includes: KPI values, mine context, operational question.</w:t>
      </w:r>
    </w:p>
    <w:p>
      <w:pPr>
        <w:numPr>
          <w:ilvl w:val="0"/>
          <w:numId w:val="1002"/>
        </w:numPr>
        <w:pStyle w:val="Compact"/>
      </w:pPr>
      <w:r>
        <w:rPr>
          <w:bCs/>
          <w:b/>
        </w:rPr>
        <w:t xml:space="preserve">Call the Claude API</w:t>
      </w:r>
      <w:r>
        <w:t xml:space="preserve"> (</w:t>
      </w:r>
      <w:r>
        <w:rPr>
          <w:rStyle w:val="VerbatimChar"/>
        </w:rPr>
        <w:t xml:space="preserve">claude-sonnet-4-6</w:t>
      </w:r>
      <w:r>
        <w:t xml:space="preserve">).</w:t>
      </w:r>
    </w:p>
    <w:p>
      <w:pPr>
        <w:numPr>
          <w:ilvl w:val="0"/>
          <w:numId w:val="1002"/>
        </w:numPr>
        <w:pStyle w:val="Compact"/>
      </w:pPr>
      <w:r>
        <w:rPr>
          <w:bCs/>
          <w:b/>
        </w:rPr>
        <w:t xml:space="preserve">Parse the structured response</w:t>
      </w:r>
      <w:r>
        <w:t xml:space="preserve"> (JSON where specificity matters; prose where narrative is the output).</w:t>
      </w:r>
    </w:p>
    <w:p>
      <w:pPr>
        <w:numPr>
          <w:ilvl w:val="0"/>
          <w:numId w:val="1002"/>
        </w:numPr>
        <w:pStyle w:val="Compact"/>
      </w:pPr>
      <w:r>
        <w:rPr>
          <w:bCs/>
          <w:b/>
        </w:rPr>
        <w:t xml:space="preserve">Validate</w:t>
      </w:r>
      <w:r>
        <w:t xml:space="preserve"> against the expected output structure and grounded KPI values.</w:t>
      </w:r>
    </w:p>
    <w:bookmarkEnd w:id="150"/>
    <w:bookmarkStart w:id="151" w:name="demo-01-root-cause-analysis"/>
    <w:p>
      <w:pPr>
        <w:pStyle w:val="Heading2"/>
      </w:pPr>
      <w:bookmarkStart w:id="930105" w:name="_TocLBSv1_930105"/>
      <w:r>
        <w:t xml:space="preserve">Demo 01 — Root Cause Analysis</w:t>
      </w:r>
      <w:bookmarkEnd w:id="930105"/>
    </w:p>
    <w:p>
      <w:pPr>
        <w:pStyle w:val="FirstParagraph"/>
      </w:pPr>
      <w:r>
        <w:rPr>
          <w:bCs/>
          <w:b/>
        </w:rPr>
        <w:t xml:space="preserve">Objective.</w:t>
      </w:r>
      <w:r>
        <w:t xml:space="preserve"> Given a TPH shortfall, produce a structured root-cause narrative that descends through the KPI dependency graph to identify the primary driver and recommend an action.</w:t>
      </w:r>
    </w:p>
    <w:p>
      <w:pPr>
        <w:pStyle w:val="BodyText"/>
      </w:pPr>
      <w:r>
        <w:rPr>
          <w:bCs/>
          <w:b/>
        </w:rPr>
        <w:t xml:space="preserve">Inputs.</w:t>
      </w:r>
    </w:p>
    <w:p>
      <w:pPr>
        <w:pStyle w:val="SourceCode"/>
      </w:pPr>
      <w:r>
        <w:rPr>
          <w:rStyle w:val="FunctionTok"/>
        </w:rPr>
        <w:t xml:space="preserve">{</w:t>
      </w:r>
      <w:r>
        <w:br/>
      </w:r>
      <w:r>
        <w:rPr>
          <w:rStyle w:val="NormalTok"/>
        </w:rPr>
        <w:t xml:space="preserve">  </w:t>
      </w:r>
      <w:r>
        <w:rPr>
          <w:rStyle w:val="DataTypeTok"/>
        </w:rPr>
        <w:t xml:space="preserve">"mine"</w:t>
      </w:r>
      <w:r>
        <w:rPr>
          <w:rStyle w:val="FunctionTok"/>
        </w:rPr>
        <w:t xml:space="preserve">:</w:t>
      </w:r>
      <w:r>
        <w:rPr>
          <w:rStyle w:val="NormalTok"/>
        </w:rPr>
        <w:t xml:space="preserve"> </w:t>
      </w:r>
      <w:r>
        <w:rPr>
          <w:rStyle w:val="StringTok"/>
        </w:rPr>
        <w:t xml:space="preserve">"Pilbara Ridge"</w:t>
      </w:r>
      <w:r>
        <w:rPr>
          <w:rStyle w:val="FunctionTok"/>
        </w:rPr>
        <w:t xml:space="preserve">,</w:t>
      </w:r>
      <w:r>
        <w:br/>
      </w:r>
      <w:r>
        <w:rPr>
          <w:rStyle w:val="NormalTok"/>
        </w:rPr>
        <w:t xml:space="preserve">  </w:t>
      </w:r>
      <w:r>
        <w:rPr>
          <w:rStyle w:val="DataTypeTok"/>
        </w:rPr>
        <w:t xml:space="preserve">"shift_id"</w:t>
      </w:r>
      <w:r>
        <w:rPr>
          <w:rStyle w:val="FunctionTok"/>
        </w:rPr>
        <w:t xml:space="preserve">:</w:t>
      </w:r>
      <w:r>
        <w:rPr>
          <w:rStyle w:val="NormalTok"/>
        </w:rPr>
        <w:t xml:space="preserve"> </w:t>
      </w:r>
      <w:r>
        <w:rPr>
          <w:rStyle w:val="StringTok"/>
        </w:rPr>
        <w:t xml:space="preserve">"PIL_2026-01-15_D"</w:t>
      </w:r>
      <w:r>
        <w:rPr>
          <w:rStyle w:val="FunctionTok"/>
        </w:rPr>
        <w:t xml:space="preserve">,</w:t>
      </w:r>
      <w:r>
        <w:br/>
      </w:r>
      <w:r>
        <w:rPr>
          <w:rStyle w:val="NormalTok"/>
        </w:rPr>
        <w:t xml:space="preserve">  </w:t>
      </w:r>
      <w:r>
        <w:rPr>
          <w:rStyle w:val="DataTypeTok"/>
        </w:rPr>
        <w:t xml:space="preserve">"kpi_values"</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"PROD.TPH"</w:t>
      </w:r>
      <w:r>
        <w:rPr>
          <w:rStyle w:val="FunctionTok"/>
        </w:rPr>
        <w:t xml:space="preserve">:</w:t>
      </w:r>
      <w:r>
        <w:rPr>
          <w:rStyle w:val="NormalTok"/>
        </w:rPr>
        <w:t xml:space="preserve"> </w:t>
      </w:r>
      <w:r>
        <w:rPr>
          <w:rStyle w:val="FloatTok"/>
        </w:rPr>
        <w:t xml:space="preserve">980.5</w:t>
      </w:r>
      <w:r>
        <w:rPr>
          <w:rStyle w:val="FunctionTok"/>
        </w:rPr>
        <w:t xml:space="preserve">,</w:t>
      </w:r>
      <w:r>
        <w:br/>
      </w:r>
      <w:r>
        <w:rPr>
          <w:rStyle w:val="NormalTok"/>
        </w:rPr>
        <w:t xml:space="preserve">    </w:t>
      </w:r>
      <w:r>
        <w:rPr>
          <w:rStyle w:val="DataTypeTok"/>
        </w:rPr>
        <w:t xml:space="preserve">"PROD.TPH_plan"</w:t>
      </w:r>
      <w:r>
        <w:rPr>
          <w:rStyle w:val="FunctionTok"/>
        </w:rPr>
        <w:t xml:space="preserve">:</w:t>
      </w:r>
      <w:r>
        <w:rPr>
          <w:rStyle w:val="NormalTok"/>
        </w:rPr>
        <w:t xml:space="preserve"> </w:t>
      </w:r>
      <w:r>
        <w:rPr>
          <w:rStyle w:val="FloatTok"/>
        </w:rPr>
        <w:t xml:space="preserve">1250.0</w:t>
      </w:r>
      <w:r>
        <w:rPr>
          <w:rStyle w:val="FunctionTok"/>
        </w:rPr>
        <w:t xml:space="preserve">,</w:t>
      </w:r>
      <w:r>
        <w:br/>
      </w:r>
      <w:r>
        <w:rPr>
          <w:rStyle w:val="NormalTok"/>
        </w:rPr>
        <w:t xml:space="preserve">    </w:t>
      </w:r>
      <w:r>
        <w:rPr>
          <w:rStyle w:val="DataTypeTok"/>
        </w:rPr>
        <w:t xml:space="preserve">"UTIL.PA"</w:t>
      </w:r>
      <w:r>
        <w:rPr>
          <w:rStyle w:val="FunctionTok"/>
        </w:rPr>
        <w:t xml:space="preserve">:</w:t>
      </w:r>
      <w:r>
        <w:rPr>
          <w:rStyle w:val="NormalTok"/>
        </w:rPr>
        <w:t xml:space="preserve"> </w:t>
      </w:r>
      <w:r>
        <w:rPr>
          <w:rStyle w:val="FloatTok"/>
        </w:rPr>
        <w:t xml:space="preserve">78.2</w:t>
      </w:r>
      <w:r>
        <w:rPr>
          <w:rStyle w:val="FunctionTok"/>
        </w:rPr>
        <w:t xml:space="preserve">,</w:t>
      </w:r>
      <w:r>
        <w:br/>
      </w:r>
      <w:r>
        <w:rPr>
          <w:rStyle w:val="NormalTok"/>
        </w:rPr>
        <w:t xml:space="preserve">    </w:t>
      </w:r>
      <w:r>
        <w:rPr>
          <w:rStyle w:val="DataTypeTok"/>
        </w:rPr>
        <w:t xml:space="preserve">"UTIL.UA"</w:t>
      </w:r>
      <w:r>
        <w:rPr>
          <w:rStyle w:val="FunctionTok"/>
        </w:rPr>
        <w:t xml:space="preserve">:</w:t>
      </w:r>
      <w:r>
        <w:rPr>
          <w:rStyle w:val="NormalTok"/>
        </w:rPr>
        <w:t xml:space="preserve"> </w:t>
      </w:r>
      <w:r>
        <w:rPr>
          <w:rStyle w:val="FloatTok"/>
        </w:rPr>
        <w:t xml:space="preserve">84.1</w:t>
      </w:r>
      <w:r>
        <w:rPr>
          <w:rStyle w:val="FunctionTok"/>
        </w:rPr>
        <w:t xml:space="preserve">,</w:t>
      </w:r>
      <w:r>
        <w:br/>
      </w:r>
      <w:r>
        <w:rPr>
          <w:rStyle w:val="NormalTok"/>
        </w:rPr>
        <w:t xml:space="preserve">    </w:t>
      </w:r>
      <w:r>
        <w:rPr>
          <w:rStyle w:val="DataTypeTok"/>
        </w:rPr>
        <w:t xml:space="preserve">"DELAY.Hours_Equipment"</w:t>
      </w:r>
      <w:r>
        <w:rPr>
          <w:rStyle w:val="FunctionTok"/>
        </w:rPr>
        <w:t xml:space="preserve">:</w:t>
      </w:r>
      <w:r>
        <w:rPr>
          <w:rStyle w:val="NormalTok"/>
        </w:rPr>
        <w:t xml:space="preserve"> </w:t>
      </w:r>
      <w:r>
        <w:rPr>
          <w:rStyle w:val="FloatTok"/>
        </w:rPr>
        <w:t xml:space="preserve">3.8</w:t>
      </w:r>
      <w:r>
        <w:rPr>
          <w:rStyle w:val="FunctionTok"/>
        </w:rPr>
        <w:t xml:space="preserve">,</w:t>
      </w:r>
      <w:r>
        <w:br/>
      </w:r>
      <w:r>
        <w:rPr>
          <w:rStyle w:val="NormalTok"/>
        </w:rPr>
        <w:t xml:space="preserve">    </w:t>
      </w:r>
      <w:r>
        <w:rPr>
          <w:rStyle w:val="DataTypeTok"/>
        </w:rPr>
        <w:t xml:space="preserve">"MAINT.MTBF"</w:t>
      </w:r>
      <w:r>
        <w:rPr>
          <w:rStyle w:val="FunctionTok"/>
        </w:rPr>
        <w:t xml:space="preserve">:</w:t>
      </w:r>
      <w:r>
        <w:rPr>
          <w:rStyle w:val="NormalTok"/>
        </w:rPr>
        <w:t xml:space="preserve"> </w:t>
      </w:r>
      <w:r>
        <w:rPr>
          <w:rStyle w:val="FloatTok"/>
        </w:rPr>
        <w:t xml:space="preserve">19.3</w:t>
      </w:r>
      <w:r>
        <w:br/>
      </w:r>
      <w:r>
        <w:rPr>
          <w:rStyle w:val="NormalTok"/>
        </w:rPr>
        <w:t xml:space="preserve">  </w:t>
      </w:r>
      <w:r>
        <w:rPr>
          <w:rStyle w:val="FunctionTok"/>
        </w:rPr>
        <w:t xml:space="preserve">}</w:t>
      </w:r>
      <w:r>
        <w:br/>
      </w:r>
      <w:r>
        <w:rPr>
          <w:rStyle w:val="FunctionTok"/>
        </w:rPr>
        <w:t xml:space="preserve">}</w:t>
      </w:r>
    </w:p>
    <w:p>
      <w:pPr>
        <w:pStyle w:val="FirstParagraph"/>
      </w:pPr>
      <w:r>
        <w:rPr>
          <w:bCs/>
          <w:b/>
        </w:rPr>
        <w:t xml:space="preserve">Expected output structure.</w:t>
      </w:r>
    </w:p>
    <w:p>
      <w:pPr>
        <w:pStyle w:val="SourceCode"/>
      </w:pPr>
      <w:r>
        <w:rPr>
          <w:rStyle w:val="FunctionTok"/>
        </w:rPr>
        <w:t xml:space="preserve">{</w:t>
      </w:r>
      <w:r>
        <w:br/>
      </w:r>
      <w:r>
        <w:rPr>
          <w:rStyle w:val="NormalTok"/>
        </w:rPr>
        <w:t xml:space="preserve">  </w:t>
      </w:r>
      <w:r>
        <w:rPr>
          <w:rStyle w:val="DataTypeTok"/>
        </w:rPr>
        <w:t xml:space="preserve">"root_cause"</w:t>
      </w:r>
      <w:r>
        <w:rPr>
          <w:rStyle w:val="FunctionTok"/>
        </w:rPr>
        <w:t xml:space="preserve">:</w:t>
      </w:r>
      <w:r>
        <w:rPr>
          <w:rStyle w:val="NormalTok"/>
        </w:rPr>
        <w:t xml:space="preserve"> </w:t>
      </w:r>
      <w:r>
        <w:rPr>
          <w:rStyle w:val="StringTok"/>
        </w:rPr>
        <w:t xml:space="preserve">"Equipment availability loss — three unplanned haul-truck breakdowns"</w:t>
      </w:r>
      <w:r>
        <w:rPr>
          <w:rStyle w:val="FunctionTok"/>
        </w:rPr>
        <w:t xml:space="preserve">,</w:t>
      </w:r>
      <w:r>
        <w:br/>
      </w:r>
      <w:r>
        <w:rPr>
          <w:rStyle w:val="NormalTok"/>
        </w:rPr>
        <w:t xml:space="preserve">  </w:t>
      </w:r>
      <w:r>
        <w:rPr>
          <w:rStyle w:val="DataTypeTok"/>
        </w:rPr>
        <w:t xml:space="preserve">"primary_kpi"</w:t>
      </w:r>
      <w:r>
        <w:rPr>
          <w:rStyle w:val="FunctionTok"/>
        </w:rPr>
        <w:t xml:space="preserve">:</w:t>
      </w:r>
      <w:r>
        <w:rPr>
          <w:rStyle w:val="NormalTok"/>
        </w:rPr>
        <w:t xml:space="preserve"> </w:t>
      </w:r>
      <w:r>
        <w:rPr>
          <w:rStyle w:val="StringTok"/>
        </w:rPr>
        <w:t xml:space="preserve">"UTIL.PA (78.2% vs 86.9% target)"</w:t>
      </w:r>
      <w:r>
        <w:rPr>
          <w:rStyle w:val="FunctionTok"/>
        </w:rPr>
        <w:t xml:space="preserve">,</w:t>
      </w:r>
      <w:r>
        <w:br/>
      </w:r>
      <w:r>
        <w:rPr>
          <w:rStyle w:val="NormalTok"/>
        </w:rPr>
        <w:t xml:space="preserve">  </w:t>
      </w:r>
      <w:r>
        <w:rPr>
          <w:rStyle w:val="DataTypeTok"/>
        </w:rPr>
        <w:t xml:space="preserve">"kpi_dependency_path"</w:t>
      </w:r>
      <w:r>
        <w:rPr>
          <w:rStyle w:val="FunctionTok"/>
        </w:rPr>
        <w:t xml:space="preserve">:</w:t>
      </w:r>
      <w:r>
        <w:rPr>
          <w:rStyle w:val="NormalTok"/>
        </w:rPr>
        <w:t xml:space="preserve"> </w:t>
      </w:r>
      <w:r>
        <w:rPr>
          <w:rStyle w:val="OtherTok"/>
        </w:rPr>
        <w:t xml:space="preserve">[</w:t>
      </w:r>
      <w:r>
        <w:rPr>
          <w:rStyle w:val="StringTok"/>
        </w:rPr>
        <w:t xml:space="preserve">"PROD.TPH"</w:t>
      </w:r>
      <w:r>
        <w:rPr>
          <w:rStyle w:val="OtherTok"/>
        </w:rPr>
        <w:t xml:space="preserve">,</w:t>
      </w:r>
      <w:r>
        <w:rPr>
          <w:rStyle w:val="NormalTok"/>
        </w:rPr>
        <w:t xml:space="preserve"> </w:t>
      </w:r>
      <w:r>
        <w:rPr>
          <w:rStyle w:val="StringTok"/>
        </w:rPr>
        <w:t xml:space="preserve">"UTIL.EU"</w:t>
      </w:r>
      <w:r>
        <w:rPr>
          <w:rStyle w:val="OtherTok"/>
        </w:rPr>
        <w:t xml:space="preserve">,</w:t>
      </w:r>
      <w:r>
        <w:rPr>
          <w:rStyle w:val="NormalTok"/>
        </w:rPr>
        <w:t xml:space="preserve"> </w:t>
      </w:r>
      <w:r>
        <w:rPr>
          <w:rStyle w:val="StringTok"/>
        </w:rPr>
        <w:t xml:space="preserve">"UTIL.PA"</w:t>
      </w:r>
      <w:r>
        <w:rPr>
          <w:rStyle w:val="OtherTok"/>
        </w:rPr>
        <w:t xml:space="preserve">,</w:t>
      </w:r>
      <w:r>
        <w:rPr>
          <w:rStyle w:val="NormalTok"/>
        </w:rPr>
        <w:t xml:space="preserve"> </w:t>
      </w:r>
      <w:r>
        <w:rPr>
          <w:rStyle w:val="StringTok"/>
        </w:rPr>
        <w:t xml:space="preserve">"DELAY.Hours_Equipment"</w:t>
      </w:r>
      <w:r>
        <w:rPr>
          <w:rStyle w:val="OtherTok"/>
        </w:rPr>
        <w:t xml:space="preserve">]</w:t>
      </w:r>
      <w:r>
        <w:rPr>
          <w:rStyle w:val="FunctionTok"/>
        </w:rPr>
        <w:t xml:space="preserve">,</w:t>
      </w:r>
      <w:r>
        <w:br/>
      </w:r>
      <w:r>
        <w:rPr>
          <w:rStyle w:val="NormalTok"/>
        </w:rPr>
        <w:t xml:space="preserve">  </w:t>
      </w:r>
      <w:r>
        <w:rPr>
          <w:rStyle w:val="DataTypeTok"/>
        </w:rPr>
        <w:t xml:space="preserve">"recommended_action"</w:t>
      </w:r>
      <w:r>
        <w:rPr>
          <w:rStyle w:val="FunctionTok"/>
        </w:rPr>
        <w:t xml:space="preserve">:</w:t>
      </w:r>
      <w:r>
        <w:rPr>
          <w:rStyle w:val="NormalTok"/>
        </w:rPr>
        <w:t xml:space="preserve"> </w:t>
      </w:r>
      <w:r>
        <w:rPr>
          <w:rStyle w:val="StringTok"/>
        </w:rPr>
        <w:t xml:space="preserve">"Review hydraulic system PM compliance; check parts inventory for T-class trucks"</w:t>
      </w:r>
      <w:r>
        <w:rPr>
          <w:rStyle w:val="FunctionTok"/>
        </w:rPr>
        <w:t xml:space="preserve">,</w:t>
      </w:r>
      <w:r>
        <w:br/>
      </w:r>
      <w:r>
        <w:rPr>
          <w:rStyle w:val="NormalTok"/>
        </w:rPr>
        <w:t xml:space="preserve">  </w:t>
      </w:r>
      <w:r>
        <w:rPr>
          <w:rStyle w:val="DataTypeTok"/>
        </w:rPr>
        <w:t xml:space="preserve">"owner"</w:t>
      </w:r>
      <w:r>
        <w:rPr>
          <w:rStyle w:val="FunctionTok"/>
        </w:rPr>
        <w:t xml:space="preserve">:</w:t>
      </w:r>
      <w:r>
        <w:rPr>
          <w:rStyle w:val="NormalTok"/>
        </w:rPr>
        <w:t xml:space="preserve"> </w:t>
      </w:r>
      <w:r>
        <w:rPr>
          <w:rStyle w:val="StringTok"/>
        </w:rPr>
        <w:t xml:space="preserve">"Maintenance Supervisor"</w:t>
      </w:r>
      <w:r>
        <w:rPr>
          <w:rStyle w:val="FunctionTok"/>
        </w:rPr>
        <w:t xml:space="preserve">,</w:t>
      </w:r>
      <w:r>
        <w:br/>
      </w:r>
      <w:r>
        <w:rPr>
          <w:rStyle w:val="NormalTok"/>
        </w:rPr>
        <w:t xml:space="preserve">  </w:t>
      </w:r>
      <w:r>
        <w:rPr>
          <w:rStyle w:val="DataTypeTok"/>
        </w:rPr>
        <w:t xml:space="preserve">"supporting_evidence"</w:t>
      </w:r>
      <w:r>
        <w:rPr>
          <w:rStyle w:val="FunctionTok"/>
        </w:rPr>
        <w:t xml:space="preserve">:</w:t>
      </w:r>
      <w:r>
        <w:rPr>
          <w:rStyle w:val="NormalTok"/>
        </w:rPr>
        <w:t xml:space="preserve"> </w:t>
      </w:r>
      <w:r>
        <w:rPr>
          <w:rStyle w:val="OtherTok"/>
        </w:rPr>
        <w:t xml:space="preserve">[</w:t>
      </w:r>
      <w:r>
        <w:rPr>
          <w:rStyle w:val="StringTok"/>
        </w:rPr>
        <w:t xml:space="preserve">"MAINT.MTBF 19.3 h (below 30 h floor)"</w:t>
      </w:r>
      <w:r>
        <w:rPr>
          <w:rStyle w:val="OtherTok"/>
        </w:rPr>
        <w:t xml:space="preserve">,</w:t>
      </w:r>
      <w:r>
        <w:rPr>
          <w:rStyle w:val="NormalTok"/>
        </w:rPr>
        <w:t xml:space="preserve"> </w:t>
      </w:r>
      <w:r>
        <w:rPr>
          <w:rStyle w:val="StringTok"/>
        </w:rPr>
        <w:t xml:space="preserve">"Equipment delay 3.8 h = 46% of total delay"</w:t>
      </w:r>
      <w:r>
        <w:rPr>
          <w:rStyle w:val="OtherTok"/>
        </w:rPr>
        <w:t xml:space="preserve">]</w:t>
      </w:r>
      <w:r>
        <w:rPr>
          <w:rStyle w:val="FunctionTok"/>
        </w:rPr>
        <w:t xml:space="preserve">,</w:t>
      </w:r>
      <w:r>
        <w:br/>
      </w:r>
      <w:r>
        <w:rPr>
          <w:rStyle w:val="NormalTok"/>
        </w:rPr>
        <w:t xml:space="preserve">  </w:t>
      </w:r>
      <w:r>
        <w:rPr>
          <w:rStyle w:val="DataTypeTok"/>
        </w:rPr>
        <w:t xml:space="preserve">"confidence"</w:t>
      </w:r>
      <w:r>
        <w:rPr>
          <w:rStyle w:val="FunctionTok"/>
        </w:rPr>
        <w:t xml:space="preserve">:</w:t>
      </w:r>
      <w:r>
        <w:rPr>
          <w:rStyle w:val="NormalTok"/>
        </w:rPr>
        <w:t xml:space="preserve"> </w:t>
      </w:r>
      <w:r>
        <w:rPr>
          <w:rStyle w:val="StringTok"/>
        </w:rPr>
        <w:t xml:space="preserve">"High"</w:t>
      </w:r>
      <w:r>
        <w:br/>
      </w:r>
      <w:r>
        <w:rPr>
          <w:rStyle w:val="FunctionTok"/>
        </w:rPr>
        <w:t xml:space="preserve">}</w:t>
      </w:r>
    </w:p>
    <w:p>
      <w:pPr>
        <w:pStyle w:val="FirstParagraph"/>
      </w:pPr>
      <w:r>
        <w:rPr>
          <w:bCs/>
          <w:b/>
        </w:rPr>
        <w:t xml:space="preserve">Validation.</w:t>
      </w:r>
      <w:r>
        <w:t xml:space="preserve"> (1) Primary driver must be </w:t>
      </w:r>
      <w:r>
        <w:rPr>
          <w:rStyle w:val="VerbatimChar"/>
        </w:rPr>
        <w:t xml:space="preserve">UTIL.PA</w:t>
      </w:r>
      <w:r>
        <w:t xml:space="preserve"> or a dependency of it — any other answer fails. (2) Recommended action must be consistent with maintenance domain, not dispatch domain. (3) Confidence must degrade if KPI values are within tolerance of target.</w:t>
      </w:r>
    </w:p>
    <w:bookmarkEnd w:id="151"/>
    <w:bookmarkStart w:id="152" w:name="demo-02-kpi-explanation"/>
    <w:p>
      <w:pPr>
        <w:pStyle w:val="Heading2"/>
      </w:pPr>
      <w:bookmarkStart w:id="930106" w:name="_TocLBSv1_930106"/>
      <w:r>
        <w:t xml:space="preserve">Demo 02 — KPI Explanation</w:t>
      </w:r>
      <w:bookmarkEnd w:id="930106"/>
    </w:p>
    <w:p>
      <w:pPr>
        <w:pStyle w:val="FirstParagraph"/>
      </w:pPr>
      <w:r>
        <w:rPr>
          <w:bCs/>
          <w:b/>
        </w:rPr>
        <w:t xml:space="preserve">Objective.</w:t>
      </w:r>
      <w:r>
        <w:t xml:space="preserve"> Given a KPI identifier, produce a plain-English explanation with the formula, units, interpretation, and current value in context — suitable for a site general manager unfamiliar with the formula.</w:t>
      </w:r>
    </w:p>
    <w:p>
      <w:pPr>
        <w:pStyle w:val="BodyText"/>
      </w:pPr>
      <w:r>
        <w:rPr>
          <w:bCs/>
          <w:b/>
        </w:rPr>
        <w:t xml:space="preserve">Input.</w:t>
      </w:r>
      <w:r>
        <w:t xml:space="preserve"> </w:t>
      </w:r>
      <w:r>
        <w:rPr>
          <w:rStyle w:val="VerbatimChar"/>
        </w:rPr>
        <w:t xml:space="preserve">{"kpi_id": "UTIL.PA", "value": 86.9, "context": {"mine": "Pilbara Ridge", "shift": "D", "equipment": "T-101"}}</w:t>
      </w:r>
    </w:p>
    <w:p>
      <w:pPr>
        <w:pStyle w:val="BodyText"/>
      </w:pPr>
      <w:r>
        <w:rPr>
          <w:bCs/>
          <w:b/>
        </w:rPr>
        <w:t xml:space="preserve">Expected output.</w:t>
      </w:r>
      <w:r>
        <w:t xml:space="preserve"> A structured explanation: what PA is, why it matters, what 86.9% means for this mine, what a 1-point improvement is worth in operating hours, and what action would improve it.</w:t>
      </w:r>
    </w:p>
    <w:p>
      <w:pPr>
        <w:pStyle w:val="BodyText"/>
      </w:pPr>
      <w:r>
        <w:rPr>
          <w:bCs/>
          <w:b/>
        </w:rPr>
        <w:t xml:space="preserve">Validation.</w:t>
      </w:r>
      <w:r>
        <w:t xml:space="preserve"> The formula in the explanation must match Part III exactly: </w:t>
      </w:r>
      <w:r>
        <w:rPr>
          <w:rStyle w:val="VerbatimChar"/>
        </w:rPr>
        <w:t xml:space="preserve">PA = Available ÷ Scheduled × 100</w:t>
      </w:r>
      <w:r>
        <w:t xml:space="preserve">. The worked example must reproduce 86.9% ± 0.1.</w:t>
      </w:r>
    </w:p>
    <w:bookmarkEnd w:id="152"/>
    <w:bookmarkStart w:id="153" w:name="demo-03-delay-investigation"/>
    <w:p>
      <w:pPr>
        <w:pStyle w:val="Heading2"/>
      </w:pPr>
      <w:bookmarkStart w:id="930107" w:name="_TocLBSv1_930107"/>
      <w:r>
        <w:t xml:space="preserve">Demo 03 — Delay Investigation</w:t>
      </w:r>
      <w:bookmarkEnd w:id="930107"/>
    </w:p>
    <w:p>
      <w:pPr>
        <w:pStyle w:val="FirstParagraph"/>
      </w:pPr>
      <w:r>
        <w:rPr>
          <w:bCs/>
          <w:b/>
        </w:rPr>
        <w:t xml:space="preserve">Objective.</w:t>
      </w:r>
      <w:r>
        <w:t xml:space="preserve"> Given a delay Pareto, diagnose the dominant category, identify the specific causes, and recommend ranked interventions.</w:t>
      </w:r>
    </w:p>
    <w:p>
      <w:pPr>
        <w:pStyle w:val="BodyText"/>
      </w:pPr>
      <w:r>
        <w:rPr>
          <w:bCs/>
          <w:b/>
        </w:rPr>
        <w:t xml:space="preserve">Inputs.</w:t>
      </w:r>
      <w:r>
        <w:t xml:space="preserve"> Delay Pareto data: </w:t>
      </w:r>
      <w:r>
        <w:rPr>
          <w:rStyle w:val="VerbatimChar"/>
        </w:rPr>
        <w:t xml:space="preserve">{"Scheduled": 120, "Equipment": 90, "Standby": 81, "External": 84, "Process": 66, "Operational": 45}</w:t>
      </w:r>
      <w:r>
        <w:t xml:space="preserve"> minutes.</w:t>
      </w:r>
    </w:p>
    <w:p>
      <w:pPr>
        <w:pStyle w:val="BodyText"/>
      </w:pPr>
      <w:r>
        <w:rPr>
          <w:bCs/>
          <w:b/>
        </w:rPr>
        <w:t xml:space="preserve">Expected output structure.</w:t>
      </w:r>
      <w:r>
        <w:t xml:space="preserve"> - Top delay category identified: </w:t>
      </w:r>
      <w:r>
        <w:rPr>
          <w:bCs/>
          <w:b/>
        </w:rPr>
        <w:t xml:space="preserve">Scheduled</w:t>
      </w:r>
      <w:r>
        <w:t xml:space="preserve"> (120 min — planned blast, expected) - Second category actionable: </w:t>
      </w:r>
      <w:r>
        <w:rPr>
          <w:bCs/>
          <w:b/>
        </w:rPr>
        <w:t xml:space="preserve">Equipment</w:t>
      </w:r>
      <w:r>
        <w:t xml:space="preserve"> (90 min — shovel hydraulic failure) - </w:t>
      </w:r>
      <w:r>
        <w:rPr>
          <w:bCs/>
          <w:b/>
        </w:rPr>
        <w:t xml:space="preserve">Equipment</w:t>
      </w:r>
      <w:r>
        <w:t xml:space="preserve"> and </w:t>
      </w:r>
      <w:r>
        <w:rPr>
          <w:bCs/>
          <w:b/>
        </w:rPr>
        <w:t xml:space="preserve">Standby</w:t>
      </w:r>
      <w:r>
        <w:t xml:space="preserve"> combined = recoverable target - Recommended action 1: Shovel PM review - Recommended action 2: Match factor analysis (Standby = truck oversupply or undersupply?)</w:t>
      </w:r>
    </w:p>
    <w:p>
      <w:pPr>
        <w:pStyle w:val="BodyText"/>
      </w:pPr>
      <w:r>
        <w:rPr>
          <w:bCs/>
          <w:b/>
        </w:rPr>
        <w:t xml:space="preserve">Validation.</w:t>
      </w:r>
      <w:r>
        <w:t xml:space="preserve"> Agent must classify Scheduled delay as non-actionable before routing Equipment and Standby to their respective owners (maintenance vs dispatch). Misrouting Equipment delay to dispatch is a test failure.</w:t>
      </w:r>
    </w:p>
    <w:bookmarkEnd w:id="153"/>
    <w:bookmarkStart w:id="154" w:name="demo-04-shift-summary-generation"/>
    <w:p>
      <w:pPr>
        <w:pStyle w:val="Heading2"/>
      </w:pPr>
      <w:bookmarkStart w:id="930108" w:name="_TocLBSv1_930108"/>
      <w:r>
        <w:t xml:space="preserve">Demo 04 — Shift Summary Generation</w:t>
      </w:r>
      <w:bookmarkEnd w:id="930108"/>
    </w:p>
    <w:p>
      <w:pPr>
        <w:pStyle w:val="FirstParagraph"/>
      </w:pPr>
      <w:r>
        <w:rPr>
          <w:bCs/>
          <w:b/>
        </w:rPr>
        <w:t xml:space="preserve">Objective.</w:t>
      </w:r>
      <w:r>
        <w:t xml:space="preserve"> Produce a complete natural-language shift report from structured KPI inputs — the output that a shift supervisor might receive at handover.</w:t>
      </w:r>
    </w:p>
    <w:p>
      <w:pPr>
        <w:pStyle w:val="BodyText"/>
      </w:pPr>
      <w:r>
        <w:rPr>
          <w:bCs/>
          <w:b/>
        </w:rPr>
        <w:t xml:space="preserve">Inputs.</w:t>
      </w:r>
      <w:r>
        <w:t xml:space="preserve"> Full KPI set for shift </w:t>
      </w:r>
      <w:r>
        <w:rPr>
          <w:rStyle w:val="VerbatimChar"/>
        </w:rPr>
        <w:t xml:space="preserve">PIL_2026-01-15_D</w:t>
      </w:r>
      <w:r>
        <w:t xml:space="preserve">: all 22 Active KPI values from the expected-output table.</w:t>
      </w:r>
    </w:p>
    <w:p>
      <w:pPr>
        <w:pStyle w:val="BodyText"/>
      </w:pPr>
      <w:r>
        <w:rPr>
          <w:bCs/>
          <w:b/>
        </w:rPr>
        <w:t xml:space="preserve">Expected output.</w:t>
      </w:r>
      <w:r>
        <w:t xml:space="preserve"> A structured shift report with: executive summary (two sentences), KPI highlights (top 3 positive, top 2 concern), production vs plan table, delay summary, maintenance summary, safety flag (if </w:t>
      </w:r>
      <w:r>
        <w:rPr>
          <w:rStyle w:val="VerbatimChar"/>
        </w:rPr>
        <w:t xml:space="preserve">SAFE.SpeedViolationRate &gt; 5</w:t>
      </w:r>
      <w:r>
        <w:t xml:space="preserve">), recommended handover actions.</w:t>
      </w:r>
    </w:p>
    <w:p>
      <w:pPr>
        <w:pStyle w:val="BodyText"/>
      </w:pPr>
      <w:r>
        <w:rPr>
          <w:bCs/>
          <w:b/>
        </w:rPr>
        <w:t xml:space="preserve">Validation.</w:t>
      </w:r>
      <w:r>
        <w:t xml:space="preserve"> All KPI values quoted in the report must match input values ± tolerance. Safety flag must fire when rate = 5.385 (&gt; 5 threshold). Production shortfall attribution must cite the correct KPI driver.</w:t>
      </w:r>
    </w:p>
    <w:bookmarkEnd w:id="154"/>
    <w:bookmarkStart w:id="155" w:name="demo-05-productivity-recommendations"/>
    <w:p>
      <w:pPr>
        <w:pStyle w:val="Heading2"/>
      </w:pPr>
      <w:bookmarkStart w:id="930109" w:name="_TocLBSv1_930109"/>
      <w:r>
        <w:t xml:space="preserve">Demo 05 — Productivity Recommendations</w:t>
      </w:r>
      <w:bookmarkEnd w:id="930109"/>
    </w:p>
    <w:p>
      <w:pPr>
        <w:pStyle w:val="FirstParagraph"/>
      </w:pPr>
      <w:r>
        <w:rPr>
          <w:bCs/>
          <w:b/>
        </w:rPr>
        <w:t xml:space="preserve">Objective.</w:t>
      </w:r>
      <w:r>
        <w:t xml:space="preserve"> Identify the top three productivity improvement opportunities from a week of KPI data and rank them by potential TPH uplift.</w:t>
      </w:r>
    </w:p>
    <w:p>
      <w:pPr>
        <w:pStyle w:val="BodyText"/>
      </w:pPr>
      <w:r>
        <w:rPr>
          <w:bCs/>
          <w:b/>
        </w:rPr>
        <w:t xml:space="preserve">Inputs.</w:t>
      </w:r>
      <w:r>
        <w:t xml:space="preserve"> 14-shift KPI trend for Pilbara Ridge: </w:t>
      </w:r>
      <w:r>
        <w:rPr>
          <w:rStyle w:val="VerbatimChar"/>
        </w:rPr>
        <w:t xml:space="preserve">PROD.TPH</w:t>
      </w:r>
      <w:r>
        <w:t xml:space="preserve">, </w:t>
      </w:r>
      <w:r>
        <w:rPr>
          <w:rStyle w:val="VerbatimChar"/>
        </w:rPr>
        <w:t xml:space="preserve">UTIL.PA</w:t>
      </w:r>
      <w:r>
        <w:t xml:space="preserve">, </w:t>
      </w:r>
      <w:r>
        <w:rPr>
          <w:rStyle w:val="VerbatimChar"/>
        </w:rPr>
        <w:t xml:space="preserve">UTIL.UA</w:t>
      </w:r>
      <w:r>
        <w:t xml:space="preserve">, </w:t>
      </w:r>
      <w:r>
        <w:rPr>
          <w:rStyle w:val="VerbatimChar"/>
        </w:rPr>
        <w:t xml:space="preserve">PROD.Payload</w:t>
      </w:r>
      <w:r>
        <w:t xml:space="preserve">, </w:t>
      </w:r>
      <w:r>
        <w:rPr>
          <w:rStyle w:val="VerbatimChar"/>
        </w:rPr>
        <w:t xml:space="preserve">HAUL.MatchFactor</w:t>
      </w:r>
      <w:r>
        <w:t xml:space="preserve">, </w:t>
      </w:r>
      <w:r>
        <w:rPr>
          <w:rStyle w:val="VerbatimChar"/>
        </w:rPr>
        <w:t xml:space="preserve">DELAY.Hours</w:t>
      </w:r>
      <w:r>
        <w:t xml:space="preserve"> by category.</w:t>
      </w:r>
    </w:p>
    <w:p>
      <w:pPr>
        <w:pStyle w:val="BodyText"/>
      </w:pPr>
      <w:r>
        <w:rPr>
          <w:bCs/>
          <w:b/>
        </w:rPr>
        <w:t xml:space="preserve">Expected output.</w:t>
      </w:r>
      <w:r>
        <w:t xml:space="preserve"> Three ranked recommendations: (1) name the opportunity; (2) quantify the potential uplift in t/shift; (3) name the accountable owner; (4) cite the KPI evidence.</w:t>
      </w:r>
    </w:p>
    <w:p>
      <w:pPr>
        <w:pStyle w:val="BodyText"/>
      </w:pPr>
      <w:r>
        <w:rPr>
          <w:bCs/>
          <w:b/>
        </w:rPr>
        <w:t xml:space="preserve">Validation.</w:t>
      </w:r>
      <w:r>
        <w:t xml:space="preserve"> Recommendations must be grounded in the input KPIs — no hallucinated evidence. Uplift estimates must be directionally consistent with the KPI dependency model (a PA gain should translate to a proportional EU and TPH gain).</w:t>
      </w:r>
    </w:p>
    <w:bookmarkEnd w:id="155"/>
    <w:bookmarkStart w:id="156" w:name="demo-06-fleet-optimisation"/>
    <w:p>
      <w:pPr>
        <w:pStyle w:val="Heading2"/>
      </w:pPr>
      <w:bookmarkStart w:id="930110" w:name="_TocLBSv1_930110"/>
      <w:r>
        <w:t xml:space="preserve">Demo 06 — Fleet Optimisation</w:t>
      </w:r>
      <w:bookmarkEnd w:id="930110"/>
    </w:p>
    <w:p>
      <w:pPr>
        <w:pStyle w:val="FirstParagraph"/>
      </w:pPr>
      <w:r>
        <w:rPr>
          <w:bCs/>
          <w:b/>
        </w:rPr>
        <w:t xml:space="preserve">Objective.</w:t>
      </w:r>
      <w:r>
        <w:t xml:space="preserve"> Given current fleet configuration and KPI data, recommend an optimal truck count for each route.</w:t>
      </w:r>
    </w:p>
    <w:p>
      <w:pPr>
        <w:pStyle w:val="BodyText"/>
      </w:pPr>
      <w:r>
        <w:rPr>
          <w:bCs/>
          <w:b/>
        </w:rPr>
        <w:t xml:space="preserve">Inputs.</w:t>
      </w:r>
      <w:r>
        <w:t xml:space="preserve"> Route table (3 routes), current truck assignments, </w:t>
      </w:r>
      <w:r>
        <w:rPr>
          <w:rStyle w:val="VerbatimChar"/>
        </w:rPr>
        <w:t xml:space="preserve">HAUL.MatchFactor</w:t>
      </w:r>
      <w:r>
        <w:t xml:space="preserve"> per route, </w:t>
      </w:r>
      <w:r>
        <w:rPr>
          <w:rStyle w:val="VerbatimChar"/>
        </w:rPr>
        <w:t xml:space="preserve">DISP.QueueTime</w:t>
      </w:r>
      <w:r>
        <w:t xml:space="preserve">.</w:t>
      </w:r>
    </w:p>
    <w:p>
      <w:pPr>
        <w:pStyle w:val="BodyText"/>
      </w:pPr>
      <w:r>
        <w:rPr>
          <w:bCs/>
          <w:b/>
        </w:rPr>
        <w:t xml:space="preserve">Expected output.</w:t>
      </w:r>
      <w:r>
        <w:t xml:space="preserve"> Per-route recommendation: current MF, recommended trucks (to bring MF to 0.95–1.0), expected TPH change, expected fuel-intensity change.</w:t>
      </w:r>
    </w:p>
    <w:p>
      <w:pPr>
        <w:pStyle w:val="BodyText"/>
      </w:pPr>
      <w:r>
        <w:rPr>
          <w:bCs/>
          <w:b/>
        </w:rPr>
        <w:t xml:space="preserve">Validation.</w:t>
      </w:r>
      <w:r>
        <w:t xml:space="preserve"> </w:t>
      </w:r>
      <w:r>
        <w:rPr>
          <w:rStyle w:val="VerbatimChar"/>
        </w:rPr>
        <w:t xml:space="preserve">match_factor(recommended_trucks, n_shovels, load_time, cycle_time)</w:t>
      </w:r>
      <w:r>
        <w:t xml:space="preserve"> must land in [0.90, 1.05]. Recommendations must not decrease trucks on a truck-limited route or increase them on a shovel-limited route.</w:t>
      </w:r>
    </w:p>
    <w:bookmarkEnd w:id="156"/>
    <w:bookmarkStart w:id="157" w:name="demo-07-digital-twin-querying"/>
    <w:p>
      <w:pPr>
        <w:pStyle w:val="Heading2"/>
      </w:pPr>
      <w:bookmarkStart w:id="930111" w:name="_TocLBSv1_930111"/>
      <w:r>
        <w:t xml:space="preserve">Demo 07 — Digital Twin Querying</w:t>
      </w:r>
      <w:bookmarkEnd w:id="930111"/>
    </w:p>
    <w:p>
      <w:pPr>
        <w:pStyle w:val="FirstParagraph"/>
      </w:pPr>
      <w:r>
        <w:rPr>
          <w:bCs/>
          <w:b/>
        </w:rPr>
        <w:t xml:space="preserve">Objective.</w:t>
      </w:r>
      <w:r>
        <w:t xml:space="preserve"> Query the </w:t>
      </w:r>
      <w:r>
        <w:rPr>
          <w:rStyle w:val="VerbatimChar"/>
        </w:rPr>
        <w:t xml:space="preserve">DigitalTwin</w:t>
      </w:r>
      <w:r>
        <w:t xml:space="preserve"> for current and predicted KPI values; explain divergence between actual and predicted.</w:t>
      </w:r>
    </w:p>
    <w:p>
      <w:pPr>
        <w:pStyle w:val="BodyText"/>
      </w:pPr>
      <w:r>
        <w:rPr>
          <w:bCs/>
          <w:b/>
        </w:rPr>
        <w:t xml:space="preserve">Inputs.</w:t>
      </w:r>
      <w:r>
        <w:t xml:space="preserve"> Live twin state: </w:t>
      </w:r>
      <w:r>
        <w:rPr>
          <w:rStyle w:val="VerbatimChar"/>
        </w:rPr>
        <w:t xml:space="preserve">{"UTIL.PA_predicted": 88.5, "UTIL.PA_actual": 82.1, "divergence_start_utc": "...", "open_failure_events": 2}</w:t>
      </w:r>
      <w:r>
        <w:t xml:space="preserve">.</w:t>
      </w:r>
    </w:p>
    <w:p>
      <w:pPr>
        <w:pStyle w:val="BodyText"/>
      </w:pPr>
      <w:r>
        <w:rPr>
          <w:bCs/>
          <w:b/>
        </w:rPr>
        <w:t xml:space="preserve">Expected output.</w:t>
      </w:r>
      <w:r>
        <w:t xml:space="preserve"> Explanation of the divergence: two open failure events degraded availability beyond the twin’s prediction; the twin’s MTBF model needs updating; predicted availability for next 4 hours = 84–86% until repairs complete.</w:t>
      </w:r>
    </w:p>
    <w:p>
      <w:pPr>
        <w:pStyle w:val="BodyText"/>
      </w:pPr>
      <w:r>
        <w:rPr>
          <w:bCs/>
          <w:b/>
        </w:rPr>
        <w:t xml:space="preserve">Validation.</w:t>
      </w:r>
      <w:r>
        <w:t xml:space="preserve"> Divergence must be attributed to the open failures (not to a change in the prediction model). Next-4-hour forecast must be lower than the pre-failure prediction.</w:t>
      </w:r>
    </w:p>
    <w:bookmarkEnd w:id="157"/>
    <w:bookmarkStart w:id="158" w:name="demo-08-ontology-exploration"/>
    <w:p>
      <w:pPr>
        <w:pStyle w:val="Heading2"/>
      </w:pPr>
      <w:bookmarkStart w:id="930112" w:name="_TocLBSv1_930112"/>
      <w:r>
        <w:t xml:space="preserve">Demo 08 — Ontology Exploration</w:t>
      </w:r>
      <w:bookmarkEnd w:id="930112"/>
    </w:p>
    <w:p>
      <w:pPr>
        <w:pStyle w:val="FirstParagraph"/>
      </w:pPr>
      <w:r>
        <w:rPr>
          <w:bCs/>
          <w:b/>
        </w:rPr>
        <w:t xml:space="preserve">Objective.</w:t>
      </w:r>
      <w:r>
        <w:t xml:space="preserve"> Given a question in natural language, traverse the ontology to identify which KPIs answer it, which events they consume, and which datasets to query.</w:t>
      </w:r>
    </w:p>
    <w:p>
      <w:pPr>
        <w:pStyle w:val="BodyText"/>
      </w:pPr>
      <w:r>
        <w:rPr>
          <w:bCs/>
          <w:b/>
        </w:rPr>
        <w:t xml:space="preserve">Input.</w:t>
      </w:r>
      <w:r>
        <w:t xml:space="preserve"> </w:t>
      </w:r>
      <w:r>
        <w:rPr>
          <w:rStyle w:val="VerbatimChar"/>
        </w:rPr>
        <w:t xml:space="preserve">"What KPIs tell me whether my maintenance team is responding quickly enough?"</w:t>
      </w:r>
    </w:p>
    <w:p>
      <w:pPr>
        <w:pStyle w:val="BodyText"/>
      </w:pPr>
      <w:r>
        <w:rPr>
          <w:bCs/>
          <w:b/>
        </w:rPr>
        <w:t xml:space="preserve">Expected output.</w:t>
      </w:r>
      <w:r>
        <w:t xml:space="preserve"> </w:t>
      </w:r>
      <w:r>
        <w:rPr>
          <w:rStyle w:val="VerbatimChar"/>
        </w:rPr>
        <w:t xml:space="preserve">MAINT.MTTR</w:t>
      </w:r>
      <w:r>
        <w:t xml:space="preserve"> (primary), </w:t>
      </w:r>
      <w:r>
        <w:rPr>
          <w:rStyle w:val="VerbatimChar"/>
        </w:rPr>
        <w:t xml:space="preserve">MAINT.Ai</w:t>
      </w:r>
      <w:r>
        <w:t xml:space="preserve"> (gap between Ai and PA = logistics delay), </w:t>
      </w:r>
      <w:r>
        <w:rPr>
          <w:rStyle w:val="VerbatimChar"/>
        </w:rPr>
        <w:t xml:space="preserve">MAINT.BacklogHours</w:t>
      </w:r>
      <w:r>
        <w:t xml:space="preserve"> (pending backlog context). Events: </w:t>
      </w:r>
      <w:r>
        <w:rPr>
          <w:rStyle w:val="VerbatimChar"/>
        </w:rPr>
        <w:t xml:space="preserve">MaintenanceEvent</w:t>
      </w:r>
      <w:r>
        <w:t xml:space="preserve">. Dataset: </w:t>
      </w:r>
      <w:r>
        <w:rPr>
          <w:rStyle w:val="VerbatimChar"/>
        </w:rPr>
        <w:t xml:space="preserve">maintenance_events.csv</w:t>
      </w:r>
      <w:r>
        <w:t xml:space="preserve">.</w:t>
      </w:r>
    </w:p>
    <w:p>
      <w:pPr>
        <w:pStyle w:val="BodyText"/>
      </w:pPr>
      <w:r>
        <w:rPr>
          <w:bCs/>
          <w:b/>
        </w:rPr>
        <w:t xml:space="preserve">Validation.</w:t>
      </w:r>
      <w:r>
        <w:t xml:space="preserve"> </w:t>
      </w:r>
      <w:r>
        <w:rPr>
          <w:rStyle w:val="VerbatimChar"/>
        </w:rPr>
        <w:t xml:space="preserve">MAINT.MTTR</w:t>
      </w:r>
      <w:r>
        <w:t xml:space="preserve"> must be in the output. The answer must not suggest </w:t>
      </w:r>
      <w:r>
        <w:rPr>
          <w:rStyle w:val="VerbatimChar"/>
        </w:rPr>
        <w:t xml:space="preserve">UTIL.PA</w:t>
      </w:r>
      <w:r>
        <w:t xml:space="preserve"> as a maintainability KPI (it is an availability KPI that </w:t>
      </w:r>
      <w:r>
        <w:rPr>
          <w:iCs/>
          <w:i/>
        </w:rPr>
        <w:t xml:space="preserve">reflects</w:t>
      </w:r>
      <w:r>
        <w:t xml:space="preserve"> maintainability, but the question asks about </w:t>
      </w:r>
      <w:r>
        <w:rPr>
          <w:iCs/>
          <w:i/>
        </w:rPr>
        <w:t xml:space="preserve">response speed</w:t>
      </w:r>
      <w:r>
        <w:t xml:space="preserve">, which is </w:t>
      </w:r>
      <w:r>
        <w:rPr>
          <w:rStyle w:val="VerbatimChar"/>
        </w:rPr>
        <w:t xml:space="preserve">MAINT.MTTR</w:t>
      </w:r>
      <w:r>
        <w:t xml:space="preserve">).</w:t>
      </w:r>
    </w:p>
    <w:bookmarkEnd w:id="158"/>
    <w:bookmarkStart w:id="159" w:name="demo-09-benchmark-comparison"/>
    <w:p>
      <w:pPr>
        <w:pStyle w:val="Heading2"/>
      </w:pPr>
      <w:bookmarkStart w:id="930113" w:name="_TocLBSv1_930113"/>
      <w:r>
        <w:t xml:space="preserve">Demo 09 — Benchmark Comparison</w:t>
      </w:r>
      <w:bookmarkEnd w:id="930113"/>
    </w:p>
    <w:p>
      <w:pPr>
        <w:pStyle w:val="FirstParagraph"/>
      </w:pPr>
      <w:r>
        <w:rPr>
          <w:bCs/>
          <w:b/>
        </w:rPr>
        <w:t xml:space="preserve">Objective.</w:t>
      </w:r>
      <w:r>
        <w:t xml:space="preserve"> Compare current mine performance against the benchmark seed scenarios; classify the operation and produce a gap analysis.</w:t>
      </w:r>
    </w:p>
    <w:p>
      <w:pPr>
        <w:pStyle w:val="BodyText"/>
      </w:pPr>
      <w:r>
        <w:rPr>
          <w:bCs/>
          <w:b/>
        </w:rPr>
        <w:t xml:space="preserve">Inputs.</w:t>
      </w:r>
      <w:r>
        <w:t xml:space="preserve"> Current KPI values for Pilbara Ridge (one month); benchmark seed ranges for all four scenarios.</w:t>
      </w:r>
    </w:p>
    <w:p>
      <w:pPr>
        <w:pStyle w:val="BodyText"/>
      </w:pPr>
      <w:r>
        <w:rPr>
          <w:bCs/>
          <w:b/>
        </w:rPr>
        <w:t xml:space="preserve">Expected output.</w:t>
      </w:r>
      <w:r>
        <w:t xml:space="preserve"> Classification: “Good — majority of KPIs in the Good range; PA at upper boundary of Average; recommend targeted availability initiative to move to Excellent.” Gap analysis: UTIL.PA 3 points from Excellent lower bound; MAINT.MTBF 12.5 h from Excellent lower bound.</w:t>
      </w:r>
    </w:p>
    <w:p>
      <w:pPr>
        <w:pStyle w:val="BodyText"/>
      </w:pPr>
      <w:r>
        <w:rPr>
          <w:bCs/>
          <w:b/>
        </w:rPr>
        <w:t xml:space="preserve">Validation.</w:t>
      </w:r>
      <w:r>
        <w:t xml:space="preserve"> Classification must be reproducible from the input KPIs against the declared seed ranges. Gap analysis must quote specific KPI deltas, not vague qualitative statements.</w:t>
      </w:r>
    </w:p>
    <w:p>
      <w:pPr>
        <w:pStyle w:val="AIContributorNote"/>
      </w:pPr>
      <w:r>
        <w:rPr>
          <w:bCs/>
          <w:b/>
        </w:rPr>
        <w:t xml:space="preserve">AI Contributor Note — validation is always grounded in the KPI engine, not in the LLM output.</w:t>
      </w:r>
      <w:r>
        <w:t xml:space="preserve"> An AI response that quotes a different </w:t>
      </w:r>
      <w:r>
        <w:rPr>
          <w:rStyle w:val="VerbatimChar"/>
        </w:rPr>
        <w:t xml:space="preserve">UTIL.PA</w:t>
      </w:r>
      <w:r>
        <w:t xml:space="preserve"> value than the engine computed is wrong, regardless of how confident or coherent the narrative sounds. The validation step (</w:t>
      </w:r>
      <w:r>
        <w:rPr>
          <w:rStyle w:val="VerbatimChar"/>
        </w:rPr>
        <w:t xml:space="preserve">compare response KPI values to engine output</w:t>
      </w:r>
      <w:r>
        <w:t xml:space="preserve">) is the anti-hallucination gate in every demo.</w:t>
      </w:r>
    </w:p>
    <w:p>
      <w:r>
        <w:br w:type="page"/>
      </w:r>
    </w:p>
    <w:bookmarkEnd w:id="159"/>
    <w:bookmarkEnd w:id="160"/>
    <w:bookmarkStart w:id="172" w:name="part-vii-certification-assets"/>
    <w:p>
      <w:pPr>
        <w:pStyle w:val="Heading1"/>
      </w:pPr>
      <w:bookmarkStart w:id="930114" w:name="_TocLBSv1_930114"/>
      <w:r>
        <w:t xml:space="preserve">Part VII — Certification Assets</w:t>
      </w:r>
      <w:bookmarkEnd w:id="930114"/>
    </w:p>
    <w:p>
      <w:pPr>
        <w:pStyle w:val="LearningObjectives"/>
      </w:pPr>
      <w:r>
        <w:rPr>
          <w:bCs/>
          <w:b/>
        </w:rPr>
        <w:t xml:space="preserve">Learning Objectives.</w:t>
      </w:r>
      <w:r>
        <w:t xml:space="preserve"> After reading this part you will understand: what the certification asset library contains; how golden datasets, edge-case datasets, and corrupted datasets are used in formal validation; and the structure of the certification checklist that will underpin future MineProductivity Certification.</w:t>
      </w:r>
    </w:p>
    <w:bookmarkStart w:id="161" w:name="purpose"/>
    <w:p>
      <w:pPr>
        <w:pStyle w:val="Heading2"/>
      </w:pPr>
      <w:bookmarkStart w:id="930115" w:name="_TocLBSv1_930115"/>
      <w:r>
        <w:t xml:space="preserve">Purpose</w:t>
      </w:r>
      <w:bookmarkEnd w:id="930115"/>
    </w:p>
    <w:p>
      <w:pPr>
        <w:pStyle w:val="FirstParagraph"/>
      </w:pPr>
      <w:r>
        <w:t xml:space="preserve">The certification assets are the formal validation foundation for the MineProductivity Certification programme. A certified implementation must pass all tests in this library — not just the happy-path canonical values, but the full suite of edge cases, corrupted inputs, timezone scenarios, multi-mine scenarios, and integration tests. The assets here are the </w:t>
      </w:r>
      <w:r>
        <w:rPr>
          <w:iCs/>
          <w:i/>
        </w:rPr>
        <w:t xml:space="preserve">test fixtures</w:t>
      </w:r>
      <w:r>
        <w:t xml:space="preserve">; the certification checklist is the acceptance criteria.</w:t>
      </w:r>
    </w:p>
    <w:p>
      <w:pPr>
        <w:pStyle w:val="Warning"/>
      </w:pPr>
      <w:r>
        <w:rPr>
          <w:bCs/>
          <w:b/>
        </w:rPr>
        <w:t xml:space="preserve">Certification thresholds are not yet published.</w:t>
      </w:r>
      <w:r>
        <w:t xml:space="preserve"> This First Edition defines the test fixture library and the checklist structure. Formal certification thresholds (pass/fail criteria for each test) will be published as a separate, governed addendum once the industry advisory panel has reviewed the benchmark seeds.</w:t>
      </w:r>
    </w:p>
    <w:bookmarkEnd w:id="161"/>
    <w:bookmarkStart w:id="170" w:name="asset-categories"/>
    <w:p>
      <w:pPr>
        <w:pStyle w:val="Heading2"/>
      </w:pPr>
      <w:bookmarkStart w:id="930116" w:name="_TocLBSv1_930116"/>
      <w:r>
        <w:t xml:space="preserve">Asset categories</w:t>
      </w:r>
      <w:bookmarkEnd w:id="930116"/>
    </w:p>
    <w:bookmarkStart w:id="162" w:name="category-a-golden-datasets"/>
    <w:p>
      <w:pPr>
        <w:pStyle w:val="Heading3"/>
      </w:pPr>
      <w:bookmarkStart w:id="930117" w:name="_TocLBSv1_930117"/>
      <w:r>
        <w:t xml:space="preserve">Category A — Golden datasets</w:t>
      </w:r>
      <w:bookmarkEnd w:id="930117"/>
    </w:p>
    <w:p>
      <w:pPr>
        <w:pStyle w:val="FirstParagraph"/>
      </w:pPr>
      <w:r>
        <w:t xml:space="preserve">Golden datasets are exact, version-controlled CSV files that produce the expected outputs in Part III to within tolerance. They are the primary correctness reference.</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Asset</w:t>
            </w:r>
          </w:p>
        </w:tc>
        <w:tc>
          <w:tcPr/>
          <w:p>
            <w:pPr>
              <w:pStyle w:val="Compact"/>
              <w:jc w:val="left"/>
            </w:pPr>
            <w:r>
              <w:t xml:space="preserve">Dataset</w:t>
            </w:r>
          </w:p>
        </w:tc>
        <w:tc>
          <w:tcPr/>
          <w:p>
            <w:pPr>
              <w:pStyle w:val="Compact"/>
              <w:jc w:val="left"/>
            </w:pPr>
            <w:r>
              <w:t xml:space="preserve">Expected KPIs</w:t>
            </w:r>
          </w:p>
        </w:tc>
        <w:tc>
          <w:tcPr/>
          <w:p>
            <w:pPr>
              <w:pStyle w:val="Compact"/>
              <w:jc w:val="left"/>
            </w:pPr>
            <w:r>
              <w:t xml:space="preserve">Notes</w:t>
            </w:r>
          </w:p>
        </w:tc>
      </w:tr>
      <w:tr>
        <w:tc>
          <w:tcPr/>
          <w:p>
            <w:pPr>
              <w:pStyle w:val="Compact"/>
              <w:jc w:val="left"/>
            </w:pPr>
            <w:r>
              <w:rPr>
                <w:rStyle w:val="VerbatimChar"/>
              </w:rPr>
              <w:t xml:space="preserve">gold_shift_PIL_D.csv</w:t>
            </w:r>
          </w:p>
        </w:tc>
        <w:tc>
          <w:tcPr/>
          <w:p>
            <w:pPr>
              <w:pStyle w:val="Compact"/>
              <w:jc w:val="left"/>
            </w:pPr>
            <w:r>
              <w:t xml:space="preserve">One Pilbara Ridge day shift</w:t>
            </w:r>
          </w:p>
        </w:tc>
        <w:tc>
          <w:tcPr/>
          <w:p>
            <w:pPr>
              <w:pStyle w:val="Compact"/>
              <w:jc w:val="left"/>
            </w:pPr>
            <w:r>
              <w:t xml:space="preserve">All 18 PROD/UTIL/MAINT/HAUL Active KPIs</w:t>
            </w:r>
          </w:p>
        </w:tc>
        <w:tc>
          <w:tcPr/>
          <w:p>
            <w:pPr>
              <w:pStyle w:val="Compact"/>
              <w:jc w:val="left"/>
            </w:pPr>
            <w:r>
              <w:t xml:space="preserve">Reproduces canonical Part III values</w:t>
            </w:r>
          </w:p>
        </w:tc>
      </w:tr>
      <w:tr>
        <w:tc>
          <w:tcPr/>
          <w:p>
            <w:pPr>
              <w:pStyle w:val="Compact"/>
              <w:jc w:val="left"/>
            </w:pPr>
            <w:r>
              <w:rPr>
                <w:rStyle w:val="VerbatimChar"/>
              </w:rPr>
              <w:t xml:space="preserve">gold_recovery_BWS.csv</w:t>
            </w:r>
          </w:p>
        </w:tc>
        <w:tc>
          <w:tcPr/>
          <w:p>
            <w:pPr>
              <w:pStyle w:val="Compact"/>
              <w:jc w:val="left"/>
            </w:pPr>
            <w:r>
              <w:t xml:space="preserve">One Bingham West plant shift</w:t>
            </w:r>
          </w:p>
        </w:tc>
        <w:tc>
          <w:tcPr/>
          <w:p>
            <w:pPr>
              <w:pStyle w:val="Compact"/>
              <w:jc w:val="left"/>
            </w:pPr>
            <w:r>
              <w:rPr>
                <w:rStyle w:val="VerbatimChar"/>
              </w:rPr>
              <w:t xml:space="preserve">QUAL.Recovery</w:t>
            </w:r>
            <w:r>
              <w:t xml:space="preserve"> 86.91%</w:t>
            </w:r>
          </w:p>
        </w:tc>
        <w:tc>
          <w:tcPr/>
          <w:p>
            <w:pPr>
              <w:pStyle w:val="Compact"/>
              <w:jc w:val="left"/>
            </w:pPr>
            <w:r>
              <w:t xml:space="preserve">Canonical Cu assay</w:t>
            </w:r>
          </w:p>
        </w:tc>
      </w:tr>
      <w:tr>
        <w:tc>
          <w:tcPr/>
          <w:p>
            <w:pPr>
              <w:pStyle w:val="Compact"/>
              <w:jc w:val="left"/>
            </w:pPr>
            <w:r>
              <w:rPr>
                <w:rStyle w:val="VerbatimChar"/>
              </w:rPr>
              <w:t xml:space="preserve">gold_recovery_GVL.csv</w:t>
            </w:r>
          </w:p>
        </w:tc>
        <w:tc>
          <w:tcPr/>
          <w:p>
            <w:pPr>
              <w:pStyle w:val="Compact"/>
              <w:jc w:val="left"/>
            </w:pPr>
            <w:r>
              <w:t xml:space="preserve">One Green Valley plant shift</w:t>
            </w:r>
          </w:p>
        </w:tc>
        <w:tc>
          <w:tcPr/>
          <w:p>
            <w:pPr>
              <w:pStyle w:val="Compact"/>
              <w:jc w:val="left"/>
            </w:pPr>
            <w:r>
              <w:rPr>
                <w:rStyle w:val="VerbatimChar"/>
              </w:rPr>
              <w:t xml:space="preserve">QUAL.Recovery</w:t>
            </w:r>
            <w:r>
              <w:t xml:space="preserve"> 70.48%</w:t>
            </w:r>
          </w:p>
        </w:tc>
        <w:tc>
          <w:tcPr/>
          <w:p>
            <w:pPr>
              <w:pStyle w:val="Compact"/>
              <w:jc w:val="left"/>
            </w:pPr>
            <w:r>
              <w:t xml:space="preserve">Canonical Li₂O assay</w:t>
            </w:r>
          </w:p>
        </w:tc>
      </w:tr>
      <w:tr>
        <w:tc>
          <w:tcPr/>
          <w:p>
            <w:pPr>
              <w:pStyle w:val="Compact"/>
              <w:jc w:val="left"/>
            </w:pPr>
            <w:r>
              <w:rPr>
                <w:rStyle w:val="VerbatimChar"/>
              </w:rPr>
              <w:t xml:space="preserve">gold_delay_PIL.csv</w:t>
            </w:r>
          </w:p>
        </w:tc>
        <w:tc>
          <w:tcPr/>
          <w:p>
            <w:pPr>
              <w:pStyle w:val="Compact"/>
              <w:jc w:val="left"/>
            </w:pPr>
            <w:r>
              <w:t xml:space="preserve">Pilbara Ridge with all 6 delay categories</w:t>
            </w:r>
          </w:p>
        </w:tc>
        <w:tc>
          <w:tcPr/>
          <w:p>
            <w:pPr>
              <w:pStyle w:val="Compact"/>
              <w:jc w:val="left"/>
            </w:pPr>
            <w:r>
              <w:rPr>
                <w:rStyle w:val="VerbatimChar"/>
              </w:rPr>
              <w:t xml:space="preserve">DELAY.Hours</w:t>
            </w:r>
            <w:r>
              <w:t xml:space="preserve"> 8.1 h</w:t>
            </w:r>
          </w:p>
        </w:tc>
        <w:tc>
          <w:tcPr/>
          <w:p>
            <w:pPr>
              <w:pStyle w:val="Compact"/>
              <w:jc w:val="left"/>
            </w:pPr>
            <w:r>
              <w:t xml:space="preserve">All six MECE categories represented</w:t>
            </w:r>
          </w:p>
        </w:tc>
      </w:tr>
    </w:tbl>
    <w:bookmarkEnd w:id="162"/>
    <w:bookmarkStart w:id="163" w:name="category-b-integration-test-datasets"/>
    <w:p>
      <w:pPr>
        <w:pStyle w:val="Heading3"/>
      </w:pPr>
      <w:bookmarkStart w:id="930118" w:name="_TocLBSv1_930118"/>
      <w:r>
        <w:t xml:space="preserve">Category B — Integration test datasets</w:t>
      </w:r>
      <w:bookmarkEnd w:id="930118"/>
    </w:p>
    <w:p>
      <w:pPr>
        <w:pStyle w:val="FirstParagraph"/>
      </w:pPr>
      <w:r>
        <w:t xml:space="preserve">Integration tests verify that the full pipeline — CSV → Connector → EventStore → KPIEngine → result — produces the golden outputs without any direct function call.</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Asset</w:t>
            </w:r>
          </w:p>
        </w:tc>
        <w:tc>
          <w:tcPr/>
          <w:p>
            <w:pPr>
              <w:pStyle w:val="Compact"/>
              <w:jc w:val="left"/>
            </w:pPr>
            <w:r>
              <w:t xml:space="preserve">Test</w:t>
            </w:r>
          </w:p>
        </w:tc>
        <w:tc>
          <w:tcPr/>
          <w:p>
            <w:pPr>
              <w:pStyle w:val="Compact"/>
              <w:jc w:val="left"/>
            </w:pPr>
            <w:r>
              <w:t xml:space="preserve">Pass criterion</w:t>
            </w:r>
          </w:p>
        </w:tc>
      </w:tr>
      <w:tr>
        <w:tc>
          <w:tcPr/>
          <w:p>
            <w:pPr>
              <w:pStyle w:val="Compact"/>
              <w:jc w:val="left"/>
            </w:pPr>
            <w:r>
              <w:rPr>
                <w:rStyle w:val="VerbatimChar"/>
              </w:rPr>
              <w:t xml:space="preserve">integration_full_shift.csv</w:t>
            </w:r>
          </w:p>
        </w:tc>
        <w:tc>
          <w:tcPr/>
          <w:p>
            <w:pPr>
              <w:pStyle w:val="Compact"/>
              <w:jc w:val="left"/>
            </w:pPr>
            <w:r>
              <w:t xml:space="preserve">Load via </w:t>
            </w:r>
            <w:r>
              <w:rPr>
                <w:rStyle w:val="VerbatimChar"/>
              </w:rPr>
              <w:t xml:space="preserve">CSVConnector</w:t>
            </w:r>
            <w:r>
              <w:t xml:space="preserve">; fire engine; check all KPIs</w:t>
            </w:r>
          </w:p>
        </w:tc>
        <w:tc>
          <w:tcPr/>
          <w:p>
            <w:pPr>
              <w:pStyle w:val="Compact"/>
              <w:jc w:val="left"/>
            </w:pPr>
            <w:r>
              <w:t xml:space="preserve">All KPIs within Part III tolerance</w:t>
            </w:r>
          </w:p>
        </w:tc>
      </w:tr>
      <w:tr>
        <w:tc>
          <w:tcPr/>
          <w:p>
            <w:pPr>
              <w:pStyle w:val="Compact"/>
              <w:jc w:val="left"/>
            </w:pPr>
            <w:r>
              <w:rPr>
                <w:rStyle w:val="VerbatimChar"/>
              </w:rPr>
              <w:t xml:space="preserve">integration_multi_shift.csv</w:t>
            </w:r>
          </w:p>
        </w:tc>
        <w:tc>
          <w:tcPr/>
          <w:p>
            <w:pPr>
              <w:pStyle w:val="Compact"/>
              <w:jc w:val="left"/>
            </w:pPr>
            <w:r>
              <w:t xml:space="preserve">28-shift dataset; check rolling MTBF and EU trend</w:t>
            </w:r>
          </w:p>
        </w:tc>
        <w:tc>
          <w:tcPr/>
          <w:p>
            <w:pPr>
              <w:pStyle w:val="Compact"/>
              <w:jc w:val="left"/>
            </w:pPr>
            <w:r>
              <w:t xml:space="preserve">Rolling values within ±2% of per-shift aggregates</w:t>
            </w:r>
          </w:p>
        </w:tc>
      </w:tr>
      <w:tr>
        <w:tc>
          <w:tcPr/>
          <w:p>
            <w:pPr>
              <w:pStyle w:val="Compact"/>
              <w:jc w:val="left"/>
            </w:pPr>
            <w:r>
              <w:rPr>
                <w:rStyle w:val="VerbatimChar"/>
              </w:rPr>
              <w:t xml:space="preserve">integration_multi_mine.csv</w:t>
            </w:r>
          </w:p>
        </w:tc>
        <w:tc>
          <w:tcPr/>
          <w:p>
            <w:pPr>
              <w:pStyle w:val="Compact"/>
              <w:jc w:val="left"/>
            </w:pPr>
            <w:r>
              <w:t xml:space="preserve">All five mines, one shift each</w:t>
            </w:r>
          </w:p>
        </w:tc>
        <w:tc>
          <w:tcPr/>
          <w:p>
            <w:pPr>
              <w:pStyle w:val="Compact"/>
              <w:jc w:val="left"/>
            </w:pPr>
            <w:r>
              <w:t xml:space="preserve">Each mine’s KPIs independent; no FK collisions</w:t>
            </w:r>
          </w:p>
        </w:tc>
      </w:tr>
    </w:tbl>
    <w:bookmarkEnd w:id="163"/>
    <w:bookmarkStart w:id="164" w:name="category-c-edge-case-datasets"/>
    <w:p>
      <w:pPr>
        <w:pStyle w:val="Heading3"/>
      </w:pPr>
      <w:bookmarkStart w:id="930119" w:name="_TocLBSv1_930119"/>
      <w:r>
        <w:t xml:space="preserve">Category C — Edge-case datasets</w:t>
      </w:r>
      <w:bookmarkEnd w:id="930119"/>
    </w:p>
    <w:p>
      <w:pPr>
        <w:pStyle w:val="FirstParagraph"/>
      </w:pPr>
      <w:r>
        <w:t xml:space="preserve">Edge-case datasets test the boundaries of the specification — the cases every implementation must handle gracefully.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Asset</w:t>
            </w:r>
          </w:p>
        </w:tc>
        <w:tc>
          <w:tcPr/>
          <w:p>
            <w:pPr>
              <w:pStyle w:val="Compact"/>
              <w:jc w:val="left"/>
            </w:pPr>
            <w:r>
              <w:t xml:space="preserve">Scenario</w:t>
            </w:r>
          </w:p>
        </w:tc>
        <w:tc>
          <w:tcPr/>
          <w:p>
            <w:pPr>
              <w:pStyle w:val="Compact"/>
              <w:jc w:val="left"/>
            </w:pPr>
            <w:r>
              <w:t xml:space="preserve">Expected behaviour</w:t>
            </w:r>
          </w:p>
        </w:tc>
      </w:tr>
      <w:tr>
        <w:tc>
          <w:tcPr/>
          <w:p>
            <w:pPr>
              <w:pStyle w:val="Compact"/>
              <w:jc w:val="left"/>
            </w:pPr>
            <w:r>
              <w:rPr>
                <w:rStyle w:val="VerbatimChar"/>
              </w:rPr>
              <w:t xml:space="preserve">edge_zero_production.csv</w:t>
            </w:r>
          </w:p>
        </w:tc>
        <w:tc>
          <w:tcPr/>
          <w:p>
            <w:pPr>
              <w:pStyle w:val="Compact"/>
              <w:jc w:val="left"/>
            </w:pPr>
            <w:r>
              <w:t xml:space="preserve">Shift with no cycle events (planned shutdown)</w:t>
            </w:r>
          </w:p>
        </w:tc>
        <w:tc>
          <w:tcPr/>
          <w:p>
            <w:pPr>
              <w:pStyle w:val="Compact"/>
              <w:jc w:val="left"/>
            </w:pPr>
            <w:r>
              <w:rPr>
                <w:rStyle w:val="VerbatimChar"/>
              </w:rPr>
              <w:t xml:space="preserve">PROD.TPH</w:t>
            </w:r>
            <w:r>
              <w:t xml:space="preserve"> returns </w:t>
            </w:r>
            <w:r>
              <w:rPr>
                <w:rStyle w:val="VerbatimChar"/>
              </w:rPr>
              <w:t xml:space="preserve">None</w:t>
            </w:r>
            <w:r>
              <w:t xml:space="preserve">/</w:t>
            </w:r>
            <w:r>
              <w:rPr>
                <w:rStyle w:val="VerbatimChar"/>
              </w:rPr>
              <w:t xml:space="preserve">n/a</w:t>
            </w:r>
            <w:r>
              <w:t xml:space="preserve">, not zero or error</w:t>
            </w:r>
          </w:p>
        </w:tc>
      </w:tr>
      <w:tr>
        <w:tc>
          <w:tcPr/>
          <w:p>
            <w:pPr>
              <w:pStyle w:val="Compact"/>
              <w:jc w:val="left"/>
            </w:pPr>
            <w:r>
              <w:rPr>
                <w:rStyle w:val="VerbatimChar"/>
              </w:rPr>
              <w:t xml:space="preserve">edge_all_scheduled_delay.csv</w:t>
            </w:r>
          </w:p>
        </w:tc>
        <w:tc>
          <w:tcPr/>
          <w:p>
            <w:pPr>
              <w:pStyle w:val="Compact"/>
              <w:jc w:val="left"/>
            </w:pPr>
            <w:r>
              <w:t xml:space="preserve">Entire shift is a planned blast</w:t>
            </w:r>
          </w:p>
        </w:tc>
        <w:tc>
          <w:tcPr/>
          <w:p>
            <w:pPr>
              <w:pStyle w:val="Compact"/>
              <w:jc w:val="left"/>
            </w:pPr>
            <w:r>
              <w:rPr>
                <w:rStyle w:val="VerbatimChar"/>
              </w:rPr>
              <w:t xml:space="preserve">UTIL.PA</w:t>
            </w:r>
            <w:r>
              <w:t xml:space="preserve"> defined (available=0), </w:t>
            </w:r>
            <w:r>
              <w:rPr>
                <w:rStyle w:val="VerbatimChar"/>
              </w:rPr>
              <w:t xml:space="preserve">UTIL.UA</w:t>
            </w:r>
            <w:r>
              <w:t xml:space="preserve"> = n/a (denominator zero)</w:t>
            </w:r>
          </w:p>
        </w:tc>
      </w:tr>
      <w:tr>
        <w:tc>
          <w:tcPr/>
          <w:p>
            <w:pPr>
              <w:pStyle w:val="Compact"/>
              <w:jc w:val="left"/>
            </w:pPr>
            <w:r>
              <w:rPr>
                <w:rStyle w:val="VerbatimChar"/>
              </w:rPr>
              <w:t xml:space="preserve">edge_single_cycle.csv</w:t>
            </w:r>
          </w:p>
        </w:tc>
        <w:tc>
          <w:tcPr/>
          <w:p>
            <w:pPr>
              <w:pStyle w:val="Compact"/>
              <w:jc w:val="left"/>
            </w:pPr>
            <w:r>
              <w:t xml:space="preserve">One cycle only</w:t>
            </w:r>
          </w:p>
        </w:tc>
        <w:tc>
          <w:tcPr/>
          <w:p>
            <w:pPr>
              <w:pStyle w:val="Compact"/>
              <w:jc w:val="left"/>
            </w:pPr>
            <w:r>
              <w:rPr>
                <w:rStyle w:val="VerbatimChar"/>
              </w:rPr>
              <w:t xml:space="preserve">PROD.TruckCycleTime</w:t>
            </w:r>
            <w:r>
              <w:t xml:space="preserve"> = that cycle’s duration; no mean of means</w:t>
            </w:r>
          </w:p>
        </w:tc>
      </w:tr>
      <w:tr>
        <w:tc>
          <w:tcPr/>
          <w:p>
            <w:pPr>
              <w:pStyle w:val="Compact"/>
              <w:jc w:val="left"/>
            </w:pPr>
            <w:r>
              <w:rPr>
                <w:rStyle w:val="VerbatimChar"/>
              </w:rPr>
              <w:t xml:space="preserve">edge_100pct_pa.csv</w:t>
            </w:r>
          </w:p>
        </w:tc>
        <w:tc>
          <w:tcPr/>
          <w:p>
            <w:pPr>
              <w:pStyle w:val="Compact"/>
              <w:jc w:val="left"/>
            </w:pPr>
            <w:r>
              <w:t xml:space="preserve">No equipment delay</w:t>
            </w:r>
          </w:p>
        </w:tc>
        <w:tc>
          <w:tcPr/>
          <w:p>
            <w:pPr>
              <w:pStyle w:val="Compact"/>
              <w:jc w:val="left"/>
            </w:pPr>
            <w:r>
              <w:rPr>
                <w:rStyle w:val="VerbatimChar"/>
              </w:rPr>
              <w:t xml:space="preserve">UTIL.PA</w:t>
            </w:r>
            <w:r>
              <w:t xml:space="preserve"> = 100.0%; Ai = 100.0% (no failures)</w:t>
            </w:r>
          </w:p>
        </w:tc>
      </w:tr>
      <w:tr>
        <w:tc>
          <w:tcPr/>
          <w:p>
            <w:pPr>
              <w:pStyle w:val="Compact"/>
              <w:jc w:val="left"/>
            </w:pPr>
            <w:r>
              <w:rPr>
                <w:rStyle w:val="VerbatimChar"/>
              </w:rPr>
              <w:t xml:space="preserve">edge_high_mttr.csv</w:t>
            </w:r>
          </w:p>
        </w:tc>
        <w:tc>
          <w:tcPr/>
          <w:p>
            <w:pPr>
              <w:pStyle w:val="Compact"/>
              <w:jc w:val="left"/>
            </w:pPr>
            <w:r>
              <w:t xml:space="preserve">One very long repair (48 h)</w:t>
            </w:r>
          </w:p>
        </w:tc>
        <w:tc>
          <w:tcPr/>
          <w:p>
            <w:pPr>
              <w:pStyle w:val="Compact"/>
              <w:jc w:val="left"/>
            </w:pPr>
            <w:r>
              <w:t xml:space="preserve">MTTR 48 h correctly reported; no cap; flag as outlier</w:t>
            </w:r>
          </w:p>
        </w:tc>
      </w:tr>
      <w:tr>
        <w:tc>
          <w:tcPr/>
          <w:p>
            <w:pPr>
              <w:pStyle w:val="Compact"/>
              <w:jc w:val="left"/>
            </w:pPr>
            <w:r>
              <w:rPr>
                <w:rStyle w:val="VerbatimChar"/>
              </w:rPr>
              <w:t xml:space="preserve">edge_missing_payloads.csv</w:t>
            </w:r>
          </w:p>
        </w:tc>
        <w:tc>
          <w:tcPr/>
          <w:p>
            <w:pPr>
              <w:pStyle w:val="Compact"/>
              <w:jc w:val="left"/>
            </w:pPr>
            <w:r>
              <w:t xml:space="preserve">30% of cycle events have null </w:t>
            </w:r>
            <w:r>
              <w:rPr>
                <w:rStyle w:val="VerbatimChar"/>
              </w:rPr>
              <w:t xml:space="preserve">payload_t</w:t>
            </w:r>
          </w:p>
        </w:tc>
        <w:tc>
          <w:tcPr/>
          <w:p>
            <w:pPr>
              <w:pStyle w:val="Compact"/>
              <w:jc w:val="left"/>
            </w:pPr>
            <w:r>
              <w:rPr>
                <w:rStyle w:val="VerbatimChar"/>
              </w:rPr>
              <w:t xml:space="preserve">PROD.TPH</w:t>
            </w:r>
            <w:r>
              <w:t xml:space="preserve"> uses only valid payloads; completeness flag set</w:t>
            </w:r>
          </w:p>
        </w:tc>
      </w:tr>
    </w:tbl>
    <w:bookmarkEnd w:id="164"/>
    <w:bookmarkStart w:id="165" w:name="category-d-corrupted-datasets"/>
    <w:p>
      <w:pPr>
        <w:pStyle w:val="Heading3"/>
      </w:pPr>
      <w:bookmarkStart w:id="930120" w:name="_TocLBSv1_930120"/>
      <w:r>
        <w:t xml:space="preserve">Category D — Corrupted datasets</w:t>
      </w:r>
      <w:bookmarkEnd w:id="930120"/>
    </w:p>
    <w:p>
      <w:pPr>
        <w:pStyle w:val="FirstParagraph"/>
      </w:pPr>
      <w:r>
        <w:t xml:space="preserve">Corrupted datasets test that the connector and engine </w:t>
      </w:r>
      <w:r>
        <w:rPr>
          <w:iCs/>
          <w:i/>
        </w:rPr>
        <w:t xml:space="preserve">reject</w:t>
      </w:r>
      <w:r>
        <w:t xml:space="preserve">, not silently accept, bad data.</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Asset</w:t>
            </w:r>
          </w:p>
        </w:tc>
        <w:tc>
          <w:tcPr/>
          <w:p>
            <w:pPr>
              <w:pStyle w:val="Compact"/>
              <w:jc w:val="left"/>
            </w:pPr>
            <w:r>
              <w:t xml:space="preserve">Corruption</w:t>
            </w:r>
          </w:p>
        </w:tc>
        <w:tc>
          <w:tcPr/>
          <w:p>
            <w:pPr>
              <w:pStyle w:val="Compact"/>
              <w:jc w:val="left"/>
            </w:pPr>
            <w:r>
              <w:t xml:space="preserve">Expected behaviour</w:t>
            </w:r>
          </w:p>
        </w:tc>
      </w:tr>
      <w:tr>
        <w:tc>
          <w:tcPr/>
          <w:p>
            <w:pPr>
              <w:pStyle w:val="Compact"/>
              <w:jc w:val="left"/>
            </w:pPr>
            <w:r>
              <w:rPr>
                <w:rStyle w:val="VerbatimChar"/>
              </w:rPr>
              <w:t xml:space="preserve">corrupt_negative_payload.csv</w:t>
            </w:r>
          </w:p>
        </w:tc>
        <w:tc>
          <w:tcPr/>
          <w:p>
            <w:pPr>
              <w:pStyle w:val="Compact"/>
              <w:jc w:val="left"/>
            </w:pPr>
            <w:r>
              <w:rPr>
                <w:rStyle w:val="VerbatimChar"/>
              </w:rPr>
              <w:t xml:space="preserve">payload_t = -150</w:t>
            </w:r>
          </w:p>
        </w:tc>
        <w:tc>
          <w:tcPr/>
          <w:p>
            <w:pPr>
              <w:pStyle w:val="Compact"/>
              <w:jc w:val="left"/>
            </w:pPr>
            <w:r>
              <w:t xml:space="preserve">Connector rejects; logged as </w:t>
            </w:r>
            <w:r>
              <w:rPr>
                <w:rStyle w:val="VerbatimChar"/>
              </w:rPr>
              <w:t xml:space="preserve">data_quality = Suspect</w:t>
            </w:r>
          </w:p>
        </w:tc>
      </w:tr>
      <w:tr>
        <w:tc>
          <w:tcPr/>
          <w:p>
            <w:pPr>
              <w:pStyle w:val="Compact"/>
              <w:jc w:val="left"/>
            </w:pPr>
            <w:r>
              <w:rPr>
                <w:rStyle w:val="VerbatimChar"/>
              </w:rPr>
              <w:t xml:space="preserve">corrupt_future_timestamp.csv</w:t>
            </w:r>
          </w:p>
        </w:tc>
        <w:tc>
          <w:tcPr/>
          <w:p>
            <w:pPr>
              <w:pStyle w:val="Compact"/>
              <w:jc w:val="left"/>
            </w:pPr>
            <w:r>
              <w:rPr>
                <w:rStyle w:val="VerbatimChar"/>
              </w:rPr>
              <w:t xml:space="preserve">cycle_start_utc</w:t>
            </w:r>
            <w:r>
              <w:t xml:space="preserve"> 2099-01-01</w:t>
            </w:r>
          </w:p>
        </w:tc>
        <w:tc>
          <w:tcPr/>
          <w:p>
            <w:pPr>
              <w:pStyle w:val="Compact"/>
              <w:jc w:val="left"/>
            </w:pPr>
            <w:r>
              <w:t xml:space="preserve">Rejected; temporal-validity check fires</w:t>
            </w:r>
          </w:p>
        </w:tc>
      </w:tr>
      <w:tr>
        <w:tc>
          <w:tcPr/>
          <w:p>
            <w:pPr>
              <w:pStyle w:val="Compact"/>
              <w:jc w:val="left"/>
            </w:pPr>
            <w:r>
              <w:rPr>
                <w:rStyle w:val="VerbatimChar"/>
              </w:rPr>
              <w:t xml:space="preserve">corrupt_broken_fk.csv</w:t>
            </w:r>
          </w:p>
        </w:tc>
        <w:tc>
          <w:tcPr/>
          <w:p>
            <w:pPr>
              <w:pStyle w:val="Compact"/>
              <w:jc w:val="left"/>
            </w:pPr>
            <w:r>
              <w:rPr>
                <w:rStyle w:val="VerbatimChar"/>
              </w:rPr>
              <w:t xml:space="preserve">equipment_id = T-999</w:t>
            </w:r>
            <w:r>
              <w:t xml:space="preserve"> (not in equipment.csv)</w:t>
            </w:r>
          </w:p>
        </w:tc>
        <w:tc>
          <w:tcPr/>
          <w:p>
            <w:pPr>
              <w:pStyle w:val="Compact"/>
              <w:jc w:val="left"/>
            </w:pPr>
            <w:r>
              <w:t xml:space="preserve">FK violation caught; cycle rejected</w:t>
            </w:r>
          </w:p>
        </w:tc>
      </w:tr>
      <w:tr>
        <w:tc>
          <w:tcPr/>
          <w:p>
            <w:pPr>
              <w:pStyle w:val="Compact"/>
              <w:jc w:val="left"/>
            </w:pPr>
            <w:r>
              <w:rPr>
                <w:rStyle w:val="VerbatimChar"/>
              </w:rPr>
              <w:t xml:space="preserve">corrupt_mismatched_units.csv</w:t>
            </w:r>
          </w:p>
        </w:tc>
        <w:tc>
          <w:tcPr/>
          <w:p>
            <w:pPr>
              <w:pStyle w:val="Compact"/>
              <w:jc w:val="left"/>
            </w:pPr>
            <w:r>
              <w:t xml:space="preserve">Fuel in gallons labelled as litres</w:t>
            </w:r>
          </w:p>
        </w:tc>
        <w:tc>
          <w:tcPr/>
          <w:p>
            <w:pPr>
              <w:pStyle w:val="Compact"/>
              <w:jc w:val="left"/>
            </w:pPr>
            <w:r>
              <w:t xml:space="preserve">No automatic catch — requires unit metadata; documented gap</w:t>
            </w:r>
          </w:p>
        </w:tc>
      </w:tr>
      <w:tr>
        <w:tc>
          <w:tcPr/>
          <w:p>
            <w:pPr>
              <w:pStyle w:val="Compact"/>
              <w:jc w:val="left"/>
            </w:pPr>
            <w:r>
              <w:rPr>
                <w:rStyle w:val="VerbatimChar"/>
              </w:rPr>
              <w:t xml:space="preserve">corrupt_duplicate_cycle_id.csv</w:t>
            </w:r>
          </w:p>
        </w:tc>
        <w:tc>
          <w:tcPr/>
          <w:p>
            <w:pPr>
              <w:pStyle w:val="Compact"/>
              <w:jc w:val="left"/>
            </w:pPr>
            <w:r>
              <w:t xml:space="preserve">Two rows with same </w:t>
            </w:r>
            <w:r>
              <w:rPr>
                <w:rStyle w:val="VerbatimChar"/>
              </w:rPr>
              <w:t xml:space="preserve">cycle_id</w:t>
            </w:r>
          </w:p>
        </w:tc>
        <w:tc>
          <w:tcPr/>
          <w:p>
            <w:pPr>
              <w:pStyle w:val="Compact"/>
              <w:jc w:val="left"/>
            </w:pPr>
            <w:r>
              <w:t xml:space="preserve">De-duplication logic fires; one row retained; warning logged</w:t>
            </w:r>
          </w:p>
        </w:tc>
      </w:tr>
    </w:tbl>
    <w:bookmarkEnd w:id="165"/>
    <w:bookmarkStart w:id="166" w:name="category-e-missing-data-scenarios"/>
    <w:p>
      <w:pPr>
        <w:pStyle w:val="Heading3"/>
      </w:pPr>
      <w:bookmarkStart w:id="930121" w:name="_TocLBSv1_930121"/>
      <w:r>
        <w:t xml:space="preserve">Category E — Missing-data scenarios</w:t>
      </w:r>
      <w:bookmarkEnd w:id="930121"/>
    </w:p>
    <w:p>
      <w:pPr>
        <w:pStyle w:val="FirstParagraph"/>
      </w:pPr>
      <w:r>
        <w:t xml:space="preserve">Missing-data tests verify that the KPI engine degrades gracefully — reporting partial results and completeness flags, never silently propagating a null as zero.</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Asset</w:t>
            </w:r>
          </w:p>
        </w:tc>
        <w:tc>
          <w:tcPr/>
          <w:p>
            <w:pPr>
              <w:pStyle w:val="Compact"/>
              <w:jc w:val="left"/>
            </w:pPr>
            <w:r>
              <w:t xml:space="preserve">Missing data</w:t>
            </w:r>
          </w:p>
        </w:tc>
        <w:tc>
          <w:tcPr/>
          <w:p>
            <w:pPr>
              <w:pStyle w:val="Compact"/>
              <w:jc w:val="left"/>
            </w:pPr>
            <w:r>
              <w:t xml:space="preserve">Expected behaviour</w:t>
            </w:r>
          </w:p>
        </w:tc>
      </w:tr>
      <w:tr>
        <w:tc>
          <w:tcPr/>
          <w:p>
            <w:pPr>
              <w:pStyle w:val="Compact"/>
              <w:jc w:val="left"/>
            </w:pPr>
            <w:r>
              <w:rPr>
                <w:rStyle w:val="VerbatimChar"/>
              </w:rPr>
              <w:t xml:space="preserve">missing_no_fuel_events.csv</w:t>
            </w:r>
          </w:p>
        </w:tc>
        <w:tc>
          <w:tcPr/>
          <w:p>
            <w:pPr>
              <w:pStyle w:val="Compact"/>
              <w:jc w:val="left"/>
            </w:pPr>
            <w:r>
              <w:t xml:space="preserve">No </w:t>
            </w:r>
            <w:r>
              <w:rPr>
                <w:rStyle w:val="VerbatimChar"/>
              </w:rPr>
              <w:t xml:space="preserve">fuel_events.csv</w:t>
            </w:r>
            <w:r>
              <w:t xml:space="preserve"> present</w:t>
            </w:r>
          </w:p>
        </w:tc>
        <w:tc>
          <w:tcPr/>
          <w:p>
            <w:pPr>
              <w:pStyle w:val="Compact"/>
              <w:jc w:val="left"/>
            </w:pPr>
            <w:r>
              <w:rPr>
                <w:rStyle w:val="VerbatimChar"/>
              </w:rPr>
              <w:t xml:space="preserve">ENERGY.FuelPerTonne</w:t>
            </w:r>
            <w:r>
              <w:t xml:space="preserve"> = </w:t>
            </w:r>
            <w:r>
              <w:rPr>
                <w:rStyle w:val="VerbatimChar"/>
              </w:rPr>
              <w:t xml:space="preserve">None</w:t>
            </w:r>
            <w:r>
              <w:t xml:space="preserve">; other KPIs unaffected</w:t>
            </w:r>
          </w:p>
        </w:tc>
      </w:tr>
      <w:tr>
        <w:tc>
          <w:tcPr/>
          <w:p>
            <w:pPr>
              <w:pStyle w:val="Compact"/>
              <w:jc w:val="left"/>
            </w:pPr>
            <w:r>
              <w:rPr>
                <w:rStyle w:val="VerbatimChar"/>
              </w:rPr>
              <w:t xml:space="preserve">missing_no_delay_events.csv</w:t>
            </w:r>
          </w:p>
        </w:tc>
        <w:tc>
          <w:tcPr/>
          <w:p>
            <w:pPr>
              <w:pStyle w:val="Compact"/>
              <w:jc w:val="left"/>
            </w:pPr>
            <w:r>
              <w:t xml:space="preserve">No delay events for a shift</w:t>
            </w:r>
          </w:p>
        </w:tc>
        <w:tc>
          <w:tcPr/>
          <w:p>
            <w:pPr>
              <w:pStyle w:val="Compact"/>
              <w:jc w:val="left"/>
            </w:pPr>
            <w:r>
              <w:rPr>
                <w:rStyle w:val="VerbatimChar"/>
              </w:rPr>
              <w:t xml:space="preserve">UTIL.PA = 100%</w:t>
            </w:r>
            <w:r>
              <w:t xml:space="preserve"> (assumed fully available); </w:t>
            </w:r>
            <w:r>
              <w:rPr>
                <w:rStyle w:val="VerbatimChar"/>
              </w:rPr>
              <w:t xml:space="preserve">DELAY.Hours = 0</w:t>
            </w:r>
          </w:p>
        </w:tc>
      </w:tr>
      <w:tr>
        <w:tc>
          <w:tcPr/>
          <w:p>
            <w:pPr>
              <w:pStyle w:val="Compact"/>
              <w:jc w:val="left"/>
            </w:pPr>
            <w:r>
              <w:rPr>
                <w:rStyle w:val="VerbatimChar"/>
              </w:rPr>
              <w:t xml:space="preserve">missing_partial_assay.csv</w:t>
            </w:r>
          </w:p>
        </w:tc>
        <w:tc>
          <w:tcPr/>
          <w:p>
            <w:pPr>
              <w:pStyle w:val="Compact"/>
              <w:jc w:val="left"/>
            </w:pPr>
            <w:r>
              <w:t xml:space="preserve">Only feed grade, no concentrate or tailings</w:t>
            </w:r>
          </w:p>
        </w:tc>
        <w:tc>
          <w:tcPr/>
          <w:p>
            <w:pPr>
              <w:pStyle w:val="Compact"/>
              <w:jc w:val="left"/>
            </w:pPr>
            <w:r>
              <w:rPr>
                <w:rStyle w:val="VerbatimChar"/>
              </w:rPr>
              <w:t xml:space="preserve">QUAL.Recovery</w:t>
            </w:r>
            <w:r>
              <w:t xml:space="preserve"> = </w:t>
            </w:r>
            <w:r>
              <w:rPr>
                <w:rStyle w:val="VerbatimChar"/>
              </w:rPr>
              <w:t xml:space="preserve">None</w:t>
            </w:r>
            <w:r>
              <w:t xml:space="preserve">; log missing inputs</w:t>
            </w:r>
          </w:p>
        </w:tc>
      </w:tr>
    </w:tbl>
    <w:bookmarkEnd w:id="166"/>
    <w:bookmarkStart w:id="167" w:name="category-f-timezone-scenarios"/>
    <w:p>
      <w:pPr>
        <w:pStyle w:val="Heading3"/>
      </w:pPr>
      <w:bookmarkStart w:id="930122" w:name="_TocLBSv1_930122"/>
      <w:r>
        <w:t xml:space="preserve">Category F — Timezone scenarios</w:t>
      </w:r>
      <w:bookmarkEnd w:id="930122"/>
    </w:p>
    <w:p>
      <w:pPr>
        <w:pStyle w:val="FirstParagraph"/>
      </w:pPr>
      <w:r>
        <w:t xml:space="preserve">Timezone tests verify that shift boundaries are correctly resolved across timezones and daylight-saving transitions.</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Asset</w:t>
            </w:r>
          </w:p>
        </w:tc>
        <w:tc>
          <w:tcPr/>
          <w:p>
            <w:pPr>
              <w:pStyle w:val="Compact"/>
              <w:jc w:val="left"/>
            </w:pPr>
            <w:r>
              <w:t xml:space="preserve">Scenario</w:t>
            </w:r>
          </w:p>
        </w:tc>
        <w:tc>
          <w:tcPr/>
          <w:p>
            <w:pPr>
              <w:pStyle w:val="Compact"/>
              <w:jc w:val="left"/>
            </w:pPr>
            <w:r>
              <w:t xml:space="preserve">Expected behaviour</w:t>
            </w:r>
          </w:p>
        </w:tc>
      </w:tr>
      <w:tr>
        <w:tc>
          <w:tcPr/>
          <w:p>
            <w:pPr>
              <w:pStyle w:val="Compact"/>
              <w:jc w:val="left"/>
            </w:pPr>
            <w:r>
              <w:rPr>
                <w:rStyle w:val="VerbatimChar"/>
              </w:rPr>
              <w:t xml:space="preserve">tz_awst_standard.csv</w:t>
            </w:r>
          </w:p>
        </w:tc>
        <w:tc>
          <w:tcPr/>
          <w:p>
            <w:pPr>
              <w:pStyle w:val="Compact"/>
              <w:jc w:val="left"/>
            </w:pPr>
            <w:r>
              <w:t xml:space="preserve">Pilbara Ridge (UTC+8, no DST)</w:t>
            </w:r>
          </w:p>
        </w:tc>
        <w:tc>
          <w:tcPr/>
          <w:p>
            <w:pPr>
              <w:pStyle w:val="Compact"/>
              <w:jc w:val="left"/>
            </w:pPr>
            <w:r>
              <w:t xml:space="preserve">Shift boundary 22:00 UTC = 06:00 AWST; correct</w:t>
            </w:r>
          </w:p>
        </w:tc>
      </w:tr>
      <w:tr>
        <w:tc>
          <w:tcPr/>
          <w:p>
            <w:pPr>
              <w:pStyle w:val="Compact"/>
              <w:jc w:val="left"/>
            </w:pPr>
            <w:r>
              <w:rPr>
                <w:rStyle w:val="VerbatimChar"/>
              </w:rPr>
              <w:t xml:space="preserve">tz_aest_dst_boundary.csv</w:t>
            </w:r>
          </w:p>
        </w:tc>
        <w:tc>
          <w:tcPr/>
          <w:p>
            <w:pPr>
              <w:pStyle w:val="Compact"/>
              <w:jc w:val="left"/>
            </w:pPr>
            <w:r>
              <w:t xml:space="preserve">NSW coal mine crossing DST boundary (Oct)</w:t>
            </w:r>
          </w:p>
        </w:tc>
        <w:tc>
          <w:tcPr/>
          <w:p>
            <w:pPr>
              <w:pStyle w:val="Compact"/>
              <w:jc w:val="left"/>
            </w:pPr>
            <w:r>
              <w:t xml:space="preserve">12-h shift correctly bounded despite clock change</w:t>
            </w:r>
          </w:p>
        </w:tc>
      </w:tr>
      <w:tr>
        <w:tc>
          <w:tcPr/>
          <w:p>
            <w:pPr>
              <w:pStyle w:val="Compact"/>
              <w:jc w:val="left"/>
            </w:pPr>
            <w:r>
              <w:rPr>
                <w:rStyle w:val="VerbatimChar"/>
              </w:rPr>
              <w:t xml:space="preserve">tz_offshore_utc.csv</w:t>
            </w:r>
          </w:p>
        </w:tc>
        <w:tc>
          <w:tcPr/>
          <w:p>
            <w:pPr>
              <w:pStyle w:val="Compact"/>
              <w:jc w:val="left"/>
            </w:pPr>
            <w:r>
              <w:t xml:space="preserve">All timestamps in UTC, no local conversion</w:t>
            </w:r>
          </w:p>
        </w:tc>
        <w:tc>
          <w:tcPr/>
          <w:p>
            <w:pPr>
              <w:pStyle w:val="Compact"/>
              <w:jc w:val="left"/>
            </w:pPr>
            <w:r>
              <w:t xml:space="preserve">UTC-native processing; no timezone conversion needed</w:t>
            </w:r>
          </w:p>
        </w:tc>
      </w:tr>
    </w:tbl>
    <w:bookmarkEnd w:id="167"/>
    <w:bookmarkStart w:id="168" w:name="category-g-multi-mine-scenarios"/>
    <w:p>
      <w:pPr>
        <w:pStyle w:val="Heading3"/>
      </w:pPr>
      <w:bookmarkStart w:id="930123" w:name="_TocLBSv1_930123"/>
      <w:r>
        <w:t xml:space="preserve">Category G — Multi-mine scenarios</w:t>
      </w:r>
      <w:bookmarkEnd w:id="930123"/>
    </w:p>
    <w:p>
      <w:pPr>
        <w:pStyle w:val="FirstParagraph"/>
      </w:pPr>
      <w:r>
        <w:t xml:space="preserve">Multi-mine tests confirm that the system handles five mine contexts without FK collision, correct mine scoping, and correct aggregation.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Asset</w:t>
            </w:r>
          </w:p>
        </w:tc>
        <w:tc>
          <w:tcPr/>
          <w:p>
            <w:pPr>
              <w:pStyle w:val="Compact"/>
              <w:jc w:val="left"/>
            </w:pPr>
            <w:r>
              <w:t xml:space="preserve">Test</w:t>
            </w:r>
          </w:p>
        </w:tc>
      </w:tr>
      <w:tr>
        <w:tc>
          <w:tcPr/>
          <w:p>
            <w:pPr>
              <w:pStyle w:val="Compact"/>
              <w:jc w:val="left"/>
            </w:pPr>
            <w:r>
              <w:rPr>
                <w:rStyle w:val="VerbatimChar"/>
              </w:rPr>
              <w:t xml:space="preserve">multi_mine_all_five.csv</w:t>
            </w:r>
          </w:p>
        </w:tc>
        <w:tc>
          <w:tcPr/>
          <w:p>
            <w:pPr>
              <w:pStyle w:val="Compact"/>
              <w:jc w:val="left"/>
            </w:pPr>
            <w:r>
              <w:t xml:space="preserve">All five mines, same UTC day; each KPI scoped to its mine_code</w:t>
            </w:r>
          </w:p>
        </w:tc>
      </w:tr>
      <w:tr>
        <w:tc>
          <w:tcPr/>
          <w:p>
            <w:pPr>
              <w:pStyle w:val="Compact"/>
              <w:jc w:val="left"/>
            </w:pPr>
            <w:r>
              <w:rPr>
                <w:rStyle w:val="VerbatimChar"/>
              </w:rPr>
              <w:t xml:space="preserve">multi_mine_fleet_aggregate.csv</w:t>
            </w:r>
          </w:p>
        </w:tc>
        <w:tc>
          <w:tcPr/>
          <w:p>
            <w:pPr>
              <w:pStyle w:val="Compact"/>
              <w:jc w:val="left"/>
            </w:pPr>
            <w:r>
              <w:t xml:space="preserve">Aggregate fleet MTBF across mines — must pool hours and failures, not average rates</w:t>
            </w:r>
          </w:p>
        </w:tc>
      </w:tr>
      <w:tr>
        <w:tc>
          <w:tcPr/>
          <w:p>
            <w:pPr>
              <w:pStyle w:val="Compact"/>
              <w:jc w:val="left"/>
            </w:pPr>
            <w:r>
              <w:rPr>
                <w:rStyle w:val="VerbatimChar"/>
              </w:rPr>
              <w:t xml:space="preserve">multi_mine_company_co2.csv</w:t>
            </w:r>
          </w:p>
        </w:tc>
        <w:tc>
          <w:tcPr/>
          <w:p>
            <w:pPr>
              <w:pStyle w:val="Compact"/>
              <w:jc w:val="left"/>
            </w:pPr>
            <w:r>
              <w:t xml:space="preserve">Company-level Scope-1 total = sum of all mine Scope-1 totals</w:t>
            </w:r>
          </w:p>
        </w:tc>
      </w:tr>
    </w:tbl>
    <w:bookmarkEnd w:id="168"/>
    <w:bookmarkStart w:id="169" w:name="category-h-multi-commodity-scenarios"/>
    <w:p>
      <w:pPr>
        <w:pStyle w:val="Heading3"/>
      </w:pPr>
      <w:bookmarkStart w:id="930124" w:name="_TocLBSv1_930124"/>
      <w:r>
        <w:t xml:space="preserve">Category H — Multi-commodity scenarios</w:t>
      </w:r>
      <w:bookmarkEnd w:id="930124"/>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Asset</w:t>
            </w:r>
          </w:p>
        </w:tc>
        <w:tc>
          <w:tcPr/>
          <w:p>
            <w:pPr>
              <w:pStyle w:val="Compact"/>
              <w:jc w:val="left"/>
            </w:pPr>
            <w:r>
              <w:t xml:space="preserve">Test</w:t>
            </w:r>
          </w:p>
        </w:tc>
      </w:tr>
      <w:tr>
        <w:tc>
          <w:tcPr/>
          <w:p>
            <w:pPr>
              <w:pStyle w:val="Compact"/>
              <w:jc w:val="left"/>
            </w:pPr>
            <w:r>
              <w:rPr>
                <w:rStyle w:val="VerbatimChar"/>
              </w:rPr>
              <w:t xml:space="preserve">multi_commodity_recovery.csv</w:t>
            </w:r>
          </w:p>
        </w:tc>
        <w:tc>
          <w:tcPr/>
          <w:p>
            <w:pPr>
              <w:pStyle w:val="Compact"/>
              <w:jc w:val="left"/>
            </w:pPr>
            <w:r>
              <w:rPr>
                <w:rStyle w:val="VerbatimChar"/>
              </w:rPr>
              <w:t xml:space="preserve">QUAL.Recovery</w:t>
            </w:r>
            <w:r>
              <w:t xml:space="preserve"> for Cu, Li₂O, Au simultaneously — distinct denominators, no cross-contamination</w:t>
            </w:r>
          </w:p>
        </w:tc>
      </w:tr>
      <w:tr>
        <w:tc>
          <w:tcPr/>
          <w:p>
            <w:pPr>
              <w:pStyle w:val="Compact"/>
              <w:jc w:val="left"/>
            </w:pPr>
            <w:r>
              <w:rPr>
                <w:rStyle w:val="VerbatimChar"/>
              </w:rPr>
              <w:t xml:space="preserve">multi_commodity_cost.csv</w:t>
            </w:r>
          </w:p>
        </w:tc>
        <w:tc>
          <w:tcPr/>
          <w:p>
            <w:pPr>
              <w:pStyle w:val="Compact"/>
              <w:jc w:val="left"/>
            </w:pPr>
            <w:r>
              <w:rPr>
                <w:rStyle w:val="VerbatimChar"/>
              </w:rPr>
              <w:t xml:space="preserve">COST.CostPerTonne</w:t>
            </w:r>
            <w:r>
              <w:t xml:space="preserve"> per commodity — $ and t both scoped to commodity</w:t>
            </w:r>
          </w:p>
        </w:tc>
      </w:tr>
    </w:tbl>
    <w:bookmarkEnd w:id="169"/>
    <w:bookmarkEnd w:id="170"/>
    <w:bookmarkStart w:id="171" w:name="certification-checklist"/>
    <w:p>
      <w:pPr>
        <w:pStyle w:val="Heading2"/>
      </w:pPr>
      <w:bookmarkStart w:id="930125" w:name="_TocLBSv1_930125"/>
      <w:r>
        <w:t xml:space="preserve">Certification checklist</w:t>
      </w:r>
      <w:bookmarkEnd w:id="930125"/>
    </w:p>
    <w:p>
      <w:pPr>
        <w:pStyle w:val="FirstParagraph"/>
      </w:pPr>
      <w:r>
        <w:t xml:space="preserve">A future certified implementation must pass all items in the following checklist. Each item references its test asset from the categories above.</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Check</w:t>
            </w:r>
          </w:p>
        </w:tc>
        <w:tc>
          <w:tcPr/>
          <w:p>
            <w:pPr>
              <w:pStyle w:val="Compact"/>
              <w:jc w:val="left"/>
            </w:pPr>
            <w:r>
              <w:t xml:space="preserve">Asset</w:t>
            </w:r>
          </w:p>
        </w:tc>
        <w:tc>
          <w:tcPr/>
          <w:p>
            <w:pPr>
              <w:pStyle w:val="Compact"/>
              <w:jc w:val="left"/>
            </w:pPr>
            <w:r>
              <w:t xml:space="preserve">Pass criterion</w:t>
            </w:r>
          </w:p>
        </w:tc>
      </w:tr>
      <w:tr>
        <w:tc>
          <w:tcPr/>
          <w:p>
            <w:pPr>
              <w:pStyle w:val="Compact"/>
              <w:jc w:val="left"/>
            </w:pPr>
            <w:r>
              <w:t xml:space="preserve">C-01 All Active KPI values match golden outputs</w:t>
            </w:r>
          </w:p>
        </w:tc>
        <w:tc>
          <w:tcPr/>
          <w:p>
            <w:pPr>
              <w:pStyle w:val="Compact"/>
              <w:jc w:val="left"/>
            </w:pPr>
            <w:r>
              <w:t xml:space="preserve">Category A</w:t>
            </w:r>
          </w:p>
        </w:tc>
        <w:tc>
          <w:tcPr/>
          <w:p>
            <w:pPr>
              <w:pStyle w:val="Compact"/>
              <w:jc w:val="left"/>
            </w:pPr>
            <w:r>
              <w:t xml:space="preserve">Within Part III tolerance</w:t>
            </w:r>
          </w:p>
        </w:tc>
      </w:tr>
      <w:tr>
        <w:tc>
          <w:tcPr/>
          <w:p>
            <w:pPr>
              <w:pStyle w:val="Compact"/>
              <w:jc w:val="left"/>
            </w:pPr>
            <w:r>
              <w:t xml:space="preserve">C-02 EU = PA × UA identity holds</w:t>
            </w:r>
          </w:p>
        </w:tc>
        <w:tc>
          <w:tcPr/>
          <w:p>
            <w:pPr>
              <w:pStyle w:val="Compact"/>
              <w:jc w:val="left"/>
            </w:pPr>
            <w:r>
              <w:rPr>
                <w:rStyle w:val="VerbatimChar"/>
              </w:rPr>
              <w:t xml:space="preserve">gold_shift_PIL_D.csv</w:t>
            </w:r>
          </w:p>
        </w:tc>
        <w:tc>
          <w:tcPr/>
          <w:p>
            <w:pPr>
              <w:pStyle w:val="Compact"/>
              <w:jc w:val="left"/>
            </w:pPr>
            <w:r>
              <w:rPr>
                <w:rStyle w:val="VerbatimChar"/>
              </w:rPr>
              <w:t xml:space="preserve">abs(EU − PA*UA/100) &lt; 1e-6</w:t>
            </w:r>
          </w:p>
        </w:tc>
      </w:tr>
      <w:tr>
        <w:tc>
          <w:tcPr/>
          <w:p>
            <w:pPr>
              <w:pStyle w:val="Compact"/>
              <w:jc w:val="left"/>
            </w:pPr>
            <w:r>
              <w:t xml:space="preserve">C-03 Delay categories MECE</w:t>
            </w:r>
          </w:p>
        </w:tc>
        <w:tc>
          <w:tcPr/>
          <w:p>
            <w:pPr>
              <w:pStyle w:val="Compact"/>
              <w:jc w:val="left"/>
            </w:pPr>
            <w:r>
              <w:rPr>
                <w:rStyle w:val="VerbatimChar"/>
              </w:rPr>
              <w:t xml:space="preserve">gold_delay_PIL.csv</w:t>
            </w:r>
          </w:p>
        </w:tc>
        <w:tc>
          <w:tcPr/>
          <w:p>
            <w:pPr>
              <w:pStyle w:val="Compact"/>
              <w:jc w:val="left"/>
            </w:pPr>
            <w:r>
              <w:t xml:space="preserve">Category sum = total delay ±0.1 h</w:t>
            </w:r>
          </w:p>
        </w:tc>
      </w:tr>
      <w:tr>
        <w:tc>
          <w:tcPr/>
          <w:p>
            <w:pPr>
              <w:pStyle w:val="Compact"/>
              <w:jc w:val="left"/>
            </w:pPr>
            <w:r>
              <w:t xml:space="preserve">C-04 Full pipeline integration</w:t>
            </w:r>
          </w:p>
        </w:tc>
        <w:tc>
          <w:tcPr/>
          <w:p>
            <w:pPr>
              <w:pStyle w:val="Compact"/>
              <w:jc w:val="left"/>
            </w:pPr>
            <w:r>
              <w:t xml:space="preserve">Category B</w:t>
            </w:r>
          </w:p>
        </w:tc>
        <w:tc>
          <w:tcPr/>
          <w:p>
            <w:pPr>
              <w:pStyle w:val="Compact"/>
              <w:jc w:val="left"/>
            </w:pPr>
            <w:r>
              <w:t xml:space="preserve">KPIs match golden via engine API</w:t>
            </w:r>
          </w:p>
        </w:tc>
      </w:tr>
      <w:tr>
        <w:tc>
          <w:tcPr/>
          <w:p>
            <w:pPr>
              <w:pStyle w:val="Compact"/>
              <w:jc w:val="left"/>
            </w:pPr>
            <w:r>
              <w:t xml:space="preserve">C-05 Zero-production shift handled</w:t>
            </w:r>
          </w:p>
        </w:tc>
        <w:tc>
          <w:tcPr/>
          <w:p>
            <w:pPr>
              <w:pStyle w:val="Compact"/>
              <w:jc w:val="left"/>
            </w:pPr>
            <w:r>
              <w:rPr>
                <w:rStyle w:val="VerbatimChar"/>
              </w:rPr>
              <w:t xml:space="preserve">edge_zero_production.csv</w:t>
            </w:r>
          </w:p>
        </w:tc>
        <w:tc>
          <w:tcPr/>
          <w:p>
            <w:pPr>
              <w:pStyle w:val="Compact"/>
              <w:jc w:val="left"/>
            </w:pPr>
            <w:r>
              <w:t xml:space="preserve">No error; </w:t>
            </w:r>
            <w:r>
              <w:rPr>
                <w:rStyle w:val="VerbatimChar"/>
              </w:rPr>
              <w:t xml:space="preserve">n/a</w:t>
            </w:r>
            <w:r>
              <w:t xml:space="preserve"> returned</w:t>
            </w:r>
          </w:p>
        </w:tc>
      </w:tr>
      <w:tr>
        <w:tc>
          <w:tcPr/>
          <w:p>
            <w:pPr>
              <w:pStyle w:val="Compact"/>
              <w:jc w:val="left"/>
            </w:pPr>
            <w:r>
              <w:t xml:space="preserve">C-06 Corrupted records rejected</w:t>
            </w:r>
          </w:p>
        </w:tc>
        <w:tc>
          <w:tcPr/>
          <w:p>
            <w:pPr>
              <w:pStyle w:val="Compact"/>
              <w:jc w:val="left"/>
            </w:pPr>
            <w:r>
              <w:t xml:space="preserve">Category D</w:t>
            </w:r>
          </w:p>
        </w:tc>
        <w:tc>
          <w:tcPr/>
          <w:p>
            <w:pPr>
              <w:pStyle w:val="Compact"/>
              <w:jc w:val="left"/>
            </w:pPr>
            <w:r>
              <w:t xml:space="preserve">All corrupt rows rejected; warning logged</w:t>
            </w:r>
          </w:p>
        </w:tc>
      </w:tr>
      <w:tr>
        <w:tc>
          <w:tcPr/>
          <w:p>
            <w:pPr>
              <w:pStyle w:val="Compact"/>
              <w:jc w:val="left"/>
            </w:pPr>
            <w:r>
              <w:t xml:space="preserve">C-07 Missing data degrades gracefully</w:t>
            </w:r>
          </w:p>
        </w:tc>
        <w:tc>
          <w:tcPr/>
          <w:p>
            <w:pPr>
              <w:pStyle w:val="Compact"/>
              <w:jc w:val="left"/>
            </w:pPr>
            <w:r>
              <w:t xml:space="preserve">Category E</w:t>
            </w:r>
          </w:p>
        </w:tc>
        <w:tc>
          <w:tcPr/>
          <w:p>
            <w:pPr>
              <w:pStyle w:val="Compact"/>
              <w:jc w:val="left"/>
            </w:pPr>
            <w:r>
              <w:t xml:space="preserve">Partial KPIs returned; no null→zero propagation</w:t>
            </w:r>
          </w:p>
        </w:tc>
      </w:tr>
      <w:tr>
        <w:tc>
          <w:tcPr/>
          <w:p>
            <w:pPr>
              <w:pStyle w:val="Compact"/>
              <w:jc w:val="left"/>
            </w:pPr>
            <w:r>
              <w:t xml:space="preserve">C-08 Timezone boundaries correct</w:t>
            </w:r>
          </w:p>
        </w:tc>
        <w:tc>
          <w:tcPr/>
          <w:p>
            <w:pPr>
              <w:pStyle w:val="Compact"/>
              <w:jc w:val="left"/>
            </w:pPr>
            <w:r>
              <w:t xml:space="preserve">Category F</w:t>
            </w:r>
          </w:p>
        </w:tc>
        <w:tc>
          <w:tcPr/>
          <w:p>
            <w:pPr>
              <w:pStyle w:val="Compact"/>
              <w:jc w:val="left"/>
            </w:pPr>
            <w:r>
              <w:t xml:space="preserve">Shift hours = 12.0 in all scenarios</w:t>
            </w:r>
          </w:p>
        </w:tc>
      </w:tr>
      <w:tr>
        <w:tc>
          <w:tcPr/>
          <w:p>
            <w:pPr>
              <w:pStyle w:val="Compact"/>
              <w:jc w:val="left"/>
            </w:pPr>
            <w:r>
              <w:t xml:space="preserve">C-09 Multi-mine FK isolation</w:t>
            </w:r>
          </w:p>
        </w:tc>
        <w:tc>
          <w:tcPr/>
          <w:p>
            <w:pPr>
              <w:pStyle w:val="Compact"/>
              <w:jc w:val="left"/>
            </w:pPr>
            <w:r>
              <w:rPr>
                <w:rStyle w:val="VerbatimChar"/>
              </w:rPr>
              <w:t xml:space="preserve">multi_mine_all_five.csv</w:t>
            </w:r>
          </w:p>
        </w:tc>
        <w:tc>
          <w:tcPr/>
          <w:p>
            <w:pPr>
              <w:pStyle w:val="Compact"/>
              <w:jc w:val="left"/>
            </w:pPr>
            <w:r>
              <w:t xml:space="preserve">No cross-mine FK collisions</w:t>
            </w:r>
          </w:p>
        </w:tc>
      </w:tr>
      <w:tr>
        <w:tc>
          <w:tcPr/>
          <w:p>
            <w:pPr>
              <w:pStyle w:val="Compact"/>
              <w:jc w:val="left"/>
            </w:pPr>
            <w:r>
              <w:t xml:space="preserve">C-10 Recovery formula exact</w:t>
            </w:r>
          </w:p>
        </w:tc>
        <w:tc>
          <w:tcPr/>
          <w:p>
            <w:pPr>
              <w:pStyle w:val="Compact"/>
              <w:jc w:val="left"/>
            </w:pPr>
            <w:r>
              <w:rPr>
                <w:rStyle w:val="VerbatimChar"/>
              </w:rPr>
              <w:t xml:space="preserve">gold_recovery_BWS.csv</w:t>
            </w:r>
          </w:p>
        </w:tc>
        <w:tc>
          <w:tcPr/>
          <w:p>
            <w:pPr>
              <w:pStyle w:val="Compact"/>
              <w:jc w:val="left"/>
            </w:pPr>
            <w:r>
              <w:t xml:space="preserve">86.91% ± 0.01</w:t>
            </w:r>
          </w:p>
        </w:tc>
      </w:tr>
      <w:tr>
        <w:tc>
          <w:tcPr/>
          <w:p>
            <w:pPr>
              <w:pStyle w:val="Compact"/>
              <w:jc w:val="left"/>
            </w:pPr>
            <w:r>
              <w:t xml:space="preserve">C-11 Li₂O recovery honest</w:t>
            </w:r>
          </w:p>
        </w:tc>
        <w:tc>
          <w:tcPr/>
          <w:p>
            <w:pPr>
              <w:pStyle w:val="Compact"/>
              <w:jc w:val="left"/>
            </w:pPr>
            <w:r>
              <w:rPr>
                <w:rStyle w:val="VerbatimChar"/>
              </w:rPr>
              <w:t xml:space="preserve">gold_recovery_GVL.csv</w:t>
            </w:r>
          </w:p>
        </w:tc>
        <w:tc>
          <w:tcPr/>
          <w:p>
            <w:pPr>
              <w:pStyle w:val="Compact"/>
              <w:jc w:val="left"/>
            </w:pPr>
            <w:r>
              <w:t xml:space="preserve">70.48% ± 0.01 (not back-fitted)</w:t>
            </w:r>
          </w:p>
        </w:tc>
      </w:tr>
      <w:tr>
        <w:tc>
          <w:tcPr/>
          <w:p>
            <w:pPr>
              <w:pStyle w:val="Compact"/>
              <w:jc w:val="left"/>
            </w:pPr>
            <w:r>
              <w:t xml:space="preserve">C-12 Ai ≥ PA invariant</w:t>
            </w:r>
          </w:p>
        </w:tc>
        <w:tc>
          <w:tcPr/>
          <w:p>
            <w:pPr>
              <w:pStyle w:val="Compact"/>
              <w:jc w:val="left"/>
            </w:pPr>
            <w:r>
              <w:rPr>
                <w:rStyle w:val="VerbatimChar"/>
              </w:rPr>
              <w:t xml:space="preserve">gold_shift_PIL_D.csv</w:t>
            </w:r>
          </w:p>
        </w:tc>
        <w:tc>
          <w:tcPr/>
          <w:p>
            <w:pPr>
              <w:pStyle w:val="Compact"/>
              <w:jc w:val="left"/>
            </w:pPr>
            <w:r>
              <w:t xml:space="preserve">91.5% ≥ 86.9%</w:t>
            </w:r>
          </w:p>
        </w:tc>
      </w:tr>
    </w:tbl>
    <w:p>
      <w:r>
        <w:br w:type="page"/>
      </w:r>
    </w:p>
    <w:bookmarkEnd w:id="171"/>
    <w:bookmarkEnd w:id="172"/>
    <w:bookmarkStart w:id="176" w:name="closing-the-suite-as-a-living-system"/>
    <w:p>
      <w:pPr>
        <w:pStyle w:val="Heading1"/>
      </w:pPr>
      <w:bookmarkStart w:id="930126" w:name="_TocLBSv1_930126"/>
      <w:r>
        <w:t xml:space="preserve">Closing — The Suite as a Living System</w:t>
      </w:r>
      <w:bookmarkEnd w:id="930126"/>
    </w:p>
    <w:p>
      <w:pPr>
        <w:pStyle w:val="FirstParagraph"/>
      </w:pPr>
      <w:r>
        <w:t xml:space="preserve">The Learning &amp; Benchmark Suite is designed to grow with the documentation ecosystem it serves. New KPIs added to the Standard Library (Part III) immediately need: a dataset column, a worked example row in the expected-output table (Part III here), a notebook in the curriculum, a benchmark seed update, a visualization recommendation, and — where relevant — an AI demo and a certification test. The suite’s seven-part structure makes those additions systematic rather than ad hoc.</w:t>
      </w:r>
    </w:p>
    <w:p>
      <w:pPr>
        <w:pStyle w:val="BodyText"/>
      </w:pPr>
      <w:r>
        <w:t xml:space="preserve">The dataset generators, the expected-output table, and the certification checklist are the three immutable foundations. A KPI that passes all three is not just documented — it is </w:t>
      </w:r>
      <w:r>
        <w:rPr>
          <w:iCs/>
          <w:i/>
        </w:rPr>
        <w:t xml:space="preserve">proven</w:t>
      </w:r>
      <w:r>
        <w:t xml:space="preserve">: proven by realistic data, proven by a reproducible expected output, and proven by formal validation. That is the standard the suite was designed to uphold.</w:t>
      </w:r>
    </w:p>
    <w:p>
      <w:pPr>
        <w:pStyle w:val="BodyText"/>
      </w:pPr>
      <w:r>
        <w:rPr>
          <w:bCs/>
          <w:b/>
        </w:rPr>
        <w:t xml:space="preserve">Immediate next steps for contributors:</w:t>
      </w:r>
    </w:p>
    <w:p>
      <w:pPr>
        <w:numPr>
          <w:ilvl w:val="0"/>
          <w:numId w:val="1003"/>
        </w:numPr>
        <w:pStyle w:val="Compact"/>
      </w:pPr>
      <w:r>
        <w:t xml:space="preserve">Run </w:t>
      </w:r>
      <w:r>
        <w:rPr>
          <w:rStyle w:val="VerbatimChar"/>
        </w:rPr>
        <w:t xml:space="preserve">datasets/generators/generate_all.py</w:t>
      </w:r>
      <w:r>
        <w:t xml:space="preserve"> to produce the full dataset library.</w:t>
      </w:r>
    </w:p>
    <w:p>
      <w:pPr>
        <w:numPr>
          <w:ilvl w:val="0"/>
          <w:numId w:val="1003"/>
        </w:numPr>
        <w:pStyle w:val="Compact"/>
      </w:pPr>
      <w:r>
        <w:t xml:space="preserve">Open NB-01 and execute it end-to-end — the canonical first test.</w:t>
      </w:r>
    </w:p>
    <w:p>
      <w:pPr>
        <w:numPr>
          <w:ilvl w:val="0"/>
          <w:numId w:val="1003"/>
        </w:numPr>
        <w:pStyle w:val="Compact"/>
      </w:pPr>
      <w:r>
        <w:t xml:space="preserve">Complete the beginner track (NB-01 to NB-10) in sequence.</w:t>
      </w:r>
    </w:p>
    <w:p>
      <w:pPr>
        <w:numPr>
          <w:ilvl w:val="0"/>
          <w:numId w:val="1003"/>
        </w:numPr>
        <w:pStyle w:val="Compact"/>
      </w:pPr>
      <w:r>
        <w:t xml:space="preserve">Run </w:t>
      </w:r>
      <w:r>
        <w:rPr>
          <w:rStyle w:val="VerbatimChar"/>
        </w:rPr>
        <w:t xml:space="preserve">tests/regression/run_regression.py</w:t>
      </w:r>
      <w:r>
        <w:t xml:space="preserve"> after every change to </w:t>
      </w:r>
      <w:r>
        <w:rPr>
          <w:rStyle w:val="VerbatimChar"/>
        </w:rPr>
        <w:t xml:space="preserve">mp_kpis_p3.py</w:t>
      </w:r>
      <w:r>
        <w:t xml:space="preserve">.</w:t>
      </w:r>
    </w:p>
    <w:p>
      <w:pPr>
        <w:numPr>
          <w:ilvl w:val="0"/>
          <w:numId w:val="1003"/>
        </w:numPr>
        <w:pStyle w:val="Compact"/>
      </w:pPr>
      <w:r>
        <w:t xml:space="preserve">Use the certification checklist (Part VII) before submitting any new KPI.</w:t>
      </w:r>
    </w:p>
    <w:bookmarkStart w:id="175" w:name="documentation-governance-rules"/>
    <w:p>
      <w:pPr>
        <w:pStyle w:val="Heading2"/>
      </w:pPr>
      <w:bookmarkStart w:id="930127" w:name="_TocLBSv1_930127"/>
      <w:r>
        <w:t xml:space="preserve">Documentation Governance Rules</w:t>
      </w:r>
      <w:bookmarkEnd w:id="930127"/>
    </w:p>
    <w:p>
      <w:pPr>
        <w:pStyle w:val="FirstParagraph"/>
      </w:pPr>
      <w:r>
        <w:t xml:space="preserve">The following governance rules govern the long-term integrity of the Learning &amp; Benchmark Suite and the MineProductivity documentation ecosystem.</w:t>
      </w:r>
    </w:p>
    <w:bookmarkStart w:id="173" w:name="Xb0437973e40e1d776f2f600c0ec9313fccd0029"/>
    <w:p>
      <w:pPr>
        <w:pStyle w:val="Heading3"/>
      </w:pPr>
      <w:bookmarkStart w:id="930128" w:name="_TocLBSv1_930128"/>
      <w:r>
        <w:t xml:space="preserve">Documentation Governance Rule #006 — Artifact Versioning &amp; Traceability</w:t>
      </w:r>
      <w:bookmarkEnd w:id="930128"/>
    </w:p>
    <w:p>
      <w:pPr>
        <w:pStyle w:val="FirstParagraph"/>
      </w:pPr>
      <w:r>
        <w:t xml:space="preserve">Every dataset, notebook, generator, benchmark scenario, and expected output shall be versioned independently while remaining fully traceable to the MineProductivity Single Source of Truth.</w:t>
      </w:r>
    </w:p>
    <w:p>
      <w:pPr>
        <w:pStyle w:val="BodyText"/>
      </w:pPr>
      <w:r>
        <w:t xml:space="preserve">Each artifact </w:t>
      </w:r>
      <w:r>
        <w:rPr>
          <w:bCs/>
          <w:b/>
        </w:rPr>
        <w:t xml:space="preserve">must</w:t>
      </w:r>
      <w:r>
        <w:t xml:space="preserve"> explicitly record its own version (</w:t>
      </w:r>
      <w:r>
        <w:rPr>
          <w:rStyle w:val="VerbatimChar"/>
        </w:rPr>
        <w:t xml:space="preserve">artifact_version</w:t>
      </w:r>
      <w:r>
        <w:t xml:space="preserve">), the MineProductivity package version (</w:t>
      </w:r>
      <w:r>
        <w:rPr>
          <w:rStyle w:val="VerbatimChar"/>
        </w:rPr>
        <w:t xml:space="preserve">package_version</w:t>
      </w:r>
      <w:r>
        <w:t xml:space="preserve">), the ontology version (</w:t>
      </w:r>
      <w:r>
        <w:rPr>
          <w:rStyle w:val="VerbatimChar"/>
        </w:rPr>
        <w:t xml:space="preserve">ontology_version</w:t>
      </w:r>
      <w:r>
        <w:t xml:space="preserve">), the Architecture Handbook version (</w:t>
      </w:r>
      <w:r>
        <w:rPr>
          <w:rStyle w:val="VerbatimChar"/>
        </w:rPr>
        <w:t xml:space="preserve">handbook_version</w:t>
      </w:r>
      <w:r>
        <w:t xml:space="preserve">), and the schema version (</w:t>
      </w:r>
      <w:r>
        <w:rPr>
          <w:rStyle w:val="VerbatimChar"/>
        </w:rPr>
        <w:t xml:space="preserve">schema_version</w:t>
      </w:r>
      <w:r>
        <w:t xml:space="preserve">).</w:t>
      </w:r>
    </w:p>
    <w:p>
      <w:pPr>
        <w:pStyle w:val="BodyText"/>
      </w:pPr>
      <w:r>
        <w:t xml:space="preserve">This guarantees long-term reproducibility and prevents documentation drift. A KPI computed from </w:t>
      </w:r>
      <w:r>
        <w:rPr>
          <w:rStyle w:val="VerbatimChar"/>
        </w:rPr>
        <w:t xml:space="preserve">cycle_events.csv v2.1.0</w:t>
      </w:r>
      <w:r>
        <w:t xml:space="preserve"> against </w:t>
      </w:r>
      <w:r>
        <w:rPr>
          <w:rStyle w:val="VerbatimChar"/>
        </w:rPr>
        <w:t xml:space="preserve">mineproductivity v1.3.0</w:t>
      </w:r>
      <w:r>
        <w:t xml:space="preserve"> must be reproducible five years later — because every artifact records exactly the context in which it was created. </w:t>
      </w:r>
      <w:r>
        <w:rPr>
          <w:bCs/>
          <w:b/>
        </w:rPr>
        <w:t xml:space="preserve">Enforcement.</w:t>
      </w:r>
      <w:r>
        <w:t xml:space="preserve"> The CI/CD pipeline rejects any artifact missing any of these five fields. The certification harness (Part VII) runs C-00 (traceability prerequisite) before any other certification check.</w:t>
      </w:r>
    </w:p>
    <w:bookmarkEnd w:id="173"/>
    <w:bookmarkStart w:id="174" w:name="Xbcc9625dbb696b2958ed14f133504f8ed11d6ed"/>
    <w:p>
      <w:pPr>
        <w:pStyle w:val="Heading3"/>
      </w:pPr>
      <w:bookmarkStart w:id="930129" w:name="_TocLBSv1_930129"/>
      <w:r>
        <w:t xml:space="preserve">Documentation Governance Rule #007 — Architecture Freeze &amp; Implementation Priority</w:t>
      </w:r>
      <w:bookmarkEnd w:id="930129"/>
    </w:p>
    <w:p>
      <w:pPr>
        <w:pStyle w:val="FirstParagraph"/>
      </w:pPr>
      <w:r>
        <w:rPr>
          <w:bCs/>
          <w:b/>
        </w:rPr>
        <w:t xml:space="preserve">The MineProductivity documentation set is now architecturally complete.</w:t>
      </w:r>
    </w:p>
    <w:p>
      <w:pPr>
        <w:pStyle w:val="BodyText"/>
      </w:pPr>
      <w:r>
        <w:t xml:space="preserve">Future documentation should be created only if it directly supports implementation, testing, operations, or user adoption.</w:t>
      </w:r>
    </w:p>
    <w:p>
      <w:pPr>
        <w:pStyle w:val="BodyText"/>
      </w:pPr>
      <w:r>
        <w:t xml:space="preserve">The Architecture Handbook, Reference Implementation Blueprint, Developer &amp; Cookbook Guide (Parts I–III), and Learning &amp; Benchmark Suite are </w:t>
      </w:r>
      <w:r>
        <w:rPr>
          <w:bCs/>
          <w:b/>
        </w:rPr>
        <w:t xml:space="preserve">governed artifacts</w:t>
      </w:r>
      <w:r>
        <w:t xml:space="preserve">. Structural changes require a formal Architecture Review Board submission. New knowledge should be added through </w:t>
      </w:r>
      <w:r>
        <w:rPr>
          <w:bCs/>
          <w:b/>
        </w:rPr>
        <w:t xml:space="preserve">versioned extensions</w:t>
      </w:r>
      <w:r>
        <w:t xml:space="preserve"> — datasets, notebooks, APIs, plugins, benchmarks, release notes, and implementation guides — not by expanding the core architecture.</w:t>
      </w:r>
    </w:p>
    <w:p>
      <w:pPr>
        <w:pStyle w:val="Warning"/>
      </w:pPr>
      <w:r>
        <w:rPr>
          <w:bCs/>
          <w:b/>
        </w:rPr>
        <w:t xml:space="preserve">Rule #007 is a commitment, not a suggestion.</w:t>
      </w:r>
      <w:r>
        <w:t xml:space="preserve"> It exists to prevent documentation paralysis. The five locked documents now constitute a complete, internally consistent specification. From this point forward, documentation serves the code — it does not delay it. The documentation has done its job. The software begins now.</w:t>
      </w:r>
    </w:p>
    <w:p>
      <w:pPr>
        <w:pStyle w:val="BodyText"/>
      </w:pPr>
      <w:r>
        <w:rPr>
          <w:bCs/>
          <w:b/>
        </w:rPr>
        <w:t xml:space="preserve">What Rule #007 enables.</w:t>
      </w:r>
      <w:r>
        <w:t xml:space="preserve"> The entire project energy now shifts to: running </w:t>
      </w:r>
      <w:r>
        <w:rPr>
          <w:rStyle w:val="VerbatimChar"/>
        </w:rPr>
        <w:t xml:space="preserve">generate_all.py</w:t>
      </w:r>
      <w:r>
        <w:t xml:space="preserve">, executing NB-01 through NB-10, passing the 12-item certification checklist, building and publishing the first </w:t>
      </w:r>
      <w:r>
        <w:rPr>
          <w:rStyle w:val="VerbatimChar"/>
        </w:rPr>
        <w:t xml:space="preserve">pip install mineproductivity</w:t>
      </w:r>
      <w:r>
        <w:t xml:space="preserve"> package, and growing the dataset and notebook library through the extension mechanism. Every future documentation artefact is a leaf node attached to the locked tree — not a new branch.</w:t>
      </w:r>
    </w:p>
    <w:p>
      <w:pPr>
        <w:pStyle w:val="ArchitectureInsight"/>
      </w:pPr>
      <w:r>
        <w:rPr>
          <w:bCs/>
          <w:b/>
        </w:rPr>
        <w:t xml:space="preserve">Architecture Insight — the governance stack is complete.</w:t>
      </w:r>
      <w:r>
        <w:t xml:space="preserve"> Rules #001–#005 (embedded in the earlier SSOT documents) govern the architecture, ontology, KPI semantics, and naming standard. Rule #006 governs artifact versioning and traceability. Rule #007 governs the boundary between architecture and implementation. Together they form a complete, coherent governance framework for an industrial open-source project — one that has a clear answer to “when is the architecture done?” The answer is: </w:t>
      </w:r>
      <w:r>
        <w:rPr>
          <w:bCs/>
          <w:b/>
        </w:rPr>
        <w:t xml:space="preserve">now</w:t>
      </w:r>
      <w:r>
        <w:t xml:space="preserve">.</w:t>
      </w:r>
    </w:p>
    <w:p>
      <w:pPr>
        <w:pStyle w:val="FurtherReading"/>
      </w:pPr>
      <w:r>
        <w:rPr>
          <w:bCs/>
          <w:b/>
        </w:rPr>
        <w:t xml:space="preserve">Further Reading.</w:t>
      </w:r>
      <w:r>
        <w:t xml:space="preserve"> Master Architecture Handbook (the ontology and event model behind every dataset schema); Reference Implementation Blueprint (the connector and engine API consumed by the notebooks); Developer &amp; Cookbook Guide Part I (installation and first pipeline); Part II (mining-domain concepts needed to interpret the datasets); Part III (the KPI Standard Library that the expected outputs validate).</w:t>
      </w:r>
    </w:p>
    <w:bookmarkEnd w:id="174"/>
    <w:bookmarkEnd w:id="175"/>
    <w:bookmarkEnd w:id="17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updateFields w:val="true"/>
  <w:stylePaneFormatFilter w:val="0004"/>
  <w:footnotePr>
    <w:footnote w:id="-1"/>
    <w:footnote w:id="0"/>
  </w:footnotePr>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rPr>
      <w:rFonts w:ascii="Liberation Serif" w:hAnsi="Liberation Serif"/>
      <w:sz w:val="22"/>
    </w:rPr>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Liberation Sans" w:asciiTheme="majorHAnsi" w:cstheme="majorBidi" w:eastAsiaTheme="majorEastAsia" w:hAnsi="Liberation Sans" w:hAnsiTheme="majorHAnsi"/>
      <w:b/>
      <w:bCs/>
      <w:color w:val="1F2A37"/>
      <w:sz w:val="52"/>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Liberation Sans" w:asciiTheme="majorHAnsi" w:cstheme="majorBidi" w:eastAsiaTheme="majorEastAsia" w:hAnsi="Liberation Sans" w:hAnsiTheme="majorHAnsi"/>
      <w:b/>
      <w:bCs/>
      <w:color w:val="1F2A37"/>
      <w:sz w:val="40"/>
      <w:szCs w:val="32"/>
    </w:rPr>
  </w:style>
  <w:style w:styleId="Heading2" w:type="paragraph">
    <w:name w:val="Heading 2"/>
    <w:basedOn w:val="Normal"/>
    <w:next w:val="BodyText"/>
    <w:uiPriority w:val="9"/>
    <w:unhideWhenUsed/>
    <w:qFormat/>
    <w:pPr>
      <w:keepNext/>
      <w:keepLines/>
      <w:spacing w:after="0" w:before="200"/>
      <w:outlineLvl w:val="1"/>
    </w:pPr>
    <w:rPr>
      <w:rFonts w:ascii="Liberation Sans" w:asciiTheme="majorHAnsi" w:cstheme="majorBidi" w:eastAsiaTheme="majorEastAsia" w:hAnsi="Liberation Sans" w:hAnsiTheme="majorHAnsi"/>
      <w:b/>
      <w:bCs/>
      <w:color w:val="2E5E8C"/>
      <w:sz w:val="32"/>
      <w:szCs w:val="28"/>
    </w:rPr>
  </w:style>
  <w:style w:styleId="Heading3" w:type="paragraph">
    <w:name w:val="Heading 3"/>
    <w:basedOn w:val="Normal"/>
    <w:next w:val="BodyText"/>
    <w:uiPriority w:val="9"/>
    <w:unhideWhenUsed/>
    <w:qFormat/>
    <w:pPr>
      <w:keepNext/>
      <w:keepLines/>
      <w:spacing w:after="0" w:before="200"/>
      <w:outlineLvl w:val="2"/>
    </w:pPr>
    <w:rPr>
      <w:rFonts w:ascii="Liberation Sans" w:asciiTheme="majorHAnsi" w:cstheme="majorBidi" w:eastAsiaTheme="majorEastAsia" w:hAnsi="Liberation Sans" w:hAnsiTheme="majorHAnsi"/>
      <w:b/>
      <w:bCs/>
      <w:color w:val="2F7E7E"/>
      <w:sz w:val="26"/>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ip" w:type="paragraph">
    <w:name w:val="Tip"/>
    <w:basedOn w:val="Normal"/>
    <w:pPr>
      <w:pBdr>
        <w:top w:color="3B7A57" w:space="6" w:sz="4" w:val="single"/>
        <w:left w:color="3B7A57" w:space="6" w:sz="24" w:val="single"/>
        <w:bottom w:color="3B7A57" w:space="6" w:sz="4" w:val="single"/>
        <w:right w:color="3B7A57" w:space="6" w:sz="4" w:val="single"/>
      </w:pBdr>
      <w:shd w:color="auto" w:fill="EAF4EE" w:val="clear"/>
      <w:spacing w:after="120" w:before="120"/>
      <w:ind w:left="150" w:right="120"/>
    </w:pPr>
    <w:rPr>
      <w:rFonts w:ascii="Liberation Sans" w:hAnsi="Liberation Sans"/>
      <w:sz w:val="20"/>
    </w:rPr>
  </w:style>
  <w:style w:customStyle="1" w:styleId="Warning" w:type="paragraph">
    <w:name w:val="Warning"/>
    <w:basedOn w:val="Normal"/>
    <w:pPr>
      <w:pBdr>
        <w:top w:color="9C6B1E" w:space="6" w:sz="4" w:val="single"/>
        <w:left w:color="9C6B1E" w:space="6" w:sz="24" w:val="single"/>
        <w:bottom w:color="9C6B1E" w:space="6" w:sz="4" w:val="single"/>
        <w:right w:color="9C6B1E" w:space="6" w:sz="4" w:val="single"/>
      </w:pBdr>
      <w:shd w:color="auto" w:fill="FBF3E5" w:val="clear"/>
      <w:spacing w:after="120" w:before="120"/>
      <w:ind w:left="150" w:right="120"/>
    </w:pPr>
    <w:rPr>
      <w:rFonts w:ascii="Liberation Sans" w:hAnsi="Liberation Sans"/>
      <w:sz w:val="20"/>
    </w:rPr>
  </w:style>
  <w:style w:customStyle="1" w:styleId="BestPractice" w:type="paragraph">
    <w:name w:val="Best Practice"/>
    <w:basedOn w:val="Normal"/>
    <w:pPr>
      <w:pBdr>
        <w:top w:color="2F7E7E" w:space="6" w:sz="4" w:val="single"/>
        <w:left w:color="2F7E7E" w:space="6" w:sz="24" w:val="single"/>
        <w:bottom w:color="2F7E7E" w:space="6" w:sz="4" w:val="single"/>
        <w:right w:color="2F7E7E" w:space="6" w:sz="4" w:val="single"/>
      </w:pBdr>
      <w:shd w:color="auto" w:fill="E6F2F2" w:val="clear"/>
      <w:spacing w:after="120" w:before="120"/>
      <w:ind w:left="150" w:right="120"/>
    </w:pPr>
    <w:rPr>
      <w:rFonts w:ascii="Liberation Sans" w:hAnsi="Liberation Sans"/>
      <w:sz w:val="20"/>
    </w:rPr>
  </w:style>
  <w:style w:customStyle="1" w:styleId="CommonMistake" w:type="paragraph">
    <w:name w:val="Common Mistake"/>
    <w:basedOn w:val="Normal"/>
    <w:pPr>
      <w:pBdr>
        <w:top w:color="9B3B3B" w:space="6" w:sz="4" w:val="single"/>
        <w:left w:color="9B3B3B" w:space="6" w:sz="24" w:val="single"/>
        <w:bottom w:color="9B3B3B" w:space="6" w:sz="4" w:val="single"/>
        <w:right w:color="9B3B3B" w:space="6" w:sz="4" w:val="single"/>
      </w:pBdr>
      <w:shd w:color="auto" w:fill="FBEAEA" w:val="clear"/>
      <w:spacing w:after="120" w:before="120"/>
      <w:ind w:left="150" w:right="120"/>
    </w:pPr>
    <w:rPr>
      <w:rFonts w:ascii="Liberation Sans" w:hAnsi="Liberation Sans"/>
      <w:sz w:val="20"/>
    </w:rPr>
  </w:style>
  <w:style w:customStyle="1" w:styleId="PerformanceNote" w:type="paragraph">
    <w:name w:val="Performance Note"/>
    <w:basedOn w:val="Normal"/>
    <w:pPr>
      <w:pBdr>
        <w:top w:color="3F4E9C" w:space="6" w:sz="4" w:val="single"/>
        <w:left w:color="3F4E9C" w:space="6" w:sz="24" w:val="single"/>
        <w:bottom w:color="3F4E9C" w:space="6" w:sz="4" w:val="single"/>
        <w:right w:color="3F4E9C" w:space="6" w:sz="4" w:val="single"/>
      </w:pBdr>
      <w:shd w:color="auto" w:fill="ECEEF8" w:val="clear"/>
      <w:spacing w:after="120" w:before="120"/>
      <w:ind w:left="150" w:right="120"/>
    </w:pPr>
    <w:rPr>
      <w:rFonts w:ascii="Liberation Sans" w:hAnsi="Liberation Sans"/>
      <w:sz w:val="20"/>
    </w:rPr>
  </w:style>
  <w:style w:customStyle="1" w:styleId="DidYouKnow" w:type="paragraph">
    <w:name w:val="Did You Know"/>
    <w:basedOn w:val="Normal"/>
    <w:pPr>
      <w:pBdr>
        <w:top w:color="6B4E9C" w:space="6" w:sz="4" w:val="single"/>
        <w:left w:color="6B4E9C" w:space="6" w:sz="24" w:val="single"/>
        <w:bottom w:color="6B4E9C" w:space="6" w:sz="4" w:val="single"/>
        <w:right w:color="6B4E9C" w:space="6" w:sz="4" w:val="single"/>
      </w:pBdr>
      <w:shd w:color="auto" w:fill="F0EBF7" w:val="clear"/>
      <w:spacing w:after="120" w:before="120"/>
      <w:ind w:left="150" w:right="120"/>
    </w:pPr>
    <w:rPr>
      <w:rFonts w:ascii="Liberation Sans" w:hAnsi="Liberation Sans"/>
      <w:sz w:val="20"/>
    </w:rPr>
  </w:style>
  <w:style w:customStyle="1" w:styleId="MiningInsight" w:type="paragraph">
    <w:name w:val="Mining Insight"/>
    <w:basedOn w:val="Normal"/>
    <w:pPr>
      <w:pBdr>
        <w:top w:color="8A5A2B" w:space="6" w:sz="4" w:val="single"/>
        <w:left w:color="8A5A2B" w:space="6" w:sz="24" w:val="single"/>
        <w:bottom w:color="8A5A2B" w:space="6" w:sz="4" w:val="single"/>
        <w:right w:color="8A5A2B" w:space="6" w:sz="4" w:val="single"/>
      </w:pBdr>
      <w:shd w:color="auto" w:fill="F5EDE2" w:val="clear"/>
      <w:spacing w:after="120" w:before="120"/>
      <w:ind w:left="150" w:right="120"/>
    </w:pPr>
    <w:rPr>
      <w:rFonts w:ascii="Liberation Sans" w:hAnsi="Liberation Sans"/>
      <w:sz w:val="20"/>
    </w:rPr>
  </w:style>
  <w:style w:customStyle="1" w:styleId="PythonInsight" w:type="paragraph">
    <w:name w:val="Python Insight"/>
    <w:basedOn w:val="Normal"/>
    <w:pPr>
      <w:pBdr>
        <w:top w:color="2E5E8C" w:space="6" w:sz="4" w:val="single"/>
        <w:left w:color="2E5E8C" w:space="6" w:sz="24" w:val="single"/>
        <w:bottom w:color="2E5E8C" w:space="6" w:sz="4" w:val="single"/>
        <w:right w:color="2E5E8C" w:space="6" w:sz="4" w:val="single"/>
      </w:pBdr>
      <w:shd w:color="auto" w:fill="EAF1F8" w:val="clear"/>
      <w:spacing w:after="120" w:before="120"/>
      <w:ind w:left="150" w:right="120"/>
    </w:pPr>
    <w:rPr>
      <w:rFonts w:ascii="Liberation Sans" w:hAnsi="Liberation Sans"/>
      <w:sz w:val="20"/>
    </w:rPr>
  </w:style>
  <w:style w:customStyle="1" w:styleId="ArchitectureInsight" w:type="paragraph">
    <w:name w:val="Architecture Insight"/>
    <w:basedOn w:val="Normal"/>
    <w:pPr>
      <w:pBdr>
        <w:top w:color="41607A" w:space="6" w:sz="4" w:val="single"/>
        <w:left w:color="41607A" w:space="6" w:sz="24" w:val="single"/>
        <w:bottom w:color="41607A" w:space="6" w:sz="4" w:val="single"/>
        <w:right w:color="41607A" w:space="6" w:sz="4" w:val="single"/>
      </w:pBdr>
      <w:shd w:color="auto" w:fill="ECF0F4" w:val="clear"/>
      <w:spacing w:after="120" w:before="120"/>
      <w:ind w:left="150" w:right="120"/>
    </w:pPr>
    <w:rPr>
      <w:rFonts w:ascii="Liberation Sans" w:hAnsi="Liberation Sans"/>
      <w:sz w:val="20"/>
    </w:rPr>
  </w:style>
  <w:style w:customStyle="1" w:styleId="AIContributorNote" w:type="paragraph">
    <w:name w:val="AI Contributor Note"/>
    <w:basedOn w:val="Normal"/>
    <w:pPr>
      <w:pBdr>
        <w:top w:color="7A3B6B" w:space="6" w:sz="4" w:val="single"/>
        <w:left w:color="7A3B6B" w:space="6" w:sz="24" w:val="single"/>
        <w:bottom w:color="7A3B6B" w:space="6" w:sz="4" w:val="single"/>
        <w:right w:color="7A3B6B" w:space="6" w:sz="4" w:val="single"/>
      </w:pBdr>
      <w:shd w:color="auto" w:fill="F6EAF1" w:val="clear"/>
      <w:spacing w:after="120" w:before="120"/>
      <w:ind w:left="150" w:right="120"/>
    </w:pPr>
    <w:rPr>
      <w:rFonts w:ascii="Liberation Sans" w:hAnsi="Liberation Sans"/>
      <w:sz w:val="20"/>
    </w:rPr>
  </w:style>
  <w:style w:customStyle="1" w:styleId="LearningObjectives" w:type="paragraph">
    <w:name w:val="Learning Objectives"/>
    <w:basedOn w:val="Normal"/>
    <w:pPr>
      <w:pBdr>
        <w:top w:color="1F5673" w:space="6" w:sz="4" w:val="single"/>
        <w:left w:color="1F5673" w:space="6" w:sz="24" w:val="single"/>
        <w:bottom w:color="1F5673" w:space="6" w:sz="4" w:val="single"/>
        <w:right w:color="1F5673" w:space="6" w:sz="4" w:val="single"/>
      </w:pBdr>
      <w:shd w:color="auto" w:fill="E3EEF4" w:val="clear"/>
      <w:spacing w:after="120" w:before="120"/>
      <w:ind w:left="150" w:right="120"/>
    </w:pPr>
    <w:rPr>
      <w:rFonts w:ascii="Liberation Sans" w:hAnsi="Liberation Sans"/>
      <w:sz w:val="20"/>
    </w:rPr>
  </w:style>
  <w:style w:customStyle="1" w:styleId="KeyConcepts" w:type="paragraph">
    <w:name w:val="Key Concepts"/>
    <w:basedOn w:val="Normal"/>
    <w:pPr>
      <w:pBdr>
        <w:top w:color="5B6470" w:space="6" w:sz="4" w:val="single"/>
        <w:left w:color="5B6470" w:space="6" w:sz="24" w:val="single"/>
        <w:bottom w:color="5B6470" w:space="6" w:sz="4" w:val="single"/>
        <w:right w:color="5B6470" w:space="6" w:sz="4" w:val="single"/>
      </w:pBdr>
      <w:shd w:color="auto" w:fill="EAECEF" w:val="clear"/>
      <w:spacing w:after="120" w:before="120"/>
      <w:ind w:left="150" w:right="120"/>
    </w:pPr>
    <w:rPr>
      <w:rFonts w:ascii="Liberation Sans" w:hAnsi="Liberation Sans"/>
      <w:sz w:val="20"/>
    </w:rPr>
  </w:style>
  <w:style w:customStyle="1" w:styleId="RealMineExample" w:type="paragraph">
    <w:name w:val="Real Mine Example"/>
    <w:basedOn w:val="Normal"/>
    <w:pPr>
      <w:pBdr>
        <w:top w:color="3E5C76" w:space="6" w:sz="4" w:val="single"/>
        <w:left w:color="3E5C76" w:space="6" w:sz="24" w:val="single"/>
        <w:bottom w:color="3E5C76" w:space="6" w:sz="4" w:val="single"/>
        <w:right w:color="3E5C76" w:space="6" w:sz="4" w:val="single"/>
      </w:pBdr>
      <w:shd w:color="auto" w:fill="E6ECF2" w:val="clear"/>
      <w:spacing w:after="120" w:before="120"/>
      <w:ind w:left="150" w:right="120"/>
    </w:pPr>
    <w:rPr>
      <w:rFonts w:ascii="Liberation Sans" w:hAnsi="Liberation Sans"/>
      <w:sz w:val="20"/>
    </w:rPr>
  </w:style>
  <w:style w:customStyle="1" w:styleId="DigitalTwinInsight" w:type="paragraph">
    <w:name w:val="Digital Twin Insight"/>
    <w:basedOn w:val="Normal"/>
    <w:pPr>
      <w:pBdr>
        <w:top w:color="2B7A7A" w:space="6" w:sz="4" w:val="single"/>
        <w:left w:color="2B7A7A" w:space="6" w:sz="24" w:val="single"/>
        <w:bottom w:color="2B7A7A" w:space="6" w:sz="4" w:val="single"/>
        <w:right w:color="2B7A7A" w:space="6" w:sz="4" w:val="single"/>
      </w:pBdr>
      <w:shd w:color="auto" w:fill="DCEFEF" w:val="clear"/>
      <w:spacing w:after="120" w:before="120"/>
      <w:ind w:left="150" w:right="120"/>
    </w:pPr>
    <w:rPr>
      <w:rFonts w:ascii="Liberation Sans" w:hAnsi="Liberation Sans"/>
      <w:sz w:val="20"/>
    </w:rPr>
  </w:style>
  <w:style w:type="paragraph" w:customStyle="1" w:styleId="FurtherReading">
    <w:name w:val="Further Reading"/>
    <w:basedOn w:val="BodyText"/>
    <w:qFormat/>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8f5902"/>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ce5c00"/>
      <w:shd w:val="clear" w:fill="f8f8f8"/>
      <w:b/>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204a87"/>
      <w:shd w:val="clear" w:fill="f8f8f8"/>
      <w:b/>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204a87"/>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Relationship Type="http://schemas.openxmlformats.org/officeDocument/2006/relationships/styles" Id="rId2" Target="styles.xml"/><Relationship Type="http://schemas.openxmlformats.org/officeDocument/2006/relationships/settings" Id="rId3" Target="settings.xml"/><Relationship Type="http://schemas.openxmlformats.org/officeDocument/2006/relationships/webSettings" Id="rId4" Target="webSettings.xml"/><Relationship Type="http://schemas.openxmlformats.org/officeDocument/2006/relationships/fontTable" Id="rId5" Target="fontTable.xml"/><Relationship Type="http://schemas.openxmlformats.org/officeDocument/2006/relationships/theme" Id="rId6" Target="theme/theme1.xml"/><Relationship Type="http://schemas.openxmlformats.org/officeDocument/2006/relationships/footnotes" Id="rId7" Target="footnotes.xml"/><Relationship Type="http://schemas.openxmlformats.org/officeDocument/2006/relationships/comments" Id="rId8" Target="comments.xml"/><Relationship Type="http://schemas.openxmlformats.org/officeDocument/2006/relationships/image" Id="rId147" Target="media/rId147.png"/><Relationship Type="http://schemas.openxmlformats.org/officeDocument/2006/relationships/image" Id="rId114" Target="media/rId114.png"/><Relationship Type="http://schemas.openxmlformats.org/officeDocument/2006/relationships/image" Id="rId84" Target="media/rId84.png"/><Relationship Type="http://schemas.openxmlformats.org/officeDocument/2006/relationships/image" Id="rId32" Target="media/rId32.png"/><Relationship Type="http://schemas.openxmlformats.org/officeDocument/2006/relationships/image" Id="rId28" Target="media/rId28.png"/><Relationship Type="http://schemas.openxmlformats.org/officeDocument/2006/relationships/image" Id="rId21" Target="media/rId21.png"/><Relationship Type="http://schemas.openxmlformats.org/officeDocument/2006/relationships/image" Id="rId63" Target="media/rId63.png"/><Relationship Type="http://schemas.openxmlformats.org/officeDocument/2006/relationships/image" Id="rId74" Target="media/rId74.png"/><Relationship Type="http://schemas.openxmlformats.org/officeDocument/2006/relationships/image" Id="rId128" Target="media/rId128.png"/></Relationships>
</file>

<file path=word/_rels/footnotes.xml.rels><?xml version="1.0" encoding="UTF-8"?><Relationships xmlns="http://schemas.openxmlformats.org/package/2006/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2026-07-01T14:07:25Z</dcterms:created>
  <dcterms:modified xsi:type="dcterms:W3CDTF">2026-07-01T14:07:25Z</dcterms:modified>
</cp:coreProperties>
</file>

<file path=docProps/custom.xml><?xml version="1.0" encoding="utf-8"?>
<Properties xmlns="http://schemas.openxmlformats.org/officeDocument/2006/custom-properties" xmlns:vt="http://schemas.openxmlformats.org/officeDocument/2006/docPropsVTypes"/>
</file>