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000"/>
      </w:pPr>
    </w:p>
    <w:p>
      <w:pPr>
        <w:spacing w:after="120" w:before="0"/>
        <w:jc w:val="center"/>
      </w:pPr>
      <w:r>
        <w:rPr>
          <w:rFonts w:ascii="Arial" w:cs="Arial" w:eastAsia="Arial" w:hAnsi="Arial"/>
          <w:b/>
          <w:bCs/>
          <w:color w:val="1F4E79"/>
          <w:sz w:val="72"/>
          <w:szCs w:val="72"/>
        </w:rPr>
        <w:t xml:space="preserve">sysnet-audit</w:t>
      </w:r>
    </w:p>
    <w:p>
      <w:pPr>
        <w:spacing w:after="60" w:before="0"/>
        <w:jc w:val="center"/>
      </w:pPr>
      <w:r>
        <w:rPr>
          <w:rFonts w:ascii="Arial" w:cs="Arial" w:eastAsia="Arial" w:hAnsi="Arial"/>
          <w:color w:val="2E75B6"/>
          <w:sz w:val="32"/>
          <w:szCs w:val="32"/>
        </w:rPr>
        <w:t xml:space="preserve">Sdílená knihovna pro auditní logování</w:t>
      </w:r>
    </w:p>
    <w:p>
      <w:pPr>
        <w:spacing w:after="800" w:before="0"/>
        <w:jc w:val="center"/>
      </w:pPr>
      <w:r>
        <w:rPr>
          <w:rFonts w:ascii="Arial" w:cs="Arial" w:eastAsia="Arial" w:hAnsi="Arial"/>
          <w:color w:val="595959"/>
          <w:sz w:val="24"/>
          <w:szCs w:val="24"/>
        </w:rPr>
        <w:t xml:space="preserve">Technická, uživatelská a manažerská dokumentace</w:t>
      </w:r>
    </w:p>
    <w:p>
      <w:pPr>
        <w:spacing w:after="40" w:before="0"/>
        <w:jc w:val="center"/>
      </w:pPr>
      <w:r>
        <w:rPr>
          <w:rFonts w:ascii="Arial" w:cs="Arial" w:eastAsia="Arial" w:hAnsi="Arial"/>
          <w:color w:val="595959"/>
          <w:sz w:val="22"/>
          <w:szCs w:val="22"/>
        </w:rPr>
        <w:t xml:space="preserve">SYSNET s.r.o.</w:t>
      </w:r>
    </w:p>
    <w:p>
      <w:pPr>
        <w:spacing w:after="0" w:before="0"/>
        <w:jc w:val="center"/>
      </w:pPr>
      <w:r>
        <w:rPr>
          <w:rFonts w:ascii="Arial" w:cs="Arial" w:eastAsia="Arial" w:hAnsi="Arial"/>
          <w:color w:val="595959"/>
          <w:sz w:val="22"/>
          <w:szCs w:val="22"/>
        </w:rPr>
        <w:t xml:space="preserve">Verze 0.2.0  ·  Duben 2026</w:t>
      </w:r>
    </w:p>
    <w:p>
      <w:r>
        <w:br w:type="page"/>
      </w:r>
    </w:p>
    <w:p>
      <w:pPr>
        <w:pStyle w:val="Heading1"/>
        <w:pBdr>
          <w:bottom w:val="single" w:color="2E75B6" w:sz="4" w:space="2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1  Manažerský přehled</w:t>
      </w: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1.1  Proč tato knihovna vznikla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Každá mikroslužba v ekosystému SYSNET potřebuje zaznamenávat bezpečnostně relevantní události: kdo co provedl, na jakém zdroji a kdy. Bez sdíleného řešení se tato logika duplikuje v každé službě zvlášť — různé formáty, různá úložiště, různá kvalita záznamu.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Knihovna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sysnet-audit</w:t>
      </w:r>
      <w:r>
        <w:rPr>
          <w:rFonts w:ascii="Arial" w:cs="Arial" w:eastAsia="Arial" w:hAnsi="Arial"/>
          <w:sz w:val="22"/>
          <w:szCs w:val="22"/>
        </w:rPr>
        <w:t xml:space="preserve"> poskytuje jednotné, auditovatelné a rozšiřitelné řešení. Vznikla jako samostatný balíček záměrně — aby nezatěžovala jiné knihovny (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auth_lib</w:t>
      </w:r>
      <w:r>
        <w:rPr>
          <w:rFonts w:ascii="Arial" w:cs="Arial" w:eastAsia="Arial" w:hAnsi="Arial"/>
          <w:sz w:val="22"/>
          <w:szCs w:val="22"/>
        </w:rPr>
        <w:t xml:space="preserve">,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sysnet-pyutils</w:t>
      </w:r>
      <w:r>
        <w:rPr>
          <w:rFonts w:ascii="Arial" w:cs="Arial" w:eastAsia="Arial" w:hAnsi="Arial"/>
          <w:sz w:val="22"/>
          <w:szCs w:val="22"/>
        </w:rPr>
        <w:t xml:space="preserve">) a mohla se verzovat nezávisle.</w:t>
      </w: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1.2  Co knihovna řeší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Sjednocený formát záznamu: </w:t>
      </w:r>
      <w:r>
        <w:rPr>
          <w:rFonts w:ascii="Arial" w:cs="Arial" w:eastAsia="Arial" w:hAnsi="Arial"/>
          <w:sz w:val="22"/>
          <w:szCs w:val="22"/>
        </w:rPr>
        <w:t xml:space="preserve">každý auditní záznam obsahuje identitu aktéra, provedenou akci, dotčený zdroj, název mikroslužby, časové razítko a volitelná metadata.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Pluggable backend: </w:t>
      </w:r>
      <w:r>
        <w:rPr>
          <w:rFonts w:ascii="Arial" w:cs="Arial" w:eastAsia="Arial" w:hAnsi="Arial"/>
          <w:sz w:val="22"/>
          <w:szCs w:val="22"/>
        </w:rPr>
        <w:t xml:space="preserve">produkce zapisuje do MongoDB, vývojové prostředí zahazuje záznamy (NullBackend), budoucí backend může posílat záznamy do Kafka nebo SIEM.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Topologie B — dual-write: </w:t>
      </w:r>
      <w:r>
        <w:rPr>
          <w:rFonts w:ascii="Arial" w:cs="Arial" w:eastAsia="Arial" w:hAnsi="Arial"/>
          <w:sz w:val="22"/>
          <w:szCs w:val="22"/>
        </w:rPr>
        <w:t xml:space="preserve">MongoDB je primární úložiště, Kafka přijímá záznamy best-effort pro downstream systémy (SIEM, log collector). Selhání Kafka neohrozí transakci.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FastAPI integrace: </w:t>
      </w:r>
      <w:r>
        <w:rPr>
          <w:rFonts w:ascii="Arial" w:cs="Arial" w:eastAsia="Arial" w:hAnsi="Arial"/>
          <w:sz w:val="22"/>
          <w:szCs w:val="22"/>
        </w:rPr>
        <w:t xml:space="preserve">dependency injection bez boilerplate kódu v každém endpointu.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Izolace od auth knihovny: </w:t>
      </w:r>
      <w:r>
        <w:rPr>
          <w:rFonts w:ascii="Arial" w:cs="Arial" w:eastAsia="Arial" w:hAnsi="Arial"/>
          <w:sz w:val="22"/>
          <w:szCs w:val="22"/>
        </w:rPr>
        <w:t xml:space="preserve">knihovna nezná Keycloak ani JWT. Konverze identity aktéra je zodpovědností konzumující mikroslužby.</w:t>
      </w: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1.3  Byznys hodnota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Compliance: </w:t>
      </w:r>
      <w:r>
        <w:rPr>
          <w:rFonts w:ascii="Arial" w:cs="Arial" w:eastAsia="Arial" w:hAnsi="Arial"/>
          <w:sz w:val="22"/>
          <w:szCs w:val="22"/>
        </w:rPr>
        <w:t xml:space="preserve">GDPR, ISO 27001, interní bezpečnostní politiky vyžadují prokazatelný záznam o přístupu k citlivým datům a jejich modifikaci.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Forenzní analýza: </w:t>
      </w:r>
      <w:r>
        <w:rPr>
          <w:rFonts w:ascii="Arial" w:cs="Arial" w:eastAsia="Arial" w:hAnsi="Arial"/>
          <w:sz w:val="22"/>
          <w:szCs w:val="22"/>
        </w:rPr>
        <w:t xml:space="preserve">při bezpečnostním incidentu lze rekonstruovat sled událostí — kdo, co, kdy, odkud.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Provozní přehled: </w:t>
      </w:r>
      <w:r>
        <w:rPr>
          <w:rFonts w:ascii="Arial" w:cs="Arial" w:eastAsia="Arial" w:hAnsi="Arial"/>
          <w:sz w:val="22"/>
          <w:szCs w:val="22"/>
        </w:rPr>
        <w:t xml:space="preserve">monitoring neobvyklého chování uživatelů nebo služeb.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Auditní stopa: </w:t>
      </w:r>
      <w:r>
        <w:rPr>
          <w:rFonts w:ascii="Arial" w:cs="Arial" w:eastAsia="Arial" w:hAnsi="Arial"/>
          <w:sz w:val="22"/>
          <w:szCs w:val="22"/>
        </w:rPr>
        <w:t xml:space="preserve">nezměnitelný záznam operací nad citlivými zdroji (smlouvy, uživatelské účty, finanční data).</w:t>
      </w:r>
    </w:p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1.4  Klíčová architektonická rozhodnutí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00"/>
        <w:gridCol w:w="5860"/>
      </w:tblGrid>
      <w:tr>
        <w:trPr>
          <w:tblHeader/>
        </w:trPr>
        <w:tc>
          <w:tcPr>
            <w:tcW w:type="dxa" w:w="31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Rozhodnutí</w:t>
            </w:r>
          </w:p>
        </w:tc>
        <w:tc>
          <w:tcPr>
            <w:tcW w:type="dxa" w:w="58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Zdůvodnění</w:t>
            </w:r>
          </w:p>
        </w:tc>
      </w:tr>
      <w:tr>
        <w:tc>
          <w:tcPr>
            <w:tcW w:type="dxa" w:w="31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Samostatný balíček</w:t>
            </w:r>
          </w:p>
        </w:tc>
        <w:tc>
          <w:tcPr>
            <w:tcW w:type="dxa" w:w="58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Čistý závislostní graf, nezávislé verzování, žádný circular import</w:t>
            </w:r>
          </w:p>
        </w:tc>
      </w:tr>
      <w:tr>
        <w:tc>
          <w:tcPr>
            <w:tcW w:type="dxa" w:w="31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AuditActor nezná AuthenticatedUser</w:t>
            </w:r>
          </w:p>
        </w:tc>
        <w:tc>
          <w:tcPr>
            <w:tcW w:type="dxa" w:w="58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Použitelné s Keycloak, API klíči i mTLS bez změny knihovny</w:t>
            </w:r>
          </w:p>
        </w:tc>
      </w:tr>
      <w:tr>
        <w:tc>
          <w:tcPr>
            <w:tcW w:type="dxa" w:w="31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Beanie 2.x jako ODM</w:t>
            </w:r>
          </w:p>
        </w:tc>
        <w:tc>
          <w:tcPr>
            <w:tcW w:type="dxa" w:w="58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Async, nativní Pydantic v2 integrace, přímý přístup přes pymongo &gt;= 4.9</w:t>
            </w:r>
          </w:p>
        </w:tc>
      </w:tr>
      <w:tr>
        <w:tc>
          <w:tcPr>
            <w:tcW w:type="dxa" w:w="31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Backend jako ABC</w:t>
            </w:r>
          </w:p>
        </w:tc>
        <w:tc>
          <w:tcPr>
            <w:tcW w:type="dxa" w:w="58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NullBackend pro testy bez MongoDB, rozšiřitelné o Kafka/SIEM</w:t>
            </w:r>
          </w:p>
        </w:tc>
      </w:tr>
      <w:tr>
        <w:tc>
          <w:tcPr>
            <w:tcW w:type="dxa" w:w="31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MongoDB v samostatné databázi</w:t>
            </w:r>
          </w:p>
        </w:tc>
        <w:tc>
          <w:tcPr>
            <w:tcW w:type="dxa" w:w="58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Izolace oprávnění, nezávislý retenční cyklus, compliance</w:t>
            </w:r>
          </w:p>
        </w:tc>
      </w:tr>
      <w:tr>
        <w:tc>
          <w:tcPr>
            <w:tcW w:type="dxa" w:w="31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Topologie B — dual-write</w:t>
            </w:r>
          </w:p>
        </w:tc>
        <w:tc>
          <w:tcPr>
            <w:tcW w:type="dxa" w:w="58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MongoDB garantuje persistenci, Kafka je best-effort transport do SIEM</w:t>
            </w:r>
          </w:p>
        </w:tc>
      </w:tr>
    </w:tbl>
    <w:p>
      <w:pPr>
        <w:spacing w:after="80" w:before="80"/>
      </w:pPr>
    </w:p>
    <w:p>
      <w:r>
        <w:br w:type="page"/>
      </w:r>
    </w:p>
    <w:p>
      <w:pPr>
        <w:pStyle w:val="Heading1"/>
        <w:pBdr>
          <w:bottom w:val="single" w:color="2E75B6" w:sz="4" w:space="2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2  Uživatelská dokumentace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Tato sekce je určena vývojářům mikroslužeb, kteří knihovnu integrují do svých FastAPI aplikací.</w:t>
      </w: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2.1  Instalace</w:t>
      </w:r>
    </w:p>
    <w:p>
      <w:pPr>
        <w:spacing w:after="80" w:before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Základní instalace (bez Kafka):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sysnet-audit @ git+ssh://git@github.com/SYSNET-CZ/audit.git@v0.2.0</w:t>
      </w:r>
    </w:p>
    <w:p>
      <w:pPr>
        <w:spacing w:after="80" w:before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 Kafka backbendem (Topologie B):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sysnet-audit[kafka] @ git+ssh://git@github.com/SYSNET-CZ/audit.git@v0.2.0</w:t>
      </w:r>
    </w:p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2.2  Proměnné prostředí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2400"/>
        <w:gridCol w:w="3560"/>
      </w:tblGrid>
      <w:tr>
        <w:trPr>
          <w:tblHeader/>
        </w:trP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Proměnná</w:t>
            </w:r>
          </w:p>
        </w:tc>
        <w:tc>
          <w:tcPr>
            <w:tcW w:type="dxa" w:w="2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Výchozí hodnota</w:t>
            </w:r>
          </w:p>
        </w:tc>
        <w:tc>
          <w:tcPr>
            <w:tcW w:type="dxa" w:w="35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Popis</w:t>
            </w:r>
          </w:p>
        </w:tc>
      </w:tr>
      <w:t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AUDIT_SERVICE_NAME</w:t>
            </w:r>
          </w:p>
        </w:tc>
        <w:tc>
          <w:tcPr>
            <w:tcW w:type="dxa" w:w="2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—  (povinné)</w:t>
            </w:r>
          </w:p>
        </w:tc>
        <w:tc>
          <w:tcPr>
            <w:tcW w:type="dxa" w:w="35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Identifikace mikroslužby v každém záznamu</w:t>
            </w:r>
          </w:p>
        </w:tc>
      </w:tr>
      <w:t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AUDIT_MONGO_URI</w:t>
            </w:r>
          </w:p>
        </w:tc>
        <w:tc>
          <w:tcPr>
            <w:tcW w:type="dxa" w:w="2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mongodb://localhost:27017</w:t>
            </w:r>
          </w:p>
        </w:tc>
        <w:tc>
          <w:tcPr>
            <w:tcW w:type="dxa" w:w="35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Connection string auditní MongoDB</w:t>
            </w:r>
          </w:p>
        </w:tc>
      </w:tr>
      <w:t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AUDIT_MONGO_DB</w:t>
            </w:r>
          </w:p>
        </w:tc>
        <w:tc>
          <w:tcPr>
            <w:tcW w:type="dxa" w:w="2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</w:t>
            </w:r>
          </w:p>
        </w:tc>
        <w:tc>
          <w:tcPr>
            <w:tcW w:type="dxa" w:w="35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Název auditní databáze</w:t>
            </w:r>
          </w:p>
        </w:tc>
      </w:tr>
      <w:t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AUDIT_ENABLED</w:t>
            </w:r>
          </w:p>
        </w:tc>
        <w:tc>
          <w:tcPr>
            <w:tcW w:type="dxa" w:w="2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true</w:t>
            </w:r>
          </w:p>
        </w:tc>
        <w:tc>
          <w:tcPr>
            <w:tcW w:type="dxa" w:w="35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false = NullBackend, žádné I/O</w:t>
            </w:r>
          </w:p>
        </w:tc>
      </w:tr>
      <w:t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AUDIT_KAFKA_BOOTSTRAP_SERVERS</w:t>
            </w:r>
          </w:p>
        </w:tc>
        <w:tc>
          <w:tcPr>
            <w:tcW w:type="dxa" w:w="2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—  (nepovinné)</w:t>
            </w:r>
          </w:p>
        </w:tc>
        <w:tc>
          <w:tcPr>
            <w:tcW w:type="dxa" w:w="35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Aktivuje Topologii B, např. kafka:9092</w:t>
            </w:r>
          </w:p>
        </w:tc>
      </w:tr>
      <w:t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AUDIT_KAFKA_TOPIC</w:t>
            </w:r>
          </w:p>
        </w:tc>
        <w:tc>
          <w:tcPr>
            <w:tcW w:type="dxa" w:w="2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audit-events</w:t>
            </w:r>
          </w:p>
        </w:tc>
        <w:tc>
          <w:tcPr>
            <w:tcW w:type="dxa" w:w="35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Název Kafka topicu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⚠ 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AUDIT_SERVICE_NAME</w:t>
      </w:r>
      <w:r>
        <w:rPr>
          <w:rFonts w:ascii="Arial" w:cs="Arial" w:eastAsia="Arial" w:hAnsi="Arial"/>
          <w:sz w:val="22"/>
          <w:szCs w:val="22"/>
        </w:rPr>
        <w:t xml:space="preserve"> nemá výchozí hodnotu. Chybějící proměnná způsobí selhání při startu aplikace — záměrně, aby se nezapisovaly záznamy bez identifikace zdroje.</w:t>
      </w:r>
    </w:p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2.3  Inicializace v FastAPI lifespan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from contextlib import asynccontextmanager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from fastapi import FastAPI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from audit_lib import init_audit, get_audit_backend, AuditSettings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@asynccontextmanager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async def lifespan(app: FastAPI):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settings = AuditSettings()               # čte proměnné prostředí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client = await init_audit(settings)       # Beanie + backend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yield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await get_audit_backend().aclose()        # Kafka producer (no-op bez Kafka)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if client is not None: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    await client.aclose()                 # MongoDB spojení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app = FastAPI(lifespan=lifespan)</w:t>
      </w:r>
    </w:p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2.4  Záznam auditní události v endpointu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from fastapi import Depends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from audit_lib import AuditLogger, AuditActor, AuditResource, get_audit_logger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@app.delete('/users/{user_id}')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async def delete_user(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user_id: str,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current_user: AuthenticatedUser = Depends(get_current_user),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audit: AuditLogger = Depends(get_audit_logger),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):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actor = AuditActor(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    sub=current_user.sub,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    username=current_user.username,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    email=current_user.email,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await audit.log(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    actor=actor,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    action='user.delete',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    resource=AuditResource(type='user', id=user_id),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    metadata={'reason': 'admin request'},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)</w:t>
      </w:r>
    </w:p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2.5  Datové modely</w:t>
      </w:r>
    </w:p>
    <w:p>
      <w:pPr>
        <w:pStyle w:val="Heading3"/>
        <w:spacing w:after="80" w:before="16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AuditActor — kdo akci provedl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Generický aktér nezávislý na auth mechanismu (Keycloak, API klíče, mTLS, ...).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actor = AuditActor(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sub='user-uuid-123',    # povinné — unikátní identifikátor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username='jan.novak',   # volitelné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email='jan@sysnet.cz', # volitelné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)</w:t>
      </w:r>
    </w:p>
    <w:p>
      <w:pPr>
        <w:pStyle w:val="Heading3"/>
        <w:spacing w:after="80" w:before="16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AuditResource — na čem byla akce provedena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resource = AuditResource(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type='document',        # povinné — typ zdroje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id='doc-99',            # volitelné — konkrétní ID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label='Smlouva č. 42', # volitelné — human-readable popis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)</w:t>
      </w:r>
    </w:p>
    <w:p>
      <w:pPr>
        <w:pStyle w:val="Heading3"/>
        <w:spacing w:after="80" w:before="16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Parametry AuditLogger.log()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200"/>
        <w:gridCol w:w="4560"/>
      </w:tblGrid>
      <w:tr>
        <w:trPr>
          <w:tblHeader/>
        </w:trPr>
        <w:tc>
          <w:tcPr>
            <w:tcW w:type="dxa" w:w="22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Parametr</w:t>
            </w:r>
          </w:p>
        </w:tc>
        <w:tc>
          <w:tcPr>
            <w:tcW w:type="dxa" w:w="22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</w:t>
            </w:r>
          </w:p>
        </w:tc>
        <w:tc>
          <w:tcPr>
            <w:tcW w:type="dxa" w:w="45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Popis</w:t>
            </w:r>
          </w:p>
        </w:tc>
      </w:tr>
      <w:tr>
        <w:tc>
          <w:tcPr>
            <w:tcW w:type="dxa" w:w="22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actor</w:t>
            </w:r>
          </w:p>
        </w:tc>
        <w:tc>
          <w:tcPr>
            <w:tcW w:type="dxa" w:w="22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AuditActor  (povinné)</w:t>
            </w:r>
          </w:p>
        </w:tc>
        <w:tc>
          <w:tcPr>
            <w:tcW w:type="dxa" w:w="45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Kdo akci provedl</w:t>
            </w:r>
          </w:p>
        </w:tc>
      </w:tr>
      <w:tr>
        <w:tc>
          <w:tcPr>
            <w:tcW w:type="dxa" w:w="22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action</w:t>
            </w:r>
          </w:p>
        </w:tc>
        <w:tc>
          <w:tcPr>
            <w:tcW w:type="dxa" w:w="22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str  (povinné)</w:t>
            </w:r>
          </w:p>
        </w:tc>
        <w:tc>
          <w:tcPr>
            <w:tcW w:type="dxa" w:w="45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Co bylo provedeno, formát 'zdroj.akce', např. user.delete</w:t>
            </w:r>
          </w:p>
        </w:tc>
      </w:tr>
      <w:tr>
        <w:tc>
          <w:tcPr>
            <w:tcW w:type="dxa" w:w="22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resource</w:t>
            </w:r>
          </w:p>
        </w:tc>
        <w:tc>
          <w:tcPr>
            <w:tcW w:type="dxa" w:w="22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AuditResource  (volitelné)</w:t>
            </w:r>
          </w:p>
        </w:tc>
        <w:tc>
          <w:tcPr>
            <w:tcW w:type="dxa" w:w="45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Na jakém zdroji; None pokud není relevantní</w:t>
            </w:r>
          </w:p>
        </w:tc>
      </w:tr>
      <w:tr>
        <w:tc>
          <w:tcPr>
            <w:tcW w:type="dxa" w:w="22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request_id</w:t>
            </w:r>
          </w:p>
        </w:tc>
        <w:tc>
          <w:tcPr>
            <w:tcW w:type="dxa" w:w="22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str  (volitelné)</w:t>
            </w:r>
          </w:p>
        </w:tc>
        <w:tc>
          <w:tcPr>
            <w:tcW w:type="dxa" w:w="45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Correlation ID z HTTP hlavičky X-Request-ID</w:t>
            </w:r>
          </w:p>
        </w:tc>
      </w:tr>
      <w:tr>
        <w:tc>
          <w:tcPr>
            <w:tcW w:type="dxa" w:w="22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metadata</w:t>
            </w:r>
          </w:p>
        </w:tc>
        <w:tc>
          <w:tcPr>
            <w:tcW w:type="dxa" w:w="22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dict  (volitelné)</w:t>
            </w:r>
          </w:p>
        </w:tc>
        <w:tc>
          <w:tcPr>
            <w:tcW w:type="dxa" w:w="45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Libovolná doplňující data, např. {'ip': '10.0.0.1'}</w:t>
            </w:r>
          </w:p>
        </w:tc>
      </w:tr>
    </w:tbl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2.6  Chování při chybách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Auditní selhání nikdy neohrozí byznys transakci: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I/O chyba backendu</w:t>
      </w:r>
      <w:r>
        <w:rPr>
          <w:rFonts w:ascii="Arial" w:cs="Arial" w:eastAsia="Arial" w:hAnsi="Arial"/>
          <w:sz w:val="22"/>
          <w:szCs w:val="22"/>
        </w:rPr>
        <w:t xml:space="preserve"> (MongoDB nedostupné): loguje ERROR, výjimka se nepropaguje do endpointu.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Selhání Kafka</w:t>
      </w:r>
      <w:r>
        <w:rPr>
          <w:rFonts w:ascii="Arial" w:cs="Arial" w:eastAsia="Arial" w:hAnsi="Arial"/>
          <w:sz w:val="22"/>
          <w:szCs w:val="22"/>
        </w:rPr>
        <w:t xml:space="preserve"> (Topologie B): loguje ERROR, MongoDB zápis již proběhl.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Chybný action</w:t>
      </w:r>
      <w:r>
        <w:rPr>
          <w:rFonts w:ascii="Arial" w:cs="Arial" w:eastAsia="Arial" w:hAnsi="Arial"/>
          <w:sz w:val="22"/>
          <w:szCs w:val="22"/>
        </w:rPr>
        <w:t xml:space="preserve"> (prázdný řetězec):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ValidationError</w:t>
      </w:r>
      <w:r>
        <w:rPr>
          <w:rFonts w:ascii="Arial" w:cs="Arial" w:eastAsia="Arial" w:hAnsi="Arial"/>
          <w:sz w:val="22"/>
          <w:szCs w:val="22"/>
        </w:rPr>
        <w:t xml:space="preserve"> se propaguje — jde o programátorskou chybu.</w:t>
      </w: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2.7  Integrace v testech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import pytest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from audit_lib import configure_audit, reset_audit, NullAuditBackend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@pytest.fixture(autouse=True)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def audit_setup():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configure_audit(backend=NullAuditBackend(), service_name='test-svc')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yield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reset_audit()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Funkce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reset_audit()</w:t>
      </w:r>
      <w:r>
        <w:rPr>
          <w:rFonts w:ascii="Arial" w:cs="Arial" w:eastAsia="Arial" w:hAnsi="Arial"/>
          <w:sz w:val="22"/>
          <w:szCs w:val="22"/>
        </w:rPr>
        <w:t xml:space="preserve"> vrátí globální stav do výchozího. Nepoužívej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AUDIT_SERVICE_NAME</w:t>
      </w:r>
      <w:r>
        <w:rPr>
          <w:rFonts w:ascii="Arial" w:cs="Arial" w:eastAsia="Arial" w:hAnsi="Arial"/>
          <w:sz w:val="22"/>
          <w:szCs w:val="22"/>
        </w:rPr>
        <w:t xml:space="preserve"> v testovacím prostředí — explicitní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service_name=</w:t>
      </w:r>
      <w:r>
        <w:rPr>
          <w:rFonts w:ascii="Arial" w:cs="Arial" w:eastAsia="Arial" w:hAnsi="Arial"/>
          <w:sz w:val="22"/>
          <w:szCs w:val="22"/>
        </w:rPr>
        <w:t xml:space="preserve"> parametr zabrání čtení env proměnných.</w:t>
      </w:r>
    </w:p>
    <w:p>
      <w:pPr>
        <w:spacing w:after="80" w:before="80"/>
      </w:pPr>
    </w:p>
    <w:p>
      <w:r>
        <w:br w:type="page"/>
      </w:r>
    </w:p>
    <w:p>
      <w:pPr>
        <w:pStyle w:val="Heading1"/>
        <w:pBdr>
          <w:bottom w:val="single" w:color="2E75B6" w:sz="4" w:space="2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3  Technická dokumentace</w:t>
      </w: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3.1  Architektura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360"/>
      </w:tblGrid>
      <w:tr>
        <w:trPr>
          <w:tblHeader/>
        </w:trP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Modul</w:t>
            </w:r>
          </w:p>
        </w:tc>
        <w:tc>
          <w:tcPr>
            <w:tcW w:type="dxa" w:w="63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Zodpovědnost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audit_lib.models</w:t>
            </w:r>
          </w:p>
        </w:tc>
        <w:tc>
          <w:tcPr>
            <w:tcW w:type="dxa" w:w="63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AuditActor, AuditResource, AuditEntry (Beanie Document, kolekce audit_log)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audit_lib.logger</w:t>
            </w:r>
          </w:p>
        </w:tc>
        <w:tc>
          <w:tcPr>
            <w:tcW w:type="dxa" w:w="63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AuditLogger — fasáda, sestaví AuditEntry a deleguje na backend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audit_lib.backends.base</w:t>
            </w:r>
          </w:p>
        </w:tc>
        <w:tc>
          <w:tcPr>
            <w:tcW w:type="dxa" w:w="63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AuditBackend ABC — store() + aclose() s default no-op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audit_lib.backends.mongodb</w:t>
            </w:r>
          </w:p>
        </w:tc>
        <w:tc>
          <w:tcPr>
            <w:tcW w:type="dxa" w:w="63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MongoAuditBackend — persistuje přes Beanie/pymongo async API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audit_lib.backends.null</w:t>
            </w:r>
          </w:p>
        </w:tc>
        <w:tc>
          <w:tcPr>
            <w:tcW w:type="dxa" w:w="63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NullAuditBackend — zahazuje záznamy (testy, dev, AUDIT_ENABLED=false)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audit_lib.backends.kafka</w:t>
            </w:r>
          </w:p>
        </w:tc>
        <w:tc>
          <w:tcPr>
            <w:tcW w:type="dxa" w:w="63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KafkaAuditBackend — serializuje JSON, posílá do Kafka (aiokafka)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audit_lib.backends.composite</w:t>
            </w:r>
          </w:p>
        </w:tc>
        <w:tc>
          <w:tcPr>
            <w:tcW w:type="dxa" w:w="63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CompositeAuditBackend — dual-write s politikou selhání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audit_lib.dependencies</w:t>
            </w:r>
          </w:p>
        </w:tc>
        <w:tc>
          <w:tcPr>
            <w:tcW w:type="dxa" w:w="63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FastAPI DI: configure_audit, init_audit, get_audit_logger, get_audit_backend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audit_lib.settings</w:t>
            </w:r>
          </w:p>
        </w:tc>
        <w:tc>
          <w:tcPr>
            <w:tcW w:type="dxa" w:w="63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AuditSettings — pydantic-settings, prefix AUDIT_</w:t>
            </w:r>
          </w:p>
        </w:tc>
      </w:tr>
    </w:tbl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3.2  Závislostní graf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Kritické pravidlo: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sysnet-audit nezávisí na auth_lib</w:t>
      </w:r>
      <w:r>
        <w:rPr>
          <w:rFonts w:ascii="Arial" w:cs="Arial" w:eastAsia="Arial" w:hAnsi="Arial"/>
          <w:sz w:val="22"/>
          <w:szCs w:val="22"/>
        </w:rPr>
        <w:t xml:space="preserve">. Eliminuje circular import a umožňuje použití s jakýmkoliv auth mechanismem.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sysnet-pyutils          (bázová, nulové interní závislosti)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  ^         ^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  |         |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auth_lib   sysnet-audit   (navzájem nezávislé)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Konverze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AuthenticatedUser</w:t>
      </w:r>
      <w:r>
        <w:rPr>
          <w:rFonts w:ascii="Arial" w:cs="Arial" w:eastAsia="Arial" w:hAnsi="Arial"/>
          <w:sz w:val="22"/>
          <w:szCs w:val="22"/>
        </w:rPr>
        <w:t xml:space="preserve"> →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AuditActor</w:t>
      </w:r>
      <w:r>
        <w:rPr>
          <w:rFonts w:ascii="Arial" w:cs="Arial" w:eastAsia="Arial" w:hAnsi="Arial"/>
          <w:sz w:val="22"/>
          <w:szCs w:val="22"/>
        </w:rPr>
        <w:t xml:space="preserve"> je zodpovědností konzumující mikroslužby, ne knihovny.</w:t>
      </w:r>
    </w:p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3.3  Datový model — MongoDB dokument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Databáze: konfigurovatelná přes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AUDIT_MONGO_DB</w:t>
      </w:r>
      <w:r>
        <w:rPr>
          <w:rFonts w:ascii="Arial" w:cs="Arial" w:eastAsia="Arial" w:hAnsi="Arial"/>
          <w:sz w:val="22"/>
          <w:szCs w:val="22"/>
        </w:rPr>
        <w:t xml:space="preserve"> (default: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audit</w:t>
      </w:r>
      <w:r>
        <w:rPr>
          <w:rFonts w:ascii="Arial" w:cs="Arial" w:eastAsia="Arial" w:hAnsi="Arial"/>
          <w:sz w:val="22"/>
          <w:szCs w:val="22"/>
        </w:rPr>
        <w:t xml:space="preserve">). Kolekce: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audit_log</w:t>
      </w:r>
      <w:r>
        <w:rPr>
          <w:rFonts w:ascii="Arial" w:cs="Arial" w:eastAsia="Arial" w:hAnsi="Arial"/>
          <w:sz w:val="22"/>
          <w:szCs w:val="22"/>
        </w:rPr>
        <w:t xml:space="preserve"> — pevně dáno v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AuditEntry.Settings.name</w:t>
      </w:r>
      <w:r>
        <w:rPr>
          <w:rFonts w:ascii="Arial" w:cs="Arial" w:eastAsia="Arial" w:hAnsi="Arial"/>
          <w:sz w:val="22"/>
          <w:szCs w:val="22"/>
        </w:rPr>
        <w:t xml:space="preserve">.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{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'_id':        ObjectId('...'),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'timestamp':  '2026-04-27T10:23:45.123Z',  // UTC, automaticky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'actor': {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'sub':      'user-uuid-123',              // povinné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'username': 'jan.novak',                  // volitelné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'email':    'jan@sysnet.cz'               // volitelné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},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'action':     'document.delete',            // povinné, neprázdné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'resource': {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'type':     'document',                   // povinné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'id':       'doc-99',                     // volitelné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'label':    'Smlouva c. 42'               // volitelné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},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'service':    'document-service',           // z AUDIT_SERVICE_NAME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'request_id': 'req-abc-123',                // volitelné, correlation ID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'metadata':   { 'ip': '10.0.0.1' }         // volitelné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}</w:t>
      </w:r>
    </w:p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3.4  Exception kontrakt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00"/>
        <w:gridCol w:w="2000"/>
        <w:gridCol w:w="3860"/>
      </w:tblGrid>
      <w:tr>
        <w:trPr>
          <w:tblHeader/>
        </w:trPr>
        <w:tc>
          <w:tcPr>
            <w:tcW w:type="dxa" w:w="31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Typ výjimky</w:t>
            </w:r>
          </w:p>
        </w:tc>
        <w:tc>
          <w:tcPr>
            <w:tcW w:type="dxa" w:w="2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Chování</w:t>
            </w:r>
          </w:p>
        </w:tc>
        <w:tc>
          <w:tcPr>
            <w:tcW w:type="dxa" w:w="38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Důvod</w:t>
            </w:r>
          </w:p>
        </w:tc>
      </w:tr>
      <w:tr>
        <w:tc>
          <w:tcPr>
            <w:tcW w:type="dxa" w:w="31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ValidationError (prázdný action)</w:t>
            </w:r>
          </w:p>
        </w:tc>
        <w:tc>
          <w:tcPr>
            <w:tcW w:type="dxa" w:w="2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Propaguje se</w:t>
            </w:r>
          </w:p>
        </w:tc>
        <w:tc>
          <w:tcPr>
            <w:tcW w:type="dxa" w:w="38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Programátorská chyba — musí být opravena v kódu</w:t>
            </w:r>
          </w:p>
        </w:tc>
      </w:tr>
      <w:tr>
        <w:tc>
          <w:tcPr>
            <w:tcW w:type="dxa" w:w="31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I/O chyba MongoDB</w:t>
            </w:r>
          </w:p>
        </w:tc>
        <w:tc>
          <w:tcPr>
            <w:tcW w:type="dxa" w:w="2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Zachycena v AuditLogger</w:t>
            </w:r>
          </w:p>
        </w:tc>
        <w:tc>
          <w:tcPr>
            <w:tcW w:type="dxa" w:w="38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Auditní selhání nenarušuje byznys transakci</w:t>
            </w:r>
          </w:p>
        </w:tc>
      </w:tr>
      <w:tr>
        <w:tc>
          <w:tcPr>
            <w:tcW w:type="dxa" w:w="31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I/O chyba Kafka</w:t>
            </w:r>
          </w:p>
        </w:tc>
        <w:tc>
          <w:tcPr>
            <w:tcW w:type="dxa" w:w="2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Zachycena v CompositeAuditBackend</w:t>
            </w:r>
          </w:p>
        </w:tc>
        <w:tc>
          <w:tcPr>
            <w:tcW w:type="dxa" w:w="38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Sekundární best-effort transport</w:t>
            </w:r>
          </w:p>
        </w:tc>
      </w:tr>
      <w:tr>
        <w:tc>
          <w:tcPr>
            <w:tcW w:type="dxa" w:w="31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Chyba při aclose()</w:t>
            </w:r>
          </w:p>
        </w:tc>
        <w:tc>
          <w:tcPr>
            <w:tcW w:type="dxa" w:w="2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Loguje ERROR, nepropaguje</w:t>
            </w:r>
          </w:p>
        </w:tc>
        <w:tc>
          <w:tcPr>
            <w:tcW w:type="dxa" w:w="38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Ostatní backends musí mít šanci se uzavřít</w:t>
            </w:r>
          </w:p>
        </w:tc>
      </w:tr>
    </w:tbl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3.5  Topologie B — Dual-write</w:t>
      </w:r>
    </w:p>
    <w:p>
      <w:pPr>
        <w:pStyle w:val="Heading3"/>
        <w:spacing w:after="80" w:before="16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Datový tok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AuditLogger.log()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|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v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CompositeAuditBackend.store()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+-- await MongoAuditBackend.store()   &lt;- primarni, vyjimka propaguje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+-- await KafkaAuditBackend.store()   &lt;- best-effort, vyjimka se potlaci</w:t>
      </w:r>
    </w:p>
    <w:p>
      <w:pPr>
        <w:pStyle w:val="Heading3"/>
        <w:spacing w:after="80" w:before="16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Aktivace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Nastaví se jedna proměnná prostředí —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init_audit()</w:t>
      </w:r>
      <w:r>
        <w:rPr>
          <w:rFonts w:ascii="Arial" w:cs="Arial" w:eastAsia="Arial" w:hAnsi="Arial"/>
          <w:sz w:val="22"/>
          <w:szCs w:val="22"/>
        </w:rPr>
        <w:t xml:space="preserve"> sestaví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CompositeAuditBackend</w:t>
      </w:r>
      <w:r>
        <w:rPr>
          <w:rFonts w:ascii="Arial" w:cs="Arial" w:eastAsia="Arial" w:hAnsi="Arial"/>
          <w:sz w:val="22"/>
          <w:szCs w:val="22"/>
        </w:rPr>
        <w:t xml:space="preserve"> automaticky: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AUDIT_KAFKA_BOOTSTRAP_SERVERS=kafka:9092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AUDIT_KAFKA_TOPIC=audit-events   # volitelné</w:t>
      </w:r>
    </w:p>
    <w:p>
      <w:pPr>
        <w:pStyle w:val="Heading3"/>
        <w:spacing w:after="80" w:before="16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Race condition ochrana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Kafka producer se inicializuje lením způsobem při prvním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store()</w:t>
      </w:r>
      <w:r>
        <w:rPr>
          <w:rFonts w:ascii="Arial" w:cs="Arial" w:eastAsia="Arial" w:hAnsi="Arial"/>
          <w:sz w:val="22"/>
          <w:szCs w:val="22"/>
        </w:rPr>
        <w:t xml:space="preserve">. Inicializace je chráněna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asyncio.Lock</w:t>
      </w:r>
      <w:r>
        <w:rPr>
          <w:rFonts w:ascii="Arial" w:cs="Arial" w:eastAsia="Arial" w:hAnsi="Arial"/>
          <w:sz w:val="22"/>
          <w:szCs w:val="22"/>
        </w:rPr>
        <w:t xml:space="preserve"> s double-checked locking — souběžné coroutiny nevytvoří duplicitní producery.</w:t>
      </w:r>
    </w:p>
    <w:p>
      <w:pPr>
        <w:pStyle w:val="Heading3"/>
        <w:spacing w:after="80" w:before="160"/>
      </w:pPr>
      <w:r>
        <w:rPr>
          <w:rFonts w:ascii="Arial" w:cs="Arial" w:eastAsia="Arial" w:hAnsi="Arial"/>
          <w:b/>
          <w:bCs/>
          <w:color w:val="1F4E79"/>
          <w:sz w:val="24"/>
          <w:szCs w:val="24"/>
        </w:rPr>
        <w:t xml:space="preserve">Shutdown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await get_audit_backend().aclose()   # propaguje na KafkaAuditBackend</w:t>
      </w:r>
    </w:p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3.6  Technologický stack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1600"/>
        <w:gridCol w:w="4760"/>
      </w:tblGrid>
      <w:tr>
        <w:trPr>
          <w:tblHeader/>
        </w:trP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Technologie</w:t>
            </w:r>
          </w:p>
        </w:tc>
        <w:tc>
          <w:tcPr>
            <w:tcW w:type="dxa" w:w="1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Verze</w:t>
            </w:r>
          </w:p>
        </w:tc>
        <w:tc>
          <w:tcPr>
            <w:tcW w:type="dxa" w:w="4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Role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Python</w:t>
            </w:r>
          </w:p>
        </w:tc>
        <w:tc>
          <w:tcPr>
            <w:tcW w:type="dxa" w:w="1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&gt;= 3.11</w:t>
            </w:r>
          </w:p>
        </w:tc>
        <w:tc>
          <w:tcPr>
            <w:tcW w:type="dxa" w:w="4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Výhradně async kód (async def, await)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FastAPI</w:t>
            </w:r>
          </w:p>
        </w:tc>
        <w:tc>
          <w:tcPr>
            <w:tcW w:type="dxa" w:w="1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&gt;= 0.111</w:t>
            </w:r>
          </w:p>
        </w:tc>
        <w:tc>
          <w:tcPr>
            <w:tcW w:type="dxa" w:w="4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Dependency injection, opt-in middleware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Pydantic v2</w:t>
            </w:r>
          </w:p>
        </w:tc>
        <w:tc>
          <w:tcPr>
            <w:tcW w:type="dxa" w:w="1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&gt;= 2.7</w:t>
            </w:r>
          </w:p>
        </w:tc>
        <w:tc>
          <w:tcPr>
            <w:tcW w:type="dxa" w:w="4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Modely, validace, frozen value objects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pydantic-settings</w:t>
            </w:r>
          </w:p>
        </w:tc>
        <w:tc>
          <w:tcPr>
            <w:tcW w:type="dxa" w:w="1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&gt;= 2.3</w:t>
            </w:r>
          </w:p>
        </w:tc>
        <w:tc>
          <w:tcPr>
            <w:tcW w:type="dxa" w:w="4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Čtení env proměnných s prefixem AUDIT_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Beanie</w:t>
            </w:r>
          </w:p>
        </w:tc>
        <w:tc>
          <w:tcPr>
            <w:tcW w:type="dxa" w:w="1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&gt;= 2.0</w:t>
            </w:r>
          </w:p>
        </w:tc>
        <w:tc>
          <w:tcPr>
            <w:tcW w:type="dxa" w:w="4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Async MongoDB ODM nad pymongo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pymongo</w:t>
            </w:r>
          </w:p>
        </w:tc>
        <w:tc>
          <w:tcPr>
            <w:tcW w:type="dxa" w:w="1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&gt;= 4.9</w:t>
            </w:r>
          </w:p>
        </w:tc>
        <w:tc>
          <w:tcPr>
            <w:tcW w:type="dxa" w:w="4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Async driver (AsyncMongoClient), bez Motor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aiokafka</w:t>
            </w:r>
          </w:p>
        </w:tc>
        <w:tc>
          <w:tcPr>
            <w:tcW w:type="dxa" w:w="1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&gt;= 0.10  (volitelné)</w:t>
            </w:r>
          </w:p>
        </w:tc>
        <w:tc>
          <w:tcPr>
            <w:tcW w:type="dxa" w:w="4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Async Kafka producer pro Topologii B</w:t>
            </w:r>
          </w:p>
        </w:tc>
      </w:tr>
      <w:tr>
        <w:tc>
          <w:tcPr>
            <w:tcW w:type="dxa" w:w="2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pytest + pytest-asyncio</w:t>
            </w:r>
          </w:p>
        </w:tc>
        <w:tc>
          <w:tcPr>
            <w:tcW w:type="dxa" w:w="16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&gt;= 8.2 / 0.23</w:t>
            </w:r>
          </w:p>
        </w:tc>
        <w:tc>
          <w:tcPr>
            <w:tcW w:type="dxa" w:w="4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Testy, asyncio_mode=auto</w:t>
            </w:r>
          </w:p>
        </w:tc>
      </w:tr>
    </w:tbl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3.7  Testovací přístup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Testy nepoužívají reálnou MongoDB ani Kafka. Beanie se inicializuje s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MagicMock</w:t>
      </w:r>
      <w:r>
        <w:rPr>
          <w:rFonts w:ascii="Arial" w:cs="Arial" w:eastAsia="Arial" w:hAnsi="Arial"/>
          <w:sz w:val="22"/>
          <w:szCs w:val="22"/>
        </w:rPr>
        <w:t xml:space="preserve"> databází. Kafka se mockuje přes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sys.modules</w:t>
      </w:r>
      <w:r>
        <w:rPr>
          <w:rFonts w:ascii="Arial" w:cs="Arial" w:eastAsia="Arial" w:hAnsi="Arial"/>
          <w:sz w:val="22"/>
          <w:szCs w:val="22"/>
        </w:rPr>
        <w:t xml:space="preserve"> — aiokafka nemusí být nainstalována.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160"/>
      </w:tblGrid>
      <w:tr>
        <w:trPr>
          <w:tblHeader/>
        </w:trPr>
        <w:tc>
          <w:tcPr>
            <w:tcW w:type="dxa" w:w="2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Testovací soubor</w:t>
            </w:r>
          </w:p>
        </w:tc>
        <w:tc>
          <w:tcPr>
            <w:tcW w:type="dxa" w:w="61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Co testuje</w:t>
            </w:r>
          </w:p>
        </w:tc>
      </w:tr>
      <w:tr>
        <w:tc>
          <w:tcPr>
            <w:tcW w:type="dxa" w:w="2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test_models.py</w:t>
            </w:r>
          </w:p>
        </w:tc>
        <w:tc>
          <w:tcPr>
            <w:tcW w:type="dxa" w:w="61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Validace, frozen value objects, action validátor (prázdný/whitespace)</w:t>
            </w:r>
          </w:p>
        </w:tc>
      </w:tr>
      <w:tr>
        <w:tc>
          <w:tcPr>
            <w:tcW w:type="dxa" w:w="2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test_audit_logger.py</w:t>
            </w:r>
          </w:p>
        </w:tc>
        <w:tc>
          <w:tcPr>
            <w:tcW w:type="dxa" w:w="61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Exception kontrakt, potlačení I/O chyb, ERROR log</w:t>
            </w:r>
          </w:p>
        </w:tc>
      </w:tr>
      <w:tr>
        <w:tc>
          <w:tcPr>
            <w:tcW w:type="dxa" w:w="2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test_mongodb_backend.py</w:t>
            </w:r>
          </w:p>
        </w:tc>
        <w:tc>
          <w:tcPr>
            <w:tcW w:type="dxa" w:w="61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store() + reraise, patch.object na třídě (Pydantic v2)</w:t>
            </w:r>
          </w:p>
        </w:tc>
      </w:tr>
      <w:tr>
        <w:tc>
          <w:tcPr>
            <w:tcW w:type="dxa" w:w="2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test_null_backend.py</w:t>
            </w:r>
          </w:p>
        </w:tc>
        <w:tc>
          <w:tcPr>
            <w:tcW w:type="dxa" w:w="61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NullBackend store() + aclose() no-op z ABC</w:t>
            </w:r>
          </w:p>
        </w:tc>
      </w:tr>
      <w:tr>
        <w:tc>
          <w:tcPr>
            <w:tcW w:type="dxa" w:w="2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test_composite_backend.py</w:t>
            </w:r>
          </w:p>
        </w:tc>
        <w:tc>
          <w:tcPr>
            <w:tcW w:type="dxa" w:w="61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Dual-write, primár/sekundár politika, aclose() propagace</w:t>
            </w:r>
          </w:p>
        </w:tc>
      </w:tr>
      <w:tr>
        <w:tc>
          <w:tcPr>
            <w:tcW w:type="dxa" w:w="2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test_kafka_backend.py</w:t>
            </w:r>
          </w:p>
        </w:tc>
        <w:tc>
          <w:tcPr>
            <w:tcW w:type="dxa" w:w="61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Lazy init, race condition (5× souběžný store), aclose(), bootstrap validace</w:t>
            </w:r>
          </w:p>
        </w:tc>
      </w:tr>
      <w:tr>
        <w:tc>
          <w:tcPr>
            <w:tcW w:type="dxa" w:w="2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test_topology_b.py</w:t>
            </w:r>
          </w:p>
        </w:tc>
        <w:tc>
          <w:tcPr>
            <w:tcW w:type="dxa" w:w="61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Sestavení CompositeAuditBackend z AuditSettings</w:t>
            </w:r>
          </w:p>
        </w:tc>
      </w:tr>
      <w:tr>
        <w:tc>
          <w:tcPr>
            <w:tcW w:type="dxa" w:w="2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test_dependencies.py</w:t>
            </w:r>
          </w:p>
        </w:tc>
        <w:tc>
          <w:tcPr>
            <w:tcW w:type="dxa" w:w="61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FastAPI Depends, configure_audit, get_audit_backend, reset_audit</w:t>
            </w:r>
          </w:p>
        </w:tc>
      </w:tr>
      <w:tr>
        <w:tc>
          <w:tcPr>
            <w:tcW w:type="dxa" w:w="2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test_settings.py</w:t>
            </w:r>
          </w:p>
        </w:tc>
        <w:tc>
          <w:tcPr>
            <w:tcW w:type="dxa" w:w="61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Env proměnné, required service_name, AUDIT_ENABLED=false</w:t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Celkem: 79 testů, 0 selhání.</w:t>
      </w:r>
    </w:p>
    <w:p>
      <w:pPr>
        <w:spacing w:after="80" w:before="80"/>
      </w:pPr>
    </w:p>
    <w:p>
      <w:r>
        <w:br w:type="page"/>
      </w:r>
    </w:p>
    <w:p>
      <w:pPr>
        <w:pStyle w:val="Heading1"/>
        <w:pBdr>
          <w:bottom w:val="single" w:color="2E75B6" w:sz="4" w:space="2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4  Doporučení k auditní databázi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Výchozí konfigurace záměrně odděluje auditní databázi od produkčních dat mikroslužby. Sdílení jedné MongoDB instance pro produkci i audit je nevhodné z těchto důvodů:</w:t>
      </w: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4.1  Izolace přístupu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Produkční databáze drží credentials s oprávněními pro čtení a zápis aplikačních dat. Auditní backend potřebuje výhradně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write práva na kolekci audit_log</w:t>
      </w:r>
      <w:r>
        <w:rPr>
          <w:rFonts w:ascii="Arial" w:cs="Arial" w:eastAsia="Arial" w:hAnsi="Arial"/>
          <w:sz w:val="22"/>
          <w:szCs w:val="22"/>
        </w:rPr>
        <w:t xml:space="preserve">. Smíchání oprávnění v jedné databázi rozšiřuje blast radius při kompromitaci credentials — útočník s přístupem do auditní kolekce by měl i přístup k produkčním datům.</w:t>
      </w: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4.2  Operační nezávislost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Auditní záznamy vyžadují jiné provozní nastavení než produkční data: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jiné indexy (time-series dotazy,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actor.sub</w:t>
      </w:r>
      <w:r>
        <w:rPr>
          <w:rFonts w:ascii="Arial" w:cs="Arial" w:eastAsia="Arial" w:hAnsi="Arial"/>
          <w:sz w:val="22"/>
          <w:szCs w:val="22"/>
        </w:rPr>
        <w:t xml:space="preserve">,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action</w:t>
      </w:r>
      <w:r>
        <w:rPr>
          <w:rFonts w:ascii="Arial" w:cs="Arial" w:eastAsia="Arial" w:hAnsi="Arial"/>
          <w:sz w:val="22"/>
          <w:szCs w:val="22"/>
        </w:rPr>
        <w:t xml:space="preserve">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TTL index pro automatické mazání po uplynutí retenční doby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oddělený monitoring storage a alerting prahy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sz w:val="22"/>
          <w:szCs w:val="22"/>
        </w:rPr>
        <w:t xml:space="preserve">nezávislou zálohovací politiku a archivační periodicitu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V sdílené databázi se tyto aspekty navzájem ovlivňují a komplikují.</w:t>
      </w: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4.3  Compliance a nezměnitelnost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Auditní záznamy nesmí být modifikovatelné ani mazatelné operátory aplikace. V samostatné databázi lze nastavit MongoDB RBAC tak, aby aplikační role neměla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dropCollection</w:t>
      </w:r>
      <w:r>
        <w:rPr>
          <w:rFonts w:ascii="Arial" w:cs="Arial" w:eastAsia="Arial" w:hAnsi="Arial"/>
          <w:sz w:val="22"/>
          <w:szCs w:val="22"/>
        </w:rPr>
        <w:t xml:space="preserve">,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delete</w:t>
      </w:r>
      <w:r>
        <w:rPr>
          <w:rFonts w:ascii="Arial" w:cs="Arial" w:eastAsia="Arial" w:hAnsi="Arial"/>
          <w:sz w:val="22"/>
          <w:szCs w:val="22"/>
        </w:rPr>
        <w:t xml:space="preserve"> ani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update</w:t>
      </w:r>
      <w:r>
        <w:rPr>
          <w:rFonts w:ascii="Arial" w:cs="Arial" w:eastAsia="Arial" w:hAnsi="Arial"/>
          <w:sz w:val="22"/>
          <w:szCs w:val="22"/>
        </w:rPr>
        <w:t xml:space="preserve"> práva. V produkční databázi, kde aplikace nutně potřebuje write práva, je toto vymáhání podstatně obtížnější.</w:t>
      </w: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4.4  Beanie init izolace</w:t>
      </w:r>
    </w:p>
    <w:p>
      <w:pPr>
        <w:spacing w:after="80" w:before="80"/>
      </w:pPr>
      <w:r>
        <w:rPr>
          <w:rFonts w:ascii="Arial" w:cs="Arial" w:eastAsia="Arial" w:hAnsi="Arial"/>
          <w:sz w:val="22"/>
          <w:szCs w:val="22"/>
        </w:rPr>
        <w:t xml:space="preserve">Funkce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init_beanie()</w:t>
      </w:r>
      <w:r>
        <w:rPr>
          <w:rFonts w:ascii="Arial" w:cs="Arial" w:eastAsia="Arial" w:hAnsi="Arial"/>
          <w:sz w:val="22"/>
          <w:szCs w:val="22"/>
        </w:rPr>
        <w:t xml:space="preserve"> inicializuje Document modely na konkrétní databázi. Pokud mikroslužba volá vlastní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init_beanie()</w:t>
      </w:r>
      <w:r>
        <w:rPr>
          <w:rFonts w:ascii="Arial" w:cs="Arial" w:eastAsia="Arial" w:hAnsi="Arial"/>
          <w:sz w:val="22"/>
          <w:szCs w:val="22"/>
        </w:rPr>
        <w:t xml:space="preserve"> pro své modely, musí koordinovat oba seznamy </w:t>
      </w:r>
      <w:r>
        <w:rPr>
          <w:rFonts w:ascii="Courier New" w:cs="Courier New" w:eastAsia="Courier New" w:hAnsi="Courier New"/>
          <w:color w:val="C00000"/>
          <w:sz w:val="19"/>
          <w:szCs w:val="19"/>
        </w:rPr>
        <w:t xml:space="preserve">document_models</w:t>
      </w:r>
      <w:r>
        <w:rPr>
          <w:rFonts w:ascii="Arial" w:cs="Arial" w:eastAsia="Arial" w:hAnsi="Arial"/>
          <w:sz w:val="22"/>
          <w:szCs w:val="22"/>
        </w:rPr>
        <w:t xml:space="preserve"> — to je coupling komplikující upgrade.</w:t>
      </w: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4.5  Doporučená konfigurace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5960"/>
      </w:tblGrid>
      <w:tr>
        <w:trPr>
          <w:tblHeader/>
        </w:trP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Parametr</w:t>
            </w:r>
          </w:p>
        </w:tc>
        <w:tc>
          <w:tcPr>
            <w:tcW w:type="dxa" w:w="59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Doporučení</w:t>
            </w:r>
          </w:p>
        </w:tc>
      </w:tr>
      <w:t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MongoDB instance</w:t>
            </w:r>
          </w:p>
        </w:tc>
        <w:tc>
          <w:tcPr>
            <w:tcW w:type="dxa" w:w="59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Samostatný cluster nebo Atlas tenant, fyzicky oddělený od produkce</w:t>
            </w:r>
          </w:p>
        </w:tc>
      </w:tr>
      <w:t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Credentials (AUDIT_MONGO_URI)</w:t>
            </w:r>
          </w:p>
        </w:tc>
        <w:tc>
          <w:tcPr>
            <w:tcW w:type="dxa" w:w="59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Uživatel pouze s insert + createIndex na audit_log</w:t>
            </w:r>
          </w:p>
        </w:tc>
      </w:tr>
      <w:t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Zakázané operace</w:t>
            </w:r>
          </w:p>
        </w:tc>
        <w:tc>
          <w:tcPr>
            <w:tcW w:type="dxa" w:w="59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drop, delete, update, listDatabases — vymáhej přes MongoDB RBAC</w:t>
            </w:r>
          </w:p>
        </w:tc>
      </w:tr>
      <w:t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AUDIT_MONGO_DB</w:t>
            </w:r>
          </w:p>
        </w:tc>
        <w:tc>
          <w:tcPr>
            <w:tcW w:type="dxa" w:w="59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 nebo audit_&lt;prostředí&gt; (audit_prod, audit_staging)</w:t>
            </w:r>
          </w:p>
        </w:tc>
      </w:tr>
      <w:t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Kolekce</w:t>
            </w:r>
          </w:p>
        </w:tc>
        <w:tc>
          <w:tcPr>
            <w:tcW w:type="dxa" w:w="59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audit_log — fixní, definováno v AuditEntry.Settings.name</w:t>
            </w:r>
          </w:p>
        </w:tc>
      </w:tr>
      <w:t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TTL index</w:t>
            </w:r>
          </w:p>
        </w:tc>
        <w:tc>
          <w:tcPr>
            <w:tcW w:type="dxa" w:w="59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Přidej manuálně na timestamp dle retenční politiky</w:t>
            </w:r>
          </w:p>
        </w:tc>
      </w:tr>
      <w:tr>
        <w:tc>
          <w:tcPr>
            <w:tcW w:type="dxa" w:w="30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Šifrování</w:t>
            </w:r>
          </w:p>
        </w:tc>
        <w:tc>
          <w:tcPr>
            <w:tcW w:type="dxa" w:w="59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Encryption at rest na úrovni MongoDB (TDE nebo Atlas Encryption)</w:t>
            </w:r>
          </w:p>
        </w:tc>
      </w:tr>
    </w:tbl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4.6  Doporučené indexy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// Časový rozsah + služba (nejčastější auditní dotaz)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db.audit_log.createIndex({ timestamp: -1, service: 1 })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// Všechny akce konkrétního uživatele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db.audit_log.createIndex({ 'actor.sub': 1, timestamp: -1 })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// Akce na konkrétním zdroji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db.audit_log.createIndex({ 'resource.type': 1, 'resource.id': 1, timestamp: -1 })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// TTL — automatické smazání po 3 letech (příklad)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db.audit_log.createIndex({ timestamp: 1 }, { expireAfterSeconds: 94608000 })</w:t>
      </w:r>
    </w:p>
    <w:p>
      <w:pPr>
        <w:spacing w:after="80" w:before="80"/>
      </w:pPr>
    </w:p>
    <w:p>
      <w:r>
        <w:br w:type="page"/>
      </w:r>
    </w:p>
    <w:p>
      <w:pPr>
        <w:pStyle w:val="Heading1"/>
        <w:pBdr>
          <w:bottom w:val="single" w:color="2E75B6" w:sz="4" w:space="2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5  Roadmap</w:t>
      </w:r>
    </w:p>
    <w:tbl>
      <w:tblPr>
        <w:tblW w:type="dxa" w:w="8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00"/>
        <w:gridCol w:w="1800"/>
        <w:gridCol w:w="5760"/>
      </w:tblGrid>
      <w:tr>
        <w:trPr>
          <w:tblHeader/>
        </w:trPr>
        <w:tc>
          <w:tcPr>
            <w:tcW w:type="dxa" w:w="1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Verze</w:t>
            </w:r>
          </w:p>
        </w:tc>
        <w:tc>
          <w:tcPr>
            <w:tcW w:type="dxa" w:w="1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Stav</w:t>
            </w:r>
          </w:p>
        </w:tc>
        <w:tc>
          <w:tcPr>
            <w:tcW w:type="dxa" w:w="5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1F4E79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Obsah</w:t>
            </w:r>
          </w:p>
        </w:tc>
      </w:tr>
      <w:tr>
        <w:tc>
          <w:tcPr>
            <w:tcW w:type="dxa" w:w="1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v0.1</w:t>
            </w:r>
          </w:p>
        </w:tc>
        <w:tc>
          <w:tcPr>
            <w:tcW w:type="dxa" w:w="1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✅  Vydáno</w:t>
            </w:r>
          </w:p>
        </w:tc>
        <w:tc>
          <w:tcPr>
            <w:tcW w:type="dxa" w:w="5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AuditEntry, AuditActor, AuditResource, MongoAuditBackend, NullAuditBackend, AuditLogger, get_audit_logger</w:t>
            </w:r>
          </w:p>
        </w:tc>
      </w:tr>
      <w:tr>
        <w:tc>
          <w:tcPr>
            <w:tcW w:type="dxa" w:w="1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v0.2</w:t>
            </w:r>
          </w:p>
        </w:tc>
        <w:tc>
          <w:tcPr>
            <w:tcW w:type="dxa" w:w="1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✅  Vydáno</w:t>
            </w:r>
          </w:p>
        </w:tc>
        <w:tc>
          <w:tcPr>
            <w:tcW w:type="dxa" w:w="5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KafkaAuditBackend, CompositeAuditBackend (Topologie B), get_audit_backend(), asyncio.Lock, aclose() v ABC</w:t>
            </w:r>
          </w:p>
        </w:tc>
      </w:tr>
      <w:tr>
        <w:tc>
          <w:tcPr>
            <w:tcW w:type="dxa" w:w="1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v0.3</w:t>
            </w:r>
          </w:p>
        </w:tc>
        <w:tc>
          <w:tcPr>
            <w:tcW w:type="dxa" w:w="1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Plánováno</w:t>
            </w:r>
          </w:p>
        </w:tc>
        <w:tc>
          <w:tcPr>
            <w:tcW w:type="dxa" w:w="5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FastAPI middleware pro automatický request kontext (request_id, timing, IP)</w:t>
            </w:r>
          </w:p>
        </w:tc>
      </w:tr>
      <w:tr>
        <w:tc>
          <w:tcPr>
            <w:tcW w:type="dxa" w:w="1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v0.4</w:t>
            </w:r>
          </w:p>
        </w:tc>
        <w:tc>
          <w:tcPr>
            <w:tcW w:type="dxa" w:w="1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Plánováno</w:t>
            </w:r>
          </w:p>
        </w:tc>
        <w:tc>
          <w:tcPr>
            <w:tcW w:type="dxa" w:w="5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Integrační testy proti reálné MongoDB v docker-compose</w:t>
            </w:r>
          </w:p>
        </w:tc>
      </w:tr>
      <w:tr>
        <w:tc>
          <w:tcPr>
            <w:tcW w:type="dxa" w:w="1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v0.5</w:t>
            </w:r>
          </w:p>
        </w:tc>
        <w:tc>
          <w:tcPr>
            <w:tcW w:type="dxa" w:w="1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Backlog</w:t>
            </w:r>
          </w:p>
        </w:tc>
        <w:tc>
          <w:tcPr>
            <w:tcW w:type="dxa" w:w="5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FFFFFF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SIEM backend (HTTP/syslog transport)</w:t>
            </w:r>
          </w:p>
        </w:tc>
      </w:tr>
      <w:tr>
        <w:tc>
          <w:tcPr>
            <w:tcW w:type="dxa" w:w="14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v1.0</w:t>
            </w:r>
          </w:p>
        </w:tc>
        <w:tc>
          <w:tcPr>
            <w:tcW w:type="dxa" w:w="180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Backlog</w:t>
            </w:r>
          </w:p>
        </w:tc>
        <w:tc>
          <w:tcPr>
            <w:tcW w:type="dxa" w:w="5760"/>
            <w:tcBorders>
              <w:top w:val="single" w:color="9DC3E6" w:sz="1"/>
              <w:left w:val="single" w:color="9DC3E6" w:sz="1"/>
              <w:bottom w:val="single" w:color="9DC3E6" w:sz="1"/>
              <w:right w:val="single" w:color="9DC3E6" w:sz="1"/>
            </w:tcBorders>
            <w:shd w:fill="DEEAF1" w:val="clear"/>
            <w:tcMar>
              <w:top w:type="dxa" w:w="80"/>
              <w:left w:type="dxa" w:w="140"/>
              <w:bottom w:type="dxa" w:w="80"/>
              <w:right w:type="dxa" w:w="140"/>
            </w:tcMar>
            <w:vAlign w:val="center"/>
          </w:tcPr>
          <w:p>
            <w:pPr>
              <w:spacing w:after="40" w:before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Stabilní API, SemVer záruky, produkční hardening</w:t>
            </w:r>
          </w:p>
        </w:tc>
      </w:tr>
    </w:tbl>
    <w:p>
      <w:pPr>
        <w:spacing w:after="80" w:before="80"/>
      </w:pPr>
    </w:p>
    <w:p>
      <w:r>
        <w:br w:type="page"/>
      </w:r>
    </w:p>
    <w:p>
      <w:pPr>
        <w:pStyle w:val="Heading1"/>
        <w:pBdr>
          <w:bottom w:val="single" w:color="2E75B6" w:sz="4" w:space="2"/>
        </w:pBdr>
        <w:spacing w:after="160" w:before="320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6  Quick Reference</w:t>
      </w: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Produkční konfigurace — minimální sada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AUDIT_SERVICE_NAME=document-service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AUDIT_MONGO_URI=mongodb://audit-user:secret@mongo-audit:27017/audit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AUDIT_MONGO_DB=audit_prod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# Topologie B (volitelné):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AUDIT_KAFKA_BOOTSTRAP_SERVERS=kafka:9092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AUDIT_KAFKA_TOPIC=audit-events</w:t>
      </w:r>
    </w:p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Testovací prostředí — žádné I/O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AUDIT_ENABLED=false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AUDIT_SERVICE_NAME=my-service   # stále povinné</w:t>
      </w:r>
    </w:p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Lifespan s Topologií B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@asynccontextmanager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async def lifespan(app: FastAPI):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client = await init_audit(AuditSettings())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yield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await get_audit_backend().aclose()   # Kafka producer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if client is not None: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    await client.aclose()            # MongoDB</w:t>
      </w:r>
    </w:p>
    <w:p>
      <w:pPr>
        <w:spacing w:after="80" w:before="80"/>
      </w:pPr>
    </w:p>
    <w:p>
      <w:pPr>
        <w:pStyle w:val="Heading2"/>
        <w:spacing w:after="100" w:before="200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Kompletní záznam události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await audit.log(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actor=AuditActor(sub=user.sub, username=user.username, email=user.email),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action='contract.sign',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resource=AuditResource(type='contract', id=contract_id, label=contract.title),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request_id=request.headers.get('X-Request-ID'),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    metadata={'ip': request.client.host},</w:t>
      </w:r>
    </w:p>
    <w:p>
      <w:pPr>
        <w:shd w:fill="F2F2F2" w:val="clear"/>
        <w:spacing w:after="0" w:before="0"/>
        <w:ind w:left="360"/>
      </w:pPr>
      <w:r>
        <w:rPr>
          <w:rFonts w:ascii="Courier New" w:cs="Courier New" w:eastAsia="Courier New" w:hAnsi="Courier New"/>
          <w:color w:val="1F3864"/>
          <w:sz w:val="18"/>
          <w:szCs w:val="18"/>
        </w:rPr>
        <w:t xml:space="preserve">)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2E75B6" w:sz="4" w:space="1"/>
      </w:pBdr>
      <w:spacing w:after="0" w:before="80"/>
      <w:jc w:val="right"/>
    </w:pPr>
    <w:r>
      <w:rPr>
        <w:rFonts w:ascii="Arial" w:cs="Arial" w:eastAsia="Arial" w:hAnsi="Arial"/>
        <w:color w:val="595959"/>
        <w:sz w:val="18"/>
        <w:szCs w:val="18"/>
      </w:rPr>
      <w:t xml:space="preserve">Interní dokument  ·  Strana </w:t>
    </w:r>
    <w:r>
      <w:rPr>
        <w:rFonts w:ascii="Arial" w:cs="Arial" w:eastAsia="Arial" w:hAnsi="Arial"/>
        <w:color w:val="595959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595959"/>
        <w:sz w:val="18"/>
        <w:szCs w:val="18"/>
      </w:rPr>
      <w:t xml:space="preserve"> z </w:t>
    </w:r>
    <w:r>
      <w:rPr>
        <w:rFonts w:ascii="Arial" w:cs="Arial" w:eastAsia="Arial" w:hAnsi="Arial"/>
        <w:color w:val="595959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4" w:space="1"/>
      </w:pBdr>
      <w:spacing w:after="80" w:before="0"/>
    </w:pPr>
    <w:r>
      <w:rPr>
        <w:rFonts w:ascii="Arial" w:cs="Arial" w:eastAsia="Arial" w:hAnsi="Arial"/>
        <w:b/>
        <w:bCs/>
        <w:color w:val="1F4E79"/>
        <w:sz w:val="18"/>
        <w:szCs w:val="18"/>
      </w:rPr>
      <w:t xml:space="preserve">sysnet-audit</w:t>
    </w:r>
    <w:r>
      <w:rPr>
        <w:rFonts w:ascii="Arial" w:cs="Arial" w:eastAsia="Arial" w:hAnsi="Arial"/>
        <w:color w:val="595959"/>
        <w:sz w:val="18"/>
        <w:szCs w:val="18"/>
      </w:rPr>
      <w:t xml:space="preserve">  —  Dokumentace SYSNET s.r.o.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2E75B6" w:sz="4" w:space="2"/>
      </w:pBdr>
      <w:spacing w:after="160" w:before="320"/>
      <w:outlineLvl w:val="0"/>
    </w:pPr>
    <w:rPr>
      <w:rFonts w:ascii="Arial" w:cs="Arial" w:eastAsia="Arial" w:hAnsi="Arial"/>
      <w:b/>
      <w:bCs/>
      <w:color w:val="1F4E79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80" w:before="160"/>
      <w:outlineLvl w:val="2"/>
    </w:pPr>
    <w:rPr>
      <w:rFonts w:ascii="Arial" w:cs="Arial" w:eastAsia="Arial" w:hAnsi="Arial"/>
      <w:b/>
      <w:bCs/>
      <w:color w:val="1F4E79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2026-04-27T11:25:47.625Z</dcterms:created>
  <dcterms:modified xsi:type="dcterms:W3CDTF">2026-04-27T11:25:47.627Z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