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№9</w:t>
      </w:r>
    </w:p>
    <w:p>
      <w:pPr>
        <w:pStyle w:val="Heading2"/>
      </w:pPr>
      <w:r>
        <w:t>Вопрос 1</w:t>
      </w:r>
    </w:p>
    <w:p>
      <w:r>
        <w:t>Модель TCP/IP: назначение уровней, протоколы. Маршрутизация назначение, классификация, функции.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Что такое микросервисная архитектура? Назовите её преимущества и недостатки по сравнению с монолитной архитектурой.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Загрузите датасет apartments.csv с помощью библиотеки pandas. Посчитайте и выведите среднее, минимальное и максимальное значение площади (area) и цены (price) квартир по всему датасету.</w:t>
      </w:r>
    </w:p>
    <w:p>
      <w:r>
        <w:t>Ответ:</w:t>
      </w:r>
    </w:p>
    <w:p>
      <w:pPr>
        <w:pStyle w:val="Heading2"/>
      </w:pPr>
      <w:r>
        <w:t>Вопрос 4</w:t>
      </w:r>
    </w:p>
    <w:p>
      <w:r>
        <w:t>Постройте тепловую карту (heatmap) корреляций между числовыми признаками датасета apartments.csv (rooms, area, floor, total_floors, year_built, price). Подпишите оси и добавьте заголовок.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