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№10</w:t>
      </w:r>
    </w:p>
    <w:p>
      <w:pPr>
        <w:pStyle w:val="Heading2"/>
      </w:pPr>
      <w:r>
        <w:t>Вопрос 1</w:t>
      </w:r>
    </w:p>
    <w:p>
      <w:r>
        <w:t>Принципы работы сверточной нейронной сети.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Проблемы компьютерной преступности.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Спроектируйте архитектуру согласно нотации С4 для системы управления заказами. Отобразите уровни контекста, контейнеров и компонентов.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