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№11</w:t>
      </w:r>
    </w:p>
    <w:p>
      <w:pPr>
        <w:pStyle w:val="Heading2"/>
      </w:pPr>
      <w:r>
        <w:t>Вопрос 1</w:t>
      </w:r>
    </w:p>
    <w:p>
      <w:r>
        <w:t>Чем отличаются Ridge и Lasso регрессии?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Объясните принципы работы и применения технологий REST, gRPC и GraphQL в распределенных системах.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Загрузите датасет medical_exams.csv с помощью библиотеки pandas и посчитайте количество обследований для мужчин и женщин отдельно.</w:t>
      </w:r>
    </w:p>
    <w:p>
      <w:r>
        <w:t>Ответ:</w:t>
      </w:r>
    </w:p>
    <w:p>
      <w:pPr>
        <w:pStyle w:val="Heading2"/>
      </w:pPr>
      <w:r>
        <w:t>Вопрос 4</w:t>
      </w:r>
    </w:p>
    <w:p>
      <w:r>
        <w:t>На основе данных из датасета medical_exams.csv постройте тепловую карту (heatmap) корреляций между числовыми признаками (age, cholesterol, glucose). Подпишите оси и добавьте заголовок.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