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№20</w:t>
      </w:r>
    </w:p>
    <w:p>
      <w:pPr>
        <w:pStyle w:val="Heading2"/>
      </w:pPr>
      <w:r>
        <w:t>Вопрос 1</w:t>
      </w:r>
    </w:p>
    <w:p>
      <w:r>
        <w:t>Проблемы интеллектуального права.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Методы обеспечения конгениальности информации на сетевом уровне модели ВОС.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Разработайте диаграмму последовательности и диаграмму классов для системы «Продажа туристического продукта»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