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60"/>
        <w:jc w:val="center"/>
      </w:pPr>
      <w:r>
        <w:drawing>
          <wp:inline xmlns:a="http://schemas.openxmlformats.org/drawingml/2006/main" xmlns:pic="http://schemas.openxmlformats.org/drawingml/2006/picture">
            <wp:extent cx="1828800" cy="459632"/>
            <wp:docPr id="1" name="Picture 1"/>
            <wp:cNvGraphicFramePr>
              <a:graphicFrameLocks noChangeAspect="1"/>
            </wp:cNvGraphicFramePr>
            <a:graphic>
              <a:graphicData uri="http://schemas.openxmlformats.org/drawingml/2006/picture">
                <pic:pic>
                  <pic:nvPicPr>
                    <pic:cNvPr id="0" name="LSMC_wordmark_black_on_white_crop.png"/>
                    <pic:cNvPicPr/>
                  </pic:nvPicPr>
                  <pic:blipFill>
                    <a:blip r:embed="rId11"/>
                    <a:stretch>
                      <a:fillRect/>
                    </a:stretch>
                  </pic:blipFill>
                  <pic:spPr>
                    <a:xfrm>
                      <a:off x="0" y="0"/>
                      <a:ext cx="1828800" cy="459632"/>
                    </a:xfrm>
                    <a:prstGeom prst="rect"/>
                  </pic:spPr>
                </pic:pic>
              </a:graphicData>
            </a:graphic>
          </wp:inline>
        </w:drawing>
      </w:r>
    </w:p>
    <w:p>
      <w:pPr>
        <w:jc w:val="center"/>
      </w:pPr>
      <w:r>
        <w:rPr>
          <w:b/>
          <w:color w:val="000000"/>
          <w:sz w:val="44"/>
        </w:rPr>
        <w:t>Altair Analytical Variant Release QC Report</w:t>
      </w:r>
    </w:p>
    <w:p>
      <w:pPr>
        <w:jc w:val="center"/>
      </w:pPr>
      <w:r>
        <w:rPr>
          <w:b/>
          <w:color w:val="083372"/>
          <w:sz w:val="26"/>
        </w:rPr>
        <w:t>Controlled Document Template for VCF Release Sign-Out</w:t>
      </w:r>
    </w:p>
    <w:tbl>
      <w:tblPr>
        <w:tblStyle w:val="TableGrid"/>
        <w:tblW w:type="pct" w:w="5000"/>
        <w:jc w:val="center"/>
        <w:tblLayout w:type="autofit"/>
        <w:tblLook w:firstColumn="1" w:firstRow="1" w:lastColumn="0" w:lastRow="0" w:noHBand="0" w:noVBand="1" w:val="04A0"/>
      </w:tblPr>
      <w:tblGrid>
        <w:gridCol w:w="5184"/>
        <w:gridCol w:w="5184"/>
      </w:tblGrid>
      <w:tr>
        <w:trPr>
          <w:tblHeader w:val="true"/>
        </w:trPr>
        <w:tc>
          <w:tcPr>
            <w:tcW w:type="dxa" w:w="302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Field</w:t>
            </w:r>
          </w:p>
        </w:tc>
        <w:tc>
          <w:tcPr>
            <w:tcW w:type="dxa" w:w="7200"/>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Value</w:t>
            </w:r>
          </w:p>
        </w:tc>
      </w:tr>
      <w:tr>
        <w:tc>
          <w:tcPr>
            <w:tcW w:type="dxa" w:w="302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Controlled template ID</w:t>
            </w:r>
          </w:p>
        </w:tc>
        <w:tc>
          <w:tcPr>
            <w:tcW w:type="dxa" w:w="7200"/>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QUAL-FRM-ALT-001</w:t>
            </w:r>
          </w:p>
        </w:tc>
      </w:tr>
      <w:tr>
        <w:tc>
          <w:tcPr>
            <w:tcW w:type="dxa" w:w="3024"/>
            <w:vAlign w:val="center"/>
            <w:tcBorders>
              <w:top w:val="single" w:sz="6" w:space="0" w:color="D9DDE3"/>
              <w:left w:val="single" w:sz="6" w:space="0" w:color="D9DDE3"/>
              <w:bottom w:val="single" w:sz="6" w:space="0" w:color="D9DDE3"/>
              <w:right w:val="single" w:sz="6" w:space="0" w:color="D9DDE3"/>
            </w:tcBorders>
            <w:shd w:fill="FBFCFD"/>
          </w:tcPr>
          <w:p>
            <w:pPr>
              <w:spacing w:before="0" w:after="0"/>
            </w:pPr>
            <w:r>
              <w:rPr>
                <w:rFonts w:ascii="Arial" w:hAnsi="Arial"/>
                <w:sz w:val="16"/>
              </w:rPr>
            </w:r>
            <w:r>
              <w:rPr>
                <w:rFonts w:ascii="Arial" w:hAnsi="Arial"/>
                <w:b w:val="0"/>
                <w:sz w:val="16"/>
              </w:rPr>
              <w:t>Document status</w:t>
            </w:r>
          </w:p>
        </w:tc>
        <w:tc>
          <w:tcPr>
            <w:tcW w:type="dxa" w:w="7200"/>
            <w:vAlign w:val="center"/>
            <w:tcBorders>
              <w:top w:val="single" w:sz="6" w:space="0" w:color="D9DDE3"/>
              <w:left w:val="single" w:sz="6" w:space="0" w:color="D9DDE3"/>
              <w:bottom w:val="single" w:sz="6" w:space="0" w:color="D9DDE3"/>
              <w:right w:val="single" w:sz="6" w:space="0" w:color="D9DDE3"/>
            </w:tcBorders>
            <w:shd w:fill="FBFCFD"/>
          </w:tcPr>
          <w:p>
            <w:pPr>
              <w:spacing w:before="0" w:after="0"/>
            </w:pPr>
            <w:r>
              <w:rPr>
                <w:rFonts w:ascii="Arial" w:hAnsi="Arial"/>
                <w:sz w:val="16"/>
              </w:rPr>
            </w:r>
            <w:r>
              <w:rPr>
                <w:rFonts w:ascii="Arial" w:hAnsi="Arial"/>
                <w:b w:val="0"/>
                <w:sz w:val="16"/>
              </w:rPr>
              <w:t>Draft template - route through document control before production use</w:t>
            </w:r>
          </w:p>
        </w:tc>
      </w:tr>
      <w:tr>
        <w:tc>
          <w:tcPr>
            <w:tcW w:type="dxa" w:w="302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Template version</w:t>
            </w:r>
          </w:p>
        </w:tc>
        <w:tc>
          <w:tcPr>
            <w:tcW w:type="dxa" w:w="7200"/>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0.1</w:t>
            </w:r>
          </w:p>
        </w:tc>
      </w:tr>
      <w:tr>
        <w:tc>
          <w:tcPr>
            <w:tcW w:type="dxa" w:w="3024"/>
            <w:vAlign w:val="center"/>
            <w:tcBorders>
              <w:top w:val="single" w:sz="6" w:space="0" w:color="D9DDE3"/>
              <w:left w:val="single" w:sz="6" w:space="0" w:color="D9DDE3"/>
              <w:bottom w:val="single" w:sz="6" w:space="0" w:color="D9DDE3"/>
              <w:right w:val="single" w:sz="6" w:space="0" w:color="D9DDE3"/>
            </w:tcBorders>
            <w:shd w:fill="FBFCFD"/>
          </w:tcPr>
          <w:p>
            <w:pPr>
              <w:spacing w:before="0" w:after="0"/>
            </w:pPr>
            <w:r>
              <w:rPr>
                <w:rFonts w:ascii="Arial" w:hAnsi="Arial"/>
                <w:sz w:val="16"/>
              </w:rPr>
            </w:r>
            <w:r>
              <w:rPr>
                <w:rFonts w:ascii="Arial" w:hAnsi="Arial"/>
                <w:b w:val="0"/>
                <w:sz w:val="16"/>
              </w:rPr>
              <w:t>Effective date</w:t>
            </w:r>
          </w:p>
        </w:tc>
        <w:tc>
          <w:tcPr>
            <w:tcW w:type="dxa" w:w="7200"/>
            <w:vAlign w:val="center"/>
            <w:tcBorders>
              <w:top w:val="single" w:sz="6" w:space="0" w:color="D9DDE3"/>
              <w:left w:val="single" w:sz="6" w:space="0" w:color="D9DDE3"/>
              <w:bottom w:val="single" w:sz="6" w:space="0" w:color="D9DDE3"/>
              <w:right w:val="single" w:sz="6" w:space="0" w:color="D9DDE3"/>
            </w:tcBorders>
            <w:shd w:fill="FBFCFD"/>
          </w:tcPr>
          <w:p>
            <w:pPr>
              <w:spacing w:before="0" w:after="0"/>
            </w:pPr>
            <w:r>
              <w:rPr>
                <w:rFonts w:ascii="Arial" w:hAnsi="Arial"/>
                <w:sz w:val="16"/>
              </w:rPr>
            </w:r>
            <w:r>
              <w:rPr>
                <w:rFonts w:ascii="Arial" w:hAnsi="Arial"/>
                <w:b w:val="0"/>
                <w:sz w:val="16"/>
              </w:rPr>
              <w:t>[YYYY-MM-DD after approval]</w:t>
            </w:r>
          </w:p>
        </w:tc>
      </w:tr>
      <w:tr>
        <w:tc>
          <w:tcPr>
            <w:tcW w:type="dxa" w:w="302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Assay</w:t>
            </w:r>
          </w:p>
        </w:tc>
        <w:tc>
          <w:tcPr>
            <w:tcW w:type="dxa" w:w="7200"/>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Altair - limited-scope PCR-free germline WGS analytical SNV/indel assay</w:t>
            </w:r>
          </w:p>
        </w:tc>
      </w:tr>
      <w:tr>
        <w:tc>
          <w:tcPr>
            <w:tcW w:type="dxa" w:w="3024"/>
            <w:vAlign w:val="center"/>
            <w:tcBorders>
              <w:top w:val="single" w:sz="6" w:space="0" w:color="D9DDE3"/>
              <w:left w:val="single" w:sz="6" w:space="0" w:color="D9DDE3"/>
              <w:bottom w:val="single" w:sz="6" w:space="0" w:color="D9DDE3"/>
              <w:right w:val="single" w:sz="6" w:space="0" w:color="D9DDE3"/>
            </w:tcBorders>
            <w:shd w:fill="FBFCFD"/>
          </w:tcPr>
          <w:p>
            <w:pPr>
              <w:spacing w:before="0" w:after="0"/>
            </w:pPr>
            <w:r>
              <w:rPr>
                <w:rFonts w:ascii="Arial" w:hAnsi="Arial"/>
                <w:sz w:val="16"/>
              </w:rPr>
            </w:r>
            <w:r>
              <w:rPr>
                <w:rFonts w:ascii="Arial" w:hAnsi="Arial"/>
                <w:b w:val="0"/>
                <w:sz w:val="16"/>
              </w:rPr>
              <w:t>Generated report ID</w:t>
            </w:r>
          </w:p>
        </w:tc>
        <w:tc>
          <w:tcPr>
            <w:tcW w:type="dxa" w:w="7200"/>
            <w:vAlign w:val="center"/>
            <w:tcBorders>
              <w:top w:val="single" w:sz="6" w:space="0" w:color="D9DDE3"/>
              <w:left w:val="single" w:sz="6" w:space="0" w:color="D9DDE3"/>
              <w:bottom w:val="single" w:sz="6" w:space="0" w:color="D9DDE3"/>
              <w:right w:val="single" w:sz="6" w:space="0" w:color="D9DDE3"/>
            </w:tcBorders>
            <w:shd w:fill="FBFCFD"/>
          </w:tcPr>
          <w:p>
            <w:pPr>
              <w:spacing w:before="0" w:after="0"/>
            </w:pPr>
            <w:r>
              <w:rPr>
                <w:rFonts w:ascii="Arial" w:hAnsi="Arial"/>
                <w:sz w:val="16"/>
              </w:rPr>
            </w:r>
            <w:r>
              <w:rPr>
                <w:rFonts w:ascii="Arial" w:hAnsi="Arial"/>
                <w:b w:val="0"/>
                <w:sz w:val="16"/>
              </w:rPr>
              <w:t>NA</w:t>
            </w:r>
          </w:p>
        </w:tc>
      </w:tr>
      <w:tr>
        <w:tc>
          <w:tcPr>
            <w:tcW w:type="dxa" w:w="302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 package</w:t>
            </w:r>
          </w:p>
        </w:tc>
        <w:tc>
          <w:tcPr>
            <w:tcW w:type="dxa" w:w="7200"/>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Analytical QC report + RR-filtered annotated VCF + VCF index</w:t>
            </w:r>
          </w:p>
        </w:tc>
      </w:tr>
      <w:tr>
        <w:tc>
          <w:tcPr>
            <w:tcW w:type="dxa" w:w="3024"/>
            <w:vAlign w:val="center"/>
            <w:tcBorders>
              <w:top w:val="single" w:sz="6" w:space="0" w:color="D9DDE3"/>
              <w:left w:val="single" w:sz="6" w:space="0" w:color="D9DDE3"/>
              <w:bottom w:val="single" w:sz="6" w:space="0" w:color="D9DDE3"/>
              <w:right w:val="single" w:sz="6" w:space="0" w:color="D9DDE3"/>
            </w:tcBorders>
            <w:shd w:fill="FBFCFD"/>
          </w:tcPr>
          <w:p>
            <w:pPr>
              <w:spacing w:before="0" w:after="0"/>
            </w:pPr>
            <w:r>
              <w:rPr>
                <w:rFonts w:ascii="Arial" w:hAnsi="Arial"/>
                <w:sz w:val="16"/>
              </w:rPr>
            </w:r>
            <w:r>
              <w:rPr>
                <w:rFonts w:ascii="Arial" w:hAnsi="Arial"/>
                <w:b w:val="0"/>
                <w:sz w:val="16"/>
              </w:rPr>
              <w:t>Intended signed use</w:t>
            </w:r>
          </w:p>
        </w:tc>
        <w:tc>
          <w:tcPr>
            <w:tcW w:type="dxa" w:w="7200"/>
            <w:vAlign w:val="center"/>
            <w:tcBorders>
              <w:top w:val="single" w:sz="6" w:space="0" w:color="D9DDE3"/>
              <w:left w:val="single" w:sz="6" w:space="0" w:color="D9DDE3"/>
              <w:bottom w:val="single" w:sz="6" w:space="0" w:color="D9DDE3"/>
              <w:right w:val="single" w:sz="6" w:space="0" w:color="D9DDE3"/>
            </w:tcBorders>
            <w:shd w:fill="FBFCFD"/>
          </w:tcPr>
          <w:p>
            <w:pPr>
              <w:spacing w:before="0" w:after="0"/>
            </w:pPr>
            <w:r>
              <w:rPr>
                <w:rFonts w:ascii="Arial" w:hAnsi="Arial"/>
                <w:sz w:val="16"/>
              </w:rPr>
            </w:r>
            <w:r>
              <w:rPr>
                <w:rFonts w:ascii="Arial" w:hAnsi="Arial"/>
                <w:b w:val="0"/>
                <w:sz w:val="16"/>
              </w:rPr>
              <w:t>Authorize release of the analytical VCF package; no clinical interpretation</w:t>
            </w:r>
          </w:p>
        </w:tc>
      </w:tr>
    </w:tbl>
    <w:tbl>
      <w:tblPr>
        <w:tblStyle w:val="TableGrid"/>
        <w:tblW w:type="auto" w:w="0"/>
        <w:tblLook w:firstColumn="1" w:firstRow="1" w:lastColumn="0" w:lastRow="0" w:noHBand="0" w:noVBand="1" w:val="04A0"/>
      </w:tblPr>
      <w:tblGrid>
        <w:gridCol w:w="10368"/>
      </w:tblGrid>
      <w:tr>
        <w:tc>
          <w:tcPr>
            <w:tcW w:type="dxa" w:w="10368"/>
            <w:shd w:fill="FFF8E8"/>
            <w:tcBorders>
              <w:top w:val="single" w:sz="10" w:space="0" w:color="F8A721"/>
              <w:left w:val="single" w:sz="10" w:space="0" w:color="F8A721"/>
              <w:bottom w:val="single" w:sz="10" w:space="0" w:color="F8A721"/>
              <w:right w:val="single" w:sz="10" w:space="0" w:color="F8A721"/>
            </w:tcBorders>
          </w:tcPr>
          <w:p>
            <w:pPr>
              <w:spacing w:after="0" w:before="0"/>
            </w:pPr>
            <w:r>
              <w:rPr>
                <w:rFonts w:ascii="Arial" w:hAnsi="Arial"/>
                <w:b/>
                <w:color w:val="363844"/>
                <w:sz w:val="18"/>
              </w:rPr>
              <w:t>Controlled-use statement</w:t>
            </w:r>
          </w:p>
          <w:p>
            <w:pPr>
              <w:spacing w:after="0" w:before="0"/>
            </w:pPr>
            <w:r>
              <w:rPr>
                <w:rFonts w:ascii="Arial" w:hAnsi="Arial"/>
                <w:sz w:val="17"/>
              </w:rPr>
              <w:t>This template is a controlled form for documenting Altair analytical QC review and release authorization. The completed report must be signed or electronically approved before release of the associated VCF and index. It is not a clinical interpretation report, diagnostic report, or negative-result report.</w:t>
            </w:r>
          </w:p>
        </w:tc>
      </w:tr>
    </w:tbl>
    <w:p>
      <w:pPr>
        <w:spacing w:before="200"/>
      </w:pPr>
      <w:r>
        <w:rPr>
          <w:b/>
          <w:sz w:val="18"/>
        </w:rPr>
        <w:t xml:space="preserve">Template instructions: </w:t>
      </w:r>
      <w:r>
        <w:rPr>
          <w:sz w:val="18"/>
        </w:rPr>
        <w:t>Replace bracketed placeholders and Filled from validation_summary.json and validation_artifacts TSVs.. Remove instructional gray text only if your document-control process requires a clean generated report. Do not release with unresolved placeholders, missing checksums, unresolved deviations, or incomplete signatures.</w:t>
      </w:r>
    </w:p>
    <w:p>
      <w:r>
        <w:br w:type="page"/>
      </w:r>
    </w:p>
    <w:p>
      <w:pPr>
        <w:pStyle w:val="Heading1"/>
        <w:spacing w:before="160" w:after="80"/>
        <w:keepNext/>
      </w:pPr>
      <w:r>
        <w:rPr>
          <w:color w:val="083372"/>
        </w:rPr>
        <w:t>1. Document Control and Revision History</w:t>
      </w:r>
    </w:p>
    <w:tbl>
      <w:tblPr>
        <w:tblStyle w:val="TableGrid"/>
        <w:tblW w:type="pct" w:w="5000"/>
        <w:jc w:val="center"/>
        <w:tblLayout w:type="autofit"/>
        <w:tblLook w:firstColumn="1" w:firstRow="1" w:lastColumn="0" w:lastRow="0" w:noHBand="0" w:noVBand="1" w:val="04A0"/>
      </w:tblPr>
      <w:tblGrid>
        <w:gridCol w:w="5184"/>
        <w:gridCol w:w="5184"/>
      </w:tblGrid>
      <w:tr>
        <w:trPr>
          <w:tblHeader w:val="true"/>
        </w:trPr>
        <w:tc>
          <w:tcPr>
            <w:tcW w:type="dxa" w:w="518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Document-control field</w:t>
            </w:r>
          </w:p>
        </w:tc>
        <w:tc>
          <w:tcPr>
            <w:tcW w:type="dxa" w:w="518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Required value</w:t>
            </w:r>
          </w:p>
        </w:tc>
      </w:tr>
      <w:tr>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Template title</w:t>
            </w:r>
          </w:p>
        </w:tc>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Altair Analytical Variant Release QC Report</w:t>
            </w:r>
          </w:p>
        </w:tc>
      </w:tr>
      <w:tr>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Template ID</w:t>
            </w:r>
          </w:p>
        </w:tc>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QUAL-FRM-ALT-001</w:t>
            </w:r>
          </w:p>
        </w:tc>
      </w:tr>
      <w:tr>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Template owner</w:t>
            </w:r>
          </w:p>
        </w:tc>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[Quality / Laboratory Operations / Bioinformatics owner]</w:t>
            </w:r>
          </w:p>
        </w:tc>
      </w:tr>
      <w:tr>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Assay owner</w:t>
            </w:r>
          </w:p>
        </w:tc>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[Altair assay owner]</w:t>
            </w:r>
          </w:p>
        </w:tc>
      </w:tr>
      <w:tr>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Approval authority</w:t>
            </w:r>
          </w:p>
        </w:tc>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[Laboratory Director or designee; document-control approval as applicable]</w:t>
            </w:r>
          </w:p>
        </w:tc>
      </w:tr>
      <w:tr>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Review cadence</w:t>
            </w:r>
          </w:p>
        </w:tc>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[Annual or per QMS requirement]</w:t>
            </w:r>
          </w:p>
        </w:tc>
      </w:tr>
      <w:tr>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Supersedes</w:t>
            </w:r>
          </w:p>
        </w:tc>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 or prior controlled template ID/version]</w:t>
            </w:r>
          </w:p>
        </w:tc>
      </w:tr>
      <w:tr>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Related validation plan</w:t>
            </w:r>
          </w:p>
        </w:tc>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QUAL-VAL-PLN-001 Altair WGS Design and Statistical Validation Plan</w:t>
            </w:r>
          </w:p>
        </w:tc>
      </w:tr>
      <w:tr>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Related policy/QC criteria</w:t>
            </w:r>
          </w:p>
        </w:tc>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[Altair QC policy ID and version]</w:t>
            </w:r>
          </w:p>
        </w:tc>
      </w:tr>
      <w:tr>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Related reportable range artifact</w:t>
            </w:r>
          </w:p>
        </w:tc>
        <w:tc>
          <w:tcPr>
            <w:tcW w:type="dxa" w:w="518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Altair_RR_v1 or later approved version</w:t>
            </w:r>
          </w:p>
        </w:tc>
      </w:tr>
    </w:tbl>
    <w:p>
      <w:pPr>
        <w:pStyle w:val="Heading2"/>
        <w:spacing w:before="120" w:after="60"/>
        <w:keepNext/>
      </w:pPr>
      <w:r>
        <w:rPr>
          <w:color w:val="363844"/>
        </w:rPr>
        <w:t>Revision history</w:t>
      </w:r>
    </w:p>
    <w:tbl>
      <w:tblPr>
        <w:tblStyle w:val="TableGrid"/>
        <w:tblW w:type="pct" w:w="5000"/>
        <w:jc w:val="center"/>
        <w:tblLayout w:type="autofit"/>
        <w:tblLook w:firstColumn="1" w:firstRow="1" w:lastColumn="0" w:lastRow="0" w:noHBand="0" w:noVBand="1" w:val="04A0"/>
      </w:tblPr>
      <w:tblGrid>
        <w:gridCol w:w="2074"/>
        <w:gridCol w:w="2074"/>
        <w:gridCol w:w="2074"/>
        <w:gridCol w:w="2074"/>
        <w:gridCol w:w="2074"/>
      </w:tblGrid>
      <w:tr>
        <w:trPr>
          <w:tblHeader w:val="true"/>
        </w:trPr>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Version</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Effective date</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Author</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Summary of change</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Approval record</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0.1</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[YYYY-MM-DD]</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[Name]</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Initial controlled template draft.</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[Document-control record ID]</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r>
    </w:tbl>
    <w:p>
      <w:pPr>
        <w:pStyle w:val="Heading1"/>
        <w:spacing w:before="160" w:after="80"/>
        <w:keepNext/>
      </w:pPr>
      <w:r>
        <w:rPr>
          <w:color w:val="083372"/>
        </w:rPr>
        <w:t>2. Purpose, Scope, and Release Boundary</w:t>
      </w:r>
    </w:p>
    <w:p>
      <w:pPr>
        <w:pStyle w:val="BodyText"/>
      </w:pPr>
      <w:r>
        <w:rPr>
          <w:b/>
        </w:rPr>
        <w:t xml:space="preserve">Purpose. </w:t>
      </w:r>
      <w:r>
        <w:t>This report documents sample-level, run-level, artifact-level, and release-level QC evidence for an Altair analytical VCF deliverable. The completed and signed report authorizes release of the reportable-range-filtered VCF and index listed in Section 4.</w:t>
      </w:r>
    </w:p>
    <w:p>
      <w:pPr>
        <w:pStyle w:val="BodyText"/>
      </w:pPr>
      <w:r>
        <w:rPr>
          <w:b/>
        </w:rPr>
        <w:t xml:space="preserve">Scope. </w:t>
      </w:r>
      <w:r>
        <w:t>Altair reports passing germline SNVs and small indels &lt;=50 bp within the controlled Altair reportable range. This report is limited to analytical QC and release authorization. It does not provide clinical variant interpretation, pathogenicity classification, phenotype correlation, diagnosis, or medical recommendations.</w:t>
      </w:r>
    </w:p>
    <w:p>
      <w:pPr>
        <w:pStyle w:val="BodyText"/>
      </w:pPr>
      <w:r>
        <w:rPr>
          <w:b/>
        </w:rPr>
        <w:t xml:space="preserve">Release boundary. </w:t>
      </w:r>
      <w:r>
        <w:t>Only the completed QC report, released VCF, and released VCF index constitute the signed release package unless additional artifacts are explicitly listed in the artifact manifest. Absence of a variant from the VCF is not a clinical negative result for any gene, exon, locus, condition, or genomic region.</w:t>
      </w:r>
    </w:p>
    <w:tbl>
      <w:tblPr>
        <w:tblStyle w:val="TableGrid"/>
        <w:tblW w:type="auto" w:w="0"/>
        <w:tblLook w:firstColumn="1" w:firstRow="1" w:lastColumn="0" w:lastRow="0" w:noHBand="0" w:noVBand="1" w:val="04A0"/>
      </w:tblPr>
      <w:tblGrid>
        <w:gridCol w:w="10368"/>
      </w:tblGrid>
      <w:tr>
        <w:tc>
          <w:tcPr>
            <w:tcW w:type="dxa" w:w="10368"/>
            <w:shd w:fill="F2F4F7"/>
            <w:tcBorders>
              <w:top w:val="single" w:sz="10" w:space="0" w:color="9FAFC2"/>
              <w:left w:val="single" w:sz="10" w:space="0" w:color="9FAFC2"/>
              <w:bottom w:val="single" w:sz="10" w:space="0" w:color="9FAFC2"/>
              <w:right w:val="single" w:sz="10" w:space="0" w:color="9FAFC2"/>
            </w:tcBorders>
          </w:tcPr>
          <w:p>
            <w:pPr>
              <w:spacing w:after="0" w:before="0"/>
            </w:pPr>
            <w:r>
              <w:rPr>
                <w:rFonts w:ascii="Arial" w:hAnsi="Arial"/>
                <w:b/>
                <w:color w:val="363844"/>
                <w:sz w:val="18"/>
              </w:rPr>
              <w:t>Required disposition values</w:t>
            </w:r>
          </w:p>
          <w:p>
            <w:pPr>
              <w:spacing w:after="0" w:before="0"/>
            </w:pPr>
            <w:r>
              <w:rPr>
                <w:rFonts w:ascii="Arial" w:hAnsi="Arial"/>
                <w:sz w:val="17"/>
              </w:rPr>
              <w:t>Final release disposition must be exactly one of: PASS, HOLD, or FAIL. PASS means all required QC gates are satisfied and the VCF/index may be delivered. HOLD means release is blocked pending review, missing evidence, or unresolved deviation. FAIL means the deliverable is not releasable under the applicable policy.</w:t>
            </w:r>
          </w:p>
        </w:tc>
      </w:tr>
    </w:tbl>
    <w:p>
      <w:pPr>
        <w:pStyle w:val="Heading1"/>
        <w:spacing w:before="160" w:after="80"/>
        <w:keepNext/>
      </w:pPr>
      <w:r>
        <w:rPr>
          <w:color w:val="083372"/>
        </w:rPr>
        <w:t>3. Case, Sample, and Material Traceability</w:t>
      </w:r>
    </w:p>
    <w:tbl>
      <w:tblPr>
        <w:tblStyle w:val="TableGrid"/>
        <w:tblW w:type="pct" w:w="5000"/>
        <w:jc w:val="center"/>
        <w:tblLayout w:type="autofit"/>
        <w:tblLook w:firstColumn="1" w:firstRow="1" w:lastColumn="0" w:lastRow="0" w:noHBand="0" w:noVBand="1" w:val="04A0"/>
      </w:tblPr>
      <w:tblGrid>
        <w:gridCol w:w="3456"/>
        <w:gridCol w:w="3456"/>
        <w:gridCol w:w="3456"/>
      </w:tblGrid>
      <w:tr>
        <w:trPr>
          <w:tblHeader w:val="true"/>
        </w:trPr>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Field</w:t>
            </w:r>
          </w:p>
        </w:tc>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Value</w:t>
            </w:r>
          </w:p>
        </w:tc>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Source system / record</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Report ID</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R2 / report generator</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 authorization ID</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R2 / QMS approval system</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Order / case / TRX ID</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Portal / LIMS</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Accession ID</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LIMS / accessioning</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Patient or subject ID, if applicable</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Portal / LIMS; do not include PHI if prohibited</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External customer sample ID</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XID map / order record</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Internal sample ID</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LIMS / MDR</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Library ID</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LIMS / MDR</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Material type</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Example: purified gDNA</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Specimen source / extraction bridge status</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Validated scope or bridge status</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Received date/time</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Accessioning record</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Library preparation batch</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LES/LIMS</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Library preparation operator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Training-current personnel record</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Sequencing run ID(s)</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Sequencer / LIMS</w:t>
            </w:r>
          </w:p>
        </w:tc>
      </w:tr>
    </w:tbl>
    <w:p>
      <w:pPr>
        <w:pStyle w:val="BodyText"/>
        <w:spacing w:before="20" w:after="60"/>
      </w:pPr>
      <w:r>
        <w:rPr>
          <w:i/>
          <w:color w:val="697084"/>
          <w:sz w:val="16"/>
        </w:rPr>
        <w:t>If the final release package intentionally excludes patient identifiers, retain a controlled crosswalk in the authoritative system of record and document the de-identified identifier used in this report.</w:t>
      </w:r>
    </w:p>
    <w:p>
      <w:pPr>
        <w:pStyle w:val="Heading1"/>
        <w:spacing w:before="160" w:after="80"/>
        <w:keepNext/>
      </w:pPr>
      <w:r>
        <w:rPr>
          <w:color w:val="083372"/>
        </w:rPr>
        <w:t>4. Release Package Artifact Manifest</w:t>
      </w:r>
    </w:p>
    <w:tbl>
      <w:tblPr>
        <w:tblStyle w:val="TableGrid"/>
        <w:tblW w:type="pct" w:w="5000"/>
        <w:jc w:val="center"/>
        <w:tblLayout w:type="autofit"/>
        <w:tblLook w:firstColumn="1" w:firstRow="1" w:lastColumn="0" w:lastRow="0" w:noHBand="0" w:noVBand="1" w:val="04A0"/>
      </w:tblPr>
      <w:tblGrid>
        <w:gridCol w:w="2592"/>
        <w:gridCol w:w="2592"/>
        <w:gridCol w:w="2592"/>
        <w:gridCol w:w="2592"/>
      </w:tblGrid>
      <w:tr>
        <w:trPr>
          <w:tblHeader w:val="true"/>
        </w:trPr>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Artifact</w:t>
            </w:r>
          </w:p>
        </w:tc>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Required field / token</w:t>
            </w:r>
          </w:p>
        </w:tc>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Value</w:t>
            </w:r>
          </w:p>
        </w:tc>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Verification status</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VCF</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VCF filename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verified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VCF</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SHA256 checksum</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verified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VCF</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File size bytes</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verified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VCF</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Object storage URI / controlled path</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verified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VCF index</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Index filename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verified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VCF index</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SHA256 checksum</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verified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VCF index</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Object storage URI / controlled path</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verified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This QC report</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Report filename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QUAL-FRM-ALT-001_Altair_Analytical_Variant_Release_QC_Report.generated.docx</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verified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This QC report</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Report checksum after final signature/export</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verified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Optional release package ZIP</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Package filename / checksum</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N/A  [ ] verified</w:t>
            </w:r>
          </w:p>
        </w:tc>
      </w:tr>
    </w:tbl>
    <w:p>
      <w:pPr>
        <w:pStyle w:val="BodyText"/>
        <w:spacing w:before="20" w:after="60"/>
      </w:pPr>
      <w:r>
        <w:rPr>
          <w:i/>
          <w:color w:val="697084"/>
          <w:sz w:val="16"/>
        </w:rPr>
        <w:t>The completed report checksum should be calculated after finalization/signature/export. Recalculate the package checksum if any released artifact changes.</w:t>
      </w:r>
    </w:p>
    <w:p>
      <w:pPr>
        <w:pStyle w:val="Heading1"/>
        <w:spacing w:before="160" w:after="80"/>
        <w:keepNext/>
      </w:pPr>
      <w:r>
        <w:rPr>
          <w:color w:val="083372"/>
        </w:rPr>
        <w:t>5. Workflow, Reference, Pipeline, and Reportable-Range Version Record</w:t>
      </w:r>
    </w:p>
    <w:tbl>
      <w:tblPr>
        <w:tblStyle w:val="TableGrid"/>
        <w:tblW w:type="pct" w:w="5000"/>
        <w:jc w:val="center"/>
        <w:tblLayout w:type="autofit"/>
        <w:tblLook w:firstColumn="1" w:firstRow="1" w:lastColumn="0" w:lastRow="0" w:noHBand="0" w:noVBand="1" w:val="04A0"/>
      </w:tblPr>
      <w:tblGrid>
        <w:gridCol w:w="2592"/>
        <w:gridCol w:w="2592"/>
        <w:gridCol w:w="2592"/>
        <w:gridCol w:w="2592"/>
      </w:tblGrid>
      <w:tr>
        <w:trPr>
          <w:tblHeader w:val="true"/>
        </w:trPr>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Component</w:t>
            </w:r>
          </w:p>
        </w:tc>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Version / identifier</w:t>
            </w:r>
          </w:p>
        </w:tc>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Checksum / digest</w:t>
            </w:r>
          </w:p>
        </w:tc>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Disposition</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Altair assay version</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Workflow / pipeline name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daylily-omics-analysis</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produce_altair_validation_artifacts</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Pipeline software release / commit</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Container image / digest</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Reference genome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GRCh38 no-alt</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Reference bundle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Transcript / annotation source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ClinVar / annotation database release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Reportable-range BED name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Altair_RR_v1.bed</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Reportable-range BED row count</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0</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Expected: 0</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Reportable-range BED total bases</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0</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Expected: 0</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Reportable-range chromosome set</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chr1,chr2,chr3,chr4,chr5,chr6,chr7,chr8,chr9,chr10,chr11,chr12,chr13,chr14,chr15,chr16,chr17,chr18,chr19,chr20,chr21,chr22</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Expected: autosomes + chrX unless approved otherwise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bl>
    <w:tbl>
      <w:tblPr>
        <w:tblStyle w:val="TableGrid"/>
        <w:tblW w:type="auto" w:w="0"/>
        <w:tblLook w:firstColumn="1" w:firstRow="1" w:lastColumn="0" w:lastRow="0" w:noHBand="0" w:noVBand="1" w:val="04A0"/>
      </w:tblPr>
      <w:tblGrid>
        <w:gridCol w:w="10368"/>
      </w:tblGrid>
      <w:tr>
        <w:tc>
          <w:tcPr>
            <w:tcW w:type="dxa" w:w="10368"/>
            <w:shd w:fill="FFF8E8"/>
            <w:tcBorders>
              <w:top w:val="single" w:sz="10" w:space="0" w:color="F8A721"/>
              <w:left w:val="single" w:sz="10" w:space="0" w:color="F8A721"/>
              <w:bottom w:val="single" w:sz="10" w:space="0" w:color="F8A721"/>
              <w:right w:val="single" w:sz="10" w:space="0" w:color="F8A721"/>
            </w:tcBorders>
          </w:tcPr>
          <w:p>
            <w:pPr>
              <w:spacing w:after="0" w:before="0"/>
            </w:pPr>
            <w:r>
              <w:rPr>
                <w:rFonts w:ascii="Arial" w:hAnsi="Arial"/>
                <w:b/>
                <w:color w:val="363844"/>
                <w:sz w:val="18"/>
              </w:rPr>
              <w:t>Reportable-range rule</w:t>
            </w:r>
          </w:p>
          <w:p>
            <w:pPr>
              <w:spacing w:after="0" w:before="0"/>
            </w:pPr>
            <w:r>
              <w:rPr>
                <w:rFonts w:ascii="Arial" w:hAnsi="Arial"/>
                <w:sz w:val="17"/>
              </w:rPr>
              <w:t>The released VCF must be hard-filtered to the controlled RR BED version listed above. Zero released calls outside the approved RR are permitted.</w:t>
            </w:r>
          </w:p>
        </w:tc>
      </w:tr>
    </w:tbl>
    <w:p>
      <w:pPr>
        <w:pStyle w:val="Heading1"/>
        <w:spacing w:before="160" w:after="80"/>
        <w:keepNext/>
      </w:pPr>
      <w:r>
        <w:rPr>
          <w:color w:val="083372"/>
        </w:rPr>
        <w:t>6. Run-Level QC Disposition</w:t>
      </w:r>
    </w:p>
    <w:tbl>
      <w:tblPr>
        <w:tblStyle w:val="TableGrid"/>
        <w:tblW w:type="pct" w:w="5000"/>
        <w:jc w:val="center"/>
        <w:tblLayout w:type="autofit"/>
        <w:tblLook w:firstColumn="1" w:firstRow="1" w:lastColumn="0" w:lastRow="0" w:noHBand="0" w:noVBand="1" w:val="04A0"/>
      </w:tblPr>
      <w:tblGrid>
        <w:gridCol w:w="2592"/>
        <w:gridCol w:w="2592"/>
        <w:gridCol w:w="2592"/>
        <w:gridCol w:w="2592"/>
      </w:tblGrid>
      <w:tr>
        <w:trPr>
          <w:tblHeader w:val="true"/>
        </w:trPr>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Metric / control</w:t>
            </w:r>
          </w:p>
        </w:tc>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Actual value</w:t>
            </w:r>
          </w:p>
        </w:tc>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Acceptance criterion</w:t>
            </w:r>
          </w:p>
        </w:tc>
        <w:tc>
          <w:tcPr>
            <w:tcW w:type="dxa" w:w="2592"/>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Disposition / reviewer comment</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Run ID</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Recorded and traceable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Sequencing instrument ID</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calibrated, maintenance-current</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Flowcell ID / lane(s)</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 / 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Recorded and traceable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Sequencing date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Recorded and traceable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Run yield</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Per approved run-level policy</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bases Q30</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&gt;=90% supporting/default, or approved policy threshold</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Demultiplexing / sample sheet ID</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Version/hash recorded</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Index hopping / barcode collision review</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No release-impacting issue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NTC status</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No passing reportable-range SNV/indel calls</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r>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Run-level deviation ID(s)</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None unresolved for release</w:t>
            </w:r>
          </w:p>
        </w:tc>
        <w:tc>
          <w:tcPr>
            <w:tcW w:type="dxa" w:w="2592"/>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w:t>
            </w:r>
          </w:p>
        </w:tc>
      </w:tr>
    </w:tbl>
    <w:p>
      <w:pPr>
        <w:pStyle w:val="Heading1"/>
        <w:spacing w:before="160" w:after="80"/>
        <w:keepNext/>
      </w:pPr>
      <w:r>
        <w:rPr>
          <w:color w:val="083372"/>
        </w:rPr>
        <w:t>7. Sample-Level Analytical QC Gates</w:t>
      </w:r>
    </w:p>
    <w:tbl>
      <w:tblPr>
        <w:tblStyle w:val="TableGrid"/>
        <w:tblW w:type="pct" w:w="5000"/>
        <w:jc w:val="center"/>
        <w:tblLayout w:type="autofit"/>
        <w:tblLook w:firstColumn="1" w:firstRow="1" w:lastColumn="0" w:lastRow="0" w:noHBand="0" w:noVBand="1" w:val="04A0"/>
      </w:tblPr>
      <w:tblGrid>
        <w:gridCol w:w="2074"/>
        <w:gridCol w:w="2074"/>
        <w:gridCol w:w="2074"/>
        <w:gridCol w:w="2074"/>
        <w:gridCol w:w="2074"/>
      </w:tblGrid>
      <w:tr>
        <w:trPr>
          <w:tblHeader w:val="true"/>
        </w:trPr>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QC category</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Metric</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Actual value</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Default Altair v1 lenient criterion / approved policy</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Disposition</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Coverage</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Median depth across full RR</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&gt;=20x</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Coverage</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RR bases &gt;=10x</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&gt;=90%</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Coverage</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RR bases &gt;=20x</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&gt;=65%</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Callability</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RR callable fraction</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&gt;=90% if callable uses DP&gt;=10/GQ; &gt;=65% if callable requires &gt;=20x</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Read metrics</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Duplicate read percentage</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&lt;=10% supporting/default, or approved policy threshold</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Contamination</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VerifyBamID2 FREEMIX</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&lt;=0.03</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Identity</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Sample identity / fingerprint check</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Expected identity confirmed, if applicable</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Identity</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Sex concordance check</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Expected or documented as 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Pipeline</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Workflow completion status</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FAIL</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Completed without unresolved error</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 boundary</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calls outside RR</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0</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 boundary</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variants with indel length &gt;50 bp</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0</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pass  [ ] hold  [ ] fail</w:t>
            </w:r>
          </w:p>
        </w:tc>
      </w:tr>
    </w:tbl>
    <w:p>
      <w:pPr>
        <w:pStyle w:val="BodyText"/>
        <w:spacing w:before="20" w:after="60"/>
      </w:pPr>
      <w:r>
        <w:rPr>
          <w:i/>
          <w:color w:val="697084"/>
          <w:sz w:val="16"/>
        </w:rPr>
        <w:t>Thresholds in this table are template defaults. At production use, the report generator must pull the effective thresholds from the approved Altair QC policy version and record that policy version in Section 5.</w:t>
      </w:r>
    </w:p>
    <w:p>
      <w:pPr>
        <w:pStyle w:val="Heading1"/>
        <w:spacing w:before="160" w:after="80"/>
        <w:keepNext/>
      </w:pPr>
      <w:r>
        <w:rPr>
          <w:color w:val="083372"/>
        </w:rPr>
        <w:t>8. Reportable-Range Coverage and Callability Summary</w:t>
      </w:r>
    </w:p>
    <w:tbl>
      <w:tblPr>
        <w:tblStyle w:val="TableGrid"/>
        <w:tblW w:type="pct" w:w="5000"/>
        <w:jc w:val="center"/>
        <w:tblLayout w:type="autofit"/>
        <w:tblLook w:firstColumn="1" w:firstRow="1" w:lastColumn="0" w:lastRow="0" w:noHBand="0" w:noVBand="1" w:val="04A0"/>
      </w:tblPr>
      <w:tblGrid>
        <w:gridCol w:w="1728"/>
        <w:gridCol w:w="1728"/>
        <w:gridCol w:w="1728"/>
        <w:gridCol w:w="1728"/>
        <w:gridCol w:w="1728"/>
        <w:gridCol w:w="1728"/>
      </w:tblGrid>
      <w:tr>
        <w:trPr>
          <w:tblHeader w:val="true"/>
        </w:trPr>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Region</w:t>
            </w:r>
          </w:p>
        </w:tc>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Bases assessed</w:t>
            </w:r>
          </w:p>
        </w:tc>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Median depth</w:t>
            </w:r>
          </w:p>
        </w:tc>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 &gt;=10x</w:t>
            </w:r>
          </w:p>
        </w:tc>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 &gt;=20x</w:t>
            </w:r>
          </w:p>
        </w:tc>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Callable fraction</w:t>
            </w:r>
          </w:p>
        </w:tc>
      </w:tr>
      <w:tr>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Full Altair RR</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0</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r>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Autosomes portion</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0</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r>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chrX portion, if in RR</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bl>
    <w:p>
      <w:pPr>
        <w:pStyle w:val="BodyText"/>
        <w:spacing w:before="20" w:after="60"/>
      </w:pPr>
      <w:r>
        <w:rPr>
          <w:i/>
          <w:color w:val="697084"/>
          <w:sz w:val="16"/>
        </w:rPr>
        <w:t>Coverage/callability must be calculated across the full controlled RR, not from WGS-wide metrics and not from GIAB high-confidence regions only.</w:t>
      </w:r>
    </w:p>
    <w:p>
      <w:pPr>
        <w:pStyle w:val="Heading1"/>
        <w:spacing w:before="160" w:after="80"/>
        <w:keepNext/>
      </w:pPr>
      <w:r>
        <w:rPr>
          <w:color w:val="083372"/>
        </w:rPr>
        <w:t>9. Released Variant Count Summary</w:t>
      </w:r>
    </w:p>
    <w:tbl>
      <w:tblPr>
        <w:tblStyle w:val="TableGrid"/>
        <w:tblW w:type="pct" w:w="5000"/>
        <w:jc w:val="center"/>
        <w:tblLayout w:type="autofit"/>
        <w:tblLook w:firstColumn="1" w:firstRow="1" w:lastColumn="0" w:lastRow="0" w:noHBand="0" w:noVBand="1" w:val="04A0"/>
      </w:tblPr>
      <w:tblGrid>
        <w:gridCol w:w="3456"/>
        <w:gridCol w:w="3456"/>
        <w:gridCol w:w="3456"/>
      </w:tblGrid>
      <w:tr>
        <w:trPr>
          <w:tblHeader w:val="true"/>
        </w:trPr>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Released VCF count category</w:t>
            </w:r>
          </w:p>
        </w:tc>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Count</w:t>
            </w:r>
          </w:p>
        </w:tc>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Counting rule / comment</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Total released passing records</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VCF records passing release filters within RR</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SNVs</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SNVs within RR</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insertions &lt;=50 bp</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Insertion length &lt;=50 bp after normalization/counting rule</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deletions &lt;=50 bp</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Deletion length &lt;=50 bp after normalization/counting rule</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other in-scope small indels &lt;=50 bp</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If applicable; define counting rule</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records on autosomes</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chr1-chr22</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records on chrX</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Expected if chrX included in RR</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Excluded/nonreleased records outside RR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Should not be present in released VCF</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Excluded/nonreleased out-of-scope variant classes</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CNV/SV/STR/mtDNA/somatic/mosaic/etc.</w:t>
            </w:r>
          </w:p>
        </w:tc>
      </w:tr>
    </w:tbl>
    <w:tbl>
      <w:tblPr>
        <w:tblStyle w:val="TableGrid"/>
        <w:tblW w:type="auto" w:w="0"/>
        <w:tblLook w:firstColumn="1" w:firstRow="1" w:lastColumn="0" w:lastRow="0" w:noHBand="0" w:noVBand="1" w:val="04A0"/>
      </w:tblPr>
      <w:tblGrid>
        <w:gridCol w:w="10368"/>
      </w:tblGrid>
      <w:tr>
        <w:tc>
          <w:tcPr>
            <w:tcW w:type="dxa" w:w="10368"/>
            <w:shd w:fill="F2F4F7"/>
            <w:tcBorders>
              <w:top w:val="single" w:sz="10" w:space="0" w:color="9FAFC2"/>
              <w:left w:val="single" w:sz="10" w:space="0" w:color="9FAFC2"/>
              <w:bottom w:val="single" w:sz="10" w:space="0" w:color="9FAFC2"/>
              <w:right w:val="single" w:sz="10" w:space="0" w:color="9FAFC2"/>
            </w:tcBorders>
          </w:tcPr>
          <w:p>
            <w:pPr>
              <w:spacing w:after="0" w:before="0"/>
            </w:pPr>
            <w:r>
              <w:rPr>
                <w:rFonts w:ascii="Arial" w:hAnsi="Arial"/>
                <w:b/>
                <w:color w:val="363844"/>
                <w:sz w:val="18"/>
              </w:rPr>
              <w:t>Variant interpretation boundary</w:t>
            </w:r>
          </w:p>
          <w:p>
            <w:pPr>
              <w:spacing w:after="0" w:before="0"/>
            </w:pPr>
            <w:r>
              <w:rPr>
                <w:rFonts w:ascii="Arial" w:hAnsi="Arial"/>
                <w:sz w:val="17"/>
              </w:rPr>
              <w:t>Variant counts are provided as an analytical output summary only. This report does not classify variants, select variants for clinical significance, or interpret absence/presence of variants relative to any condition.</w:t>
            </w:r>
          </w:p>
        </w:tc>
      </w:tr>
    </w:tbl>
    <w:p>
      <w:pPr>
        <w:pStyle w:val="Heading1"/>
        <w:spacing w:before="160" w:after="80"/>
        <w:keepNext/>
      </w:pPr>
      <w:r>
        <w:rPr>
          <w:color w:val="083372"/>
        </w:rPr>
        <w:t>10. Deviations, Holds, and Release-Impact Assessment</w:t>
      </w:r>
    </w:p>
    <w:tbl>
      <w:tblPr>
        <w:tblStyle w:val="TableGrid"/>
        <w:tblW w:type="pct" w:w="5000"/>
        <w:jc w:val="center"/>
        <w:tblLayout w:type="autofit"/>
        <w:tblLook w:firstColumn="1" w:firstRow="1" w:lastColumn="0" w:lastRow="0" w:noHBand="0" w:noVBand="1" w:val="04A0"/>
      </w:tblPr>
      <w:tblGrid>
        <w:gridCol w:w="2074"/>
        <w:gridCol w:w="2074"/>
        <w:gridCol w:w="2074"/>
        <w:gridCol w:w="2074"/>
        <w:gridCol w:w="2074"/>
      </w:tblGrid>
      <w:tr>
        <w:trPr>
          <w:tblHeader w:val="true"/>
        </w:trPr>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Deviation / issue ID</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Description</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Impacted artifact or sample</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Impact assessment</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Disposition</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 no impact  [ ] release with rationale  [ ] hold  [ ] fail</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r>
          </w:p>
        </w:tc>
      </w:tr>
    </w:tbl>
    <w:p>
      <w:pPr>
        <w:pStyle w:val="BodyText"/>
      </w:pPr>
      <w:r>
        <w:rPr>
          <w:b/>
        </w:rPr>
        <w:t xml:space="preserve">Release-impact rationale, if any: </w:t>
      </w:r>
      <w:r>
        <w:t>NA</w:t>
      </w:r>
    </w:p>
    <w:p>
      <w:pPr>
        <w:pStyle w:val="Heading1"/>
        <w:spacing w:before="160" w:after="80"/>
        <w:keepNext/>
      </w:pPr>
      <w:r>
        <w:rPr>
          <w:color w:val="083372"/>
        </w:rPr>
        <w:t>11. Release Decision Checklist</w:t>
      </w:r>
    </w:p>
    <w:p>
      <w:pPr>
        <w:pStyle w:val="BodyText"/>
        <w:ind w:left="259" w:hanging="259"/>
      </w:pPr>
      <w:r>
        <w:rPr>
          <w:b/>
        </w:rPr>
        <w:t xml:space="preserve">[ ] </w:t>
      </w:r>
      <w:r>
        <w:t>All required identifiers and traceability fields are complete.</w:t>
      </w:r>
    </w:p>
    <w:p>
      <w:pPr>
        <w:pStyle w:val="BodyText"/>
        <w:ind w:left="259" w:hanging="259"/>
      </w:pPr>
      <w:r>
        <w:rPr>
          <w:b/>
        </w:rPr>
        <w:t xml:space="preserve">[ ] </w:t>
      </w:r>
      <w:r>
        <w:t>Pipeline, reference, annotation, and RR artifact versions/checksums are recorded.</w:t>
      </w:r>
    </w:p>
    <w:p>
      <w:pPr>
        <w:pStyle w:val="BodyText"/>
        <w:ind w:left="259" w:hanging="259"/>
      </w:pPr>
      <w:r>
        <w:rPr>
          <w:b/>
        </w:rPr>
        <w:t xml:space="preserve">[ ] </w:t>
      </w:r>
      <w:r>
        <w:t>Released VCF and VCF index checksums are verified.</w:t>
      </w:r>
    </w:p>
    <w:p>
      <w:pPr>
        <w:pStyle w:val="BodyText"/>
        <w:ind w:left="259" w:hanging="259"/>
      </w:pPr>
      <w:r>
        <w:rPr>
          <w:b/>
        </w:rPr>
        <w:t xml:space="preserve">[ ] </w:t>
      </w:r>
      <w:r>
        <w:t>Run-level QC and NTC criteria are satisfied or have documented disposition.</w:t>
      </w:r>
    </w:p>
    <w:p>
      <w:pPr>
        <w:pStyle w:val="BodyText"/>
        <w:ind w:left="259" w:hanging="259"/>
      </w:pPr>
      <w:r>
        <w:rPr>
          <w:b/>
        </w:rPr>
        <w:t xml:space="preserve">[ ] </w:t>
      </w:r>
      <w:r>
        <w:t>Sample-level coverage, callability, contamination, and identity QC criteria are satisfied or have documented disposition.</w:t>
      </w:r>
    </w:p>
    <w:p>
      <w:pPr>
        <w:pStyle w:val="BodyText"/>
        <w:ind w:left="259" w:hanging="259"/>
      </w:pPr>
      <w:r>
        <w:rPr>
          <w:b/>
        </w:rPr>
        <w:t xml:space="preserve">[ ] </w:t>
      </w:r>
      <w:r>
        <w:t>RR hard-filter verification confirms zero released calls outside RR.</w:t>
      </w:r>
    </w:p>
    <w:p>
      <w:pPr>
        <w:pStyle w:val="BodyText"/>
        <w:ind w:left="259" w:hanging="259"/>
      </w:pPr>
      <w:r>
        <w:rPr>
          <w:b/>
        </w:rPr>
        <w:t xml:space="preserve">[ ] </w:t>
      </w:r>
      <w:r>
        <w:t>Released variant counts are recorded and are consistent with VCF filtering rules.</w:t>
      </w:r>
    </w:p>
    <w:p>
      <w:pPr>
        <w:pStyle w:val="BodyText"/>
        <w:ind w:left="259" w:hanging="259"/>
      </w:pPr>
      <w:r>
        <w:rPr>
          <w:b/>
        </w:rPr>
        <w:t xml:space="preserve">[ ] </w:t>
      </w:r>
      <w:r>
        <w:t>All deviations are closed or explicitly dispositioned for release by authorized personnel.</w:t>
      </w:r>
    </w:p>
    <w:p>
      <w:pPr>
        <w:pStyle w:val="BodyText"/>
        <w:ind w:left="259" w:hanging="259"/>
      </w:pPr>
      <w:r>
        <w:rPr>
          <w:b/>
        </w:rPr>
        <w:t xml:space="preserve">[ ] </w:t>
      </w:r>
      <w:r>
        <w:t>Limitations statement is retained in the released report.</w:t>
      </w:r>
    </w:p>
    <w:p>
      <w:pPr>
        <w:pStyle w:val="BodyText"/>
        <w:ind w:left="259" w:hanging="259"/>
      </w:pPr>
      <w:r>
        <w:rPr>
          <w:b/>
        </w:rPr>
        <w:t xml:space="preserve">[ ] </w:t>
      </w:r>
      <w:r>
        <w:t>Final disposition below is completed and signed/electronically approved.</w:t>
      </w:r>
    </w:p>
    <w:p>
      <w:pPr>
        <w:pStyle w:val="Heading2"/>
        <w:spacing w:before="120" w:after="60"/>
        <w:keepNext/>
      </w:pPr>
      <w:r>
        <w:rPr>
          <w:color w:val="363844"/>
        </w:rPr>
        <w:t>Final release disposition</w:t>
      </w:r>
    </w:p>
    <w:tbl>
      <w:tblPr>
        <w:tblStyle w:val="TableGrid"/>
        <w:tblW w:type="pct" w:w="5000"/>
        <w:jc w:val="center"/>
        <w:tblLayout w:type="autofit"/>
        <w:tblLook w:firstColumn="1" w:firstRow="1" w:lastColumn="0" w:lastRow="0" w:noHBand="0" w:noVBand="1" w:val="04A0"/>
      </w:tblPr>
      <w:tblGrid>
        <w:gridCol w:w="3456"/>
        <w:gridCol w:w="3456"/>
        <w:gridCol w:w="3456"/>
      </w:tblGrid>
      <w:tr>
        <w:trPr>
          <w:tblHeader w:val="true"/>
        </w:trPr>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Disposition</w:t>
            </w:r>
          </w:p>
        </w:tc>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Select one</w:t>
            </w:r>
          </w:p>
        </w:tc>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Required action</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PASS</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VCF and index may be released with this signed QC report.</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HOLD</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Do not release until missing evidence, unresolved QC issue, or deviation is dispositioned.</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FAIL</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 ]</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Do not release. Rerun/rework or replacement deliverable required if appropriate.</w:t>
            </w:r>
          </w:p>
        </w:tc>
      </w:tr>
    </w:tbl>
    <w:p>
      <w:pPr>
        <w:pStyle w:val="BodyText"/>
      </w:pPr>
      <w:r>
        <w:rPr>
          <w:b/>
        </w:rPr>
        <w:t xml:space="preserve">Final disposition rationale: </w:t>
      </w:r>
      <w:r>
        <w:t>missing_giab_bar_metrics; missing_accuracy_metrics; invalid_accuracy_denominator; rr_manifest_status; bar_manifest_status; bar_manifest_status; bar_manifest_status; bar_manifest_status; bar_manifest_status; bar_manifest_status; bar_manifest_status; accuracy_metrics_pooled_status; accuracy_metrics_pooled_status; missing_rr_coverage_callability; missing_rr_boundary_verification</w:t>
      </w:r>
    </w:p>
    <w:p>
      <w:pPr>
        <w:pStyle w:val="Heading1"/>
        <w:spacing w:before="160" w:after="80"/>
        <w:keepNext/>
      </w:pPr>
      <w:r>
        <w:rPr>
          <w:color w:val="083372"/>
        </w:rPr>
        <w:t>12. Limitations Statement</w:t>
      </w:r>
    </w:p>
    <w:p>
      <w:pPr>
        <w:pStyle w:val="BodyText"/>
        <w:ind w:left="288" w:hanging="288"/>
      </w:pPr>
      <w:r>
        <w:t xml:space="preserve">- </w:t>
      </w:r>
      <w:r>
        <w:t>Altair is a limited-scope PCR-free germline WGS analytical variant-calling assay that releases an annotated VCF containing passing SNVs and small indels &lt;=50 bp within the controlled reportable range.</w:t>
      </w:r>
    </w:p>
    <w:p>
      <w:pPr>
        <w:pStyle w:val="BodyText"/>
        <w:ind w:left="288" w:hanging="288"/>
      </w:pPr>
      <w:r>
        <w:t xml:space="preserve">- </w:t>
      </w:r>
      <w:r>
        <w:t>The released VCF is hard-filtered to the approved Altair reportable-range BED version listed in this report. Calls outside the reportable range are not returned in the released output.</w:t>
      </w:r>
    </w:p>
    <w:p>
      <w:pPr>
        <w:pStyle w:val="BodyText"/>
        <w:ind w:left="288" w:hanging="288"/>
      </w:pPr>
      <w:r>
        <w:t xml:space="preserve">- </w:t>
      </w:r>
      <w:r>
        <w:t>This report and VCF do not provide clinical interpretation, ACMG/AMP classification, phenotype correlation, diagnosis, treatment recommendations, or a negative result for any gene, exon, locus, condition, or region.</w:t>
      </w:r>
    </w:p>
    <w:p>
      <w:pPr>
        <w:pStyle w:val="BodyText"/>
        <w:ind w:left="288" w:hanging="288"/>
      </w:pPr>
      <w:r>
        <w:t xml:space="preserve">- </w:t>
      </w:r>
      <w:r>
        <w:t>Absence of a variant from the released VCF must not be interpreted as absence of disease or as a complete evaluation of any gene or genomic region.</w:t>
      </w:r>
    </w:p>
    <w:p>
      <w:pPr>
        <w:pStyle w:val="BodyText"/>
        <w:ind w:left="288" w:hanging="288"/>
      </w:pPr>
      <w:r>
        <w:t xml:space="preserve">- </w:t>
      </w:r>
      <w:r>
        <w:t>Altair does not report or exclude CNVs, structural variants, STR/repeat expansions, mitochondrial variants, somatic variants, mosaic variants, or clinically interpreted variant classifications unless a future approved scope revision explicitly adds those outputs.</w:t>
      </w:r>
    </w:p>
    <w:p>
      <w:pPr>
        <w:pStyle w:val="BodyText"/>
        <w:ind w:left="288" w:hanging="288"/>
      </w:pPr>
      <w:r>
        <w:t xml:space="preserve">- </w:t>
      </w:r>
      <w:r>
        <w:t>Coverage and callability are summarized across the full Altair reportable range. Validation accuracy claims based on GIAB truth-set benchmarking are limited to the applicable Benchmark Accuracy Region, defined as Altair RR intersected with sample-specific GIAB high-confidence intervals.</w:t>
      </w:r>
    </w:p>
    <w:p>
      <w:pPr>
        <w:pStyle w:val="BodyText"/>
        <w:ind w:left="288" w:hanging="288"/>
      </w:pPr>
      <w:r>
        <w:t xml:space="preserve">- </w:t>
      </w:r>
      <w:r>
        <w:t>Any deviation from approved workflow, reference, pipeline, reportable range, filtering logic, or release criteria requires documented review and disposition before release.</w:t>
      </w:r>
    </w:p>
    <w:p>
      <w:r>
        <w:br w:type="page"/>
      </w:r>
    </w:p>
    <w:p>
      <w:pPr>
        <w:pStyle w:val="Heading1"/>
        <w:spacing w:before="160" w:after="80"/>
        <w:keepNext/>
      </w:pPr>
      <w:r>
        <w:rPr>
          <w:color w:val="083372"/>
        </w:rPr>
        <w:t>13. Signatures and Electronic Approval</w:t>
      </w:r>
    </w:p>
    <w:tbl>
      <w:tblPr>
        <w:tblStyle w:val="TableGrid"/>
        <w:tblW w:type="pct" w:w="5000"/>
        <w:jc w:val="center"/>
        <w:tblLayout w:type="autofit"/>
        <w:tblLook w:firstColumn="1" w:firstRow="1" w:lastColumn="0" w:lastRow="0" w:noHBand="0" w:noVBand="1" w:val="04A0"/>
      </w:tblPr>
      <w:tblGrid>
        <w:gridCol w:w="2074"/>
        <w:gridCol w:w="2074"/>
        <w:gridCol w:w="2074"/>
        <w:gridCol w:w="2074"/>
        <w:gridCol w:w="2074"/>
      </w:tblGrid>
      <w:tr>
        <w:trPr>
          <w:tblHeader w:val="true"/>
        </w:trPr>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Role</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Name</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Signature / e-approval record</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Date/time</w:t>
            </w:r>
          </w:p>
        </w:tc>
        <w:tc>
          <w:tcPr>
            <w:tcW w:type="dxa" w:w="2074"/>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Comments</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Technical reviewer</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Bioinformatics reviewer</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Laboratory Director / designee</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r>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 authorization record</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2074"/>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bl>
    <w:tbl>
      <w:tblPr>
        <w:tblStyle w:val="TableGrid"/>
        <w:tblW w:type="auto" w:w="0"/>
        <w:tblLook w:firstColumn="1" w:firstRow="1" w:lastColumn="0" w:lastRow="0" w:noHBand="0" w:noVBand="1" w:val="04A0"/>
      </w:tblPr>
      <w:tblGrid>
        <w:gridCol w:w="10368"/>
      </w:tblGrid>
      <w:tr>
        <w:tc>
          <w:tcPr>
            <w:tcW w:type="dxa" w:w="10368"/>
            <w:shd w:fill="FFF8E8"/>
            <w:tcBorders>
              <w:top w:val="single" w:sz="10" w:space="0" w:color="F8A721"/>
              <w:left w:val="single" w:sz="10" w:space="0" w:color="F8A721"/>
              <w:bottom w:val="single" w:sz="10" w:space="0" w:color="F8A721"/>
              <w:right w:val="single" w:sz="10" w:space="0" w:color="F8A721"/>
            </w:tcBorders>
          </w:tcPr>
          <w:p>
            <w:pPr>
              <w:spacing w:after="0" w:before="0"/>
            </w:pPr>
            <w:r>
              <w:rPr>
                <w:rFonts w:ascii="Arial" w:hAnsi="Arial"/>
                <w:b/>
                <w:color w:val="363844"/>
                <w:sz w:val="18"/>
              </w:rPr>
              <w:t>Signature rule</w:t>
            </w:r>
          </w:p>
          <w:p>
            <w:pPr>
              <w:spacing w:after="0" w:before="0"/>
            </w:pPr>
            <w:r>
              <w:rPr>
                <w:rFonts w:ascii="Arial" w:hAnsi="Arial"/>
                <w:sz w:val="17"/>
              </w:rPr>
              <w:t>The completed report is not released until the Laboratory Director or authorized designee signs/electronically approves the PASS/HOLD/FAIL disposition. A PASS disposition authorizes release of only the artifacts listed in Section 4.</w:t>
            </w:r>
          </w:p>
        </w:tc>
      </w:tr>
    </w:tbl>
    <w:p>
      <w:r>
        <w:br w:type="page"/>
      </w:r>
    </w:p>
    <w:p>
      <w:pPr>
        <w:pStyle w:val="Heading1"/>
        <w:spacing w:before="160" w:after="80"/>
        <w:keepNext/>
      </w:pPr>
      <w:r>
        <w:rPr>
          <w:color w:val="083372"/>
        </w:rPr>
        <w:t>Appendix A. Automation Token Catalog</w:t>
      </w:r>
    </w:p>
    <w:tbl>
      <w:tblPr>
        <w:tblStyle w:val="TableGrid"/>
        <w:tblW w:type="pct" w:w="5000"/>
        <w:jc w:val="center"/>
        <w:tblLayout w:type="autofit"/>
        <w:tblLook w:firstColumn="1" w:firstRow="1" w:lastColumn="0" w:lastRow="0" w:noHBand="0" w:noVBand="1" w:val="04A0"/>
      </w:tblPr>
      <w:tblGrid>
        <w:gridCol w:w="3456"/>
        <w:gridCol w:w="3456"/>
        <w:gridCol w:w="3456"/>
      </w:tblGrid>
      <w:tr>
        <w:trPr>
          <w:tblHeader w:val="true"/>
        </w:trPr>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Token</w:t>
            </w:r>
          </w:p>
        </w:tc>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Meaning</w:t>
            </w:r>
          </w:p>
        </w:tc>
        <w:tc>
          <w:tcPr>
            <w:tcW w:type="dxa" w:w="3456"/>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Recommended source</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Unique QC report identifier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R2/report generator</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 authorization record identifier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R2/QMS</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Order/case/test requisition identifier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Portal/LIMS</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Accession identifier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LIMS/accessioning</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Internal sample identifier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LIMS/MDR</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Library identifier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LIMS/MDR</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Sequencing run identifier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Sequencer/LIMS</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Locked pipeline version</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Pipeline manifest</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Container digest or immutable workflow artifact ID</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Pipeline manifest</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Reference bundle checksum</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Pipeline manifest</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Reportable-range BED checksum</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RR manifest</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VCF checksum</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Artifact registry</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VCF index checksum</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Artifact registry</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Median depth across full RR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RR coverage summary</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Percent RR bases &gt;=10x</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RR coverage summary</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Percent RR bases &gt;=20x</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RR coverage summary</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Callable fraction across full RR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Callability summary</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VerifyBamID2 FREEMIX contamination estimate</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Contamination QC</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VCF records outside RR</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VCF boundary check</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SNV count</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VCF count summary</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insertion &lt;=50 bp count</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VCF count summary</w:t>
            </w:r>
          </w:p>
        </w:tc>
      </w:tr>
      <w:tr>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Released deletion &lt;=50 bp count</w:t>
            </w:r>
          </w:p>
        </w:tc>
        <w:tc>
          <w:tcPr>
            <w:tcW w:type="dxa" w:w="3456"/>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VCF count summary</w:t>
            </w:r>
          </w:p>
        </w:tc>
      </w:tr>
    </w:tbl>
    <w:p>
      <w:pPr>
        <w:pStyle w:val="Heading1"/>
        <w:spacing w:before="160" w:after="80"/>
        <w:keepNext/>
      </w:pPr>
      <w:r>
        <w:rPr>
          <w:color w:val="083372"/>
        </w:rPr>
        <w:t>Appendix B. Optional Full Metric Detail</w:t>
      </w:r>
    </w:p>
    <w:tbl>
      <w:tblPr>
        <w:tblStyle w:val="TableGrid"/>
        <w:tblW w:type="pct" w:w="5000"/>
        <w:jc w:val="center"/>
        <w:tblLayout w:type="autofit"/>
        <w:tblLook w:firstColumn="1" w:firstRow="1" w:lastColumn="0" w:lastRow="0" w:noHBand="0" w:noVBand="1" w:val="04A0"/>
      </w:tblPr>
      <w:tblGrid>
        <w:gridCol w:w="1728"/>
        <w:gridCol w:w="1728"/>
        <w:gridCol w:w="1728"/>
        <w:gridCol w:w="1728"/>
        <w:gridCol w:w="1728"/>
        <w:gridCol w:w="1728"/>
      </w:tblGrid>
      <w:tr>
        <w:trPr>
          <w:tblHeader w:val="true"/>
        </w:trPr>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Metric name</w:t>
            </w:r>
          </w:p>
        </w:tc>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Value</w:t>
            </w:r>
          </w:p>
        </w:tc>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Unit</w:t>
            </w:r>
          </w:p>
        </w:tc>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Threshold</w:t>
            </w:r>
          </w:p>
        </w:tc>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Source file / command</w:t>
            </w:r>
          </w:p>
        </w:tc>
        <w:tc>
          <w:tcPr>
            <w:tcW w:type="dxa" w:w="1728"/>
            <w:vAlign w:val="center"/>
            <w:shd w:fill="363844"/>
            <w:tcBorders>
              <w:top w:val="single" w:sz="6" w:space="0" w:color="363844"/>
              <w:left w:val="single" w:sz="6" w:space="0" w:color="363844"/>
              <w:bottom w:val="single" w:sz="6" w:space="0" w:color="363844"/>
              <w:right w:val="single" w:sz="6" w:space="0" w:color="363844"/>
            </w:tcBorders>
          </w:tcPr>
          <w:p>
            <w:pPr>
              <w:spacing w:before="0" w:after="0"/>
            </w:pPr>
            <w:r>
              <w:rPr>
                <w:rFonts w:ascii="Arial" w:hAnsi="Arial"/>
                <w:sz w:val="16"/>
              </w:rPr>
            </w:r>
            <w:r>
              <w:rPr>
                <w:rFonts w:ascii="Arial" w:hAnsi="Arial"/>
                <w:b/>
                <w:color w:val="FFFFFF"/>
                <w:sz w:val="17"/>
              </w:rPr>
              <w:t>Reviewer comment</w:t>
            </w:r>
          </w:p>
        </w:tc>
      </w:tr>
      <w:tr>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Overall status</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FAIL</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status</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PASS requires all required evidence and gates</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validation_summary.json</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r>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Expected GIAB samples</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HG001,HG002,HG003,HG004,HG005,HG006,HG007</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sample IDs</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HG001-HG007 present</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bar_manifest.tsv</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r>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RR chromosome policy</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chr1,chr2,chr3,chr4,chr5,chr6,chr7,chr8,chr9,chr10,chr11,chr12,chr13,chr14,chr15,chr16,chr17,chr18,chr19,chr20,chr21,chr22,chrX</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chromosomes</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chr1-chr22,chrX unless approved otherwise</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rr_manifest.tsv</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r>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Accuracy denominator</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sample-specific BAR</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BED</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Altair_RR_v1 intersect GIAB_HC(sample)</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accuracy_metrics_by_sample.tsv</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r>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Coverage denominator</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full Altair_RR_v1</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BED</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not BAR, GIAB HC, WGS, or core BED</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rr_coverage_callability_by_sample.tsv</w:t>
            </w:r>
          </w:p>
        </w:tc>
        <w:tc>
          <w:tcPr>
            <w:tcW w:type="dxa" w:w="1728"/>
            <w:vAlign w:val="center"/>
            <w:tcBorders>
              <w:top w:val="single" w:sz="6" w:space="0" w:color="D9DDE3"/>
              <w:left w:val="single" w:sz="6" w:space="0" w:color="D9DDE3"/>
              <w:bottom w:val="single" w:sz="6" w:space="0" w:color="D9DDE3"/>
              <w:right w:val="single" w:sz="6" w:space="0" w:color="D9DDE3"/>
            </w:tcBorders>
          </w:tcPr>
          <w:p>
            <w:pPr>
              <w:spacing w:before="0" w:after="0"/>
            </w:pPr>
            <w:r>
              <w:rPr>
                <w:rFonts w:ascii="Arial" w:hAnsi="Arial"/>
                <w:sz w:val="16"/>
              </w:rPr>
            </w:r>
            <w:r>
              <w:rPr>
                <w:rFonts w:ascii="Arial" w:hAnsi="Arial"/>
                <w:b w:val="0"/>
                <w:sz w:val="16"/>
              </w:rPr>
              <w:t>NA</w:t>
            </w:r>
          </w:p>
        </w:tc>
      </w:tr>
    </w:tbl>
    <w:p>
      <w:pPr>
        <w:pStyle w:val="Heading1"/>
        <w:spacing w:before="160" w:after="80"/>
        <w:keepNext/>
      </w:pPr>
      <w:r>
        <w:rPr>
          <w:color w:val="083372"/>
        </w:rPr>
        <w:t>Appendix C. References</w:t>
      </w:r>
    </w:p>
    <w:p>
      <w:pPr>
        <w:pStyle w:val="BodyText"/>
        <w:ind w:left="288" w:hanging="288"/>
      </w:pPr>
      <w:r>
        <w:t xml:space="preserve">- </w:t>
      </w:r>
      <w:r>
        <w:t>QUAL-VAL-PLN-001 Altair Whole Genome Sequencing Design and Statistical Validation Plan, current approved version.</w:t>
      </w:r>
    </w:p>
    <w:p>
      <w:pPr>
        <w:pStyle w:val="BodyText"/>
        <w:ind w:left="288" w:hanging="288"/>
      </w:pPr>
      <w:r>
        <w:t xml:space="preserve">- </w:t>
      </w:r>
      <w:r>
        <w:t>Altair QC policy / acceptance criteria, current approved version.</w:t>
      </w:r>
    </w:p>
    <w:p>
      <w:pPr>
        <w:pStyle w:val="BodyText"/>
        <w:ind w:left="288" w:hanging="288"/>
      </w:pPr>
      <w:r>
        <w:t xml:space="preserve">- </w:t>
      </w:r>
      <w:r>
        <w:t>Altair reportable-range interval generation work instruction, current approved version.</w:t>
      </w:r>
    </w:p>
    <w:p>
      <w:pPr>
        <w:pStyle w:val="BodyText"/>
        <w:ind w:left="288" w:hanging="288"/>
      </w:pPr>
      <w:r>
        <w:t xml:space="preserve">- </w:t>
      </w:r>
      <w:r>
        <w:t>Altair bioinformatics pipeline work instruction, current approved version.</w:t>
      </w:r>
    </w:p>
    <w:p>
      <w:pPr>
        <w:pStyle w:val="BodyText"/>
        <w:ind w:left="288" w:hanging="288"/>
      </w:pPr>
      <w:r>
        <w:t xml:space="preserve">- </w:t>
      </w:r>
      <w:r>
        <w:t>LSMC deviation/nonconformance and release authorization procedures, current approved versions.</w:t>
      </w:r>
    </w:p>
    <w:p>
      <w:pPr>
        <w:spacing w:before="240"/>
        <w:jc w:val="center"/>
      </w:pPr>
      <w:r>
        <w:rPr>
          <w:i/>
          <w:color w:val="697084"/>
          <w:sz w:val="16"/>
        </w:rPr>
        <w:t>End of template</w:t>
      </w:r>
    </w:p>
    <w:sectPr w:rsidR="00FC693F" w:rsidRPr="0006063C" w:rsidSect="00034616">
      <w:headerReference w:type="default" r:id="rId9"/>
      <w:footerReference w:type="default" r:id="rId10"/>
      <w:pgSz w:w="12240" w:h="15840"/>
      <w:pgMar w:top="792" w:right="936" w:bottom="792" w:left="936" w:header="360"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697084"/>
        <w:sz w:val="15"/>
      </w:rPr>
      <w:t xml:space="preserve">LSMC Confidential | Replace all bracketed and NA fields before release. | </w:t>
    </w:r>
    <w:r>
      <w:rPr>
        <w:sz w:val="16"/>
      </w:rPr>
      <w:t xml:space="preserve">Page </w:t>
      <w:fldChar w:fldCharType="begin"/>
      <w:instrText xml:space="preserve">PAGE</w:instrText>
      <w:fldChar w:fldCharType="end"/>
    </w:r>
    <w:r>
      <w:rPr>
        <w:sz w:val="16"/>
      </w:rPr>
      <w:t xml:space="preserve"> of </w:t>
    </w:r>
    <w:r>
      <w:rPr>
        <w:sz w:val="16"/>
      </w:rPr>
      <w:fldChar w:fldCharType="begin"/>
      <w:instrText xml:space="preserve">NUMPAGES</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2016"/>
      <w:gridCol w:w="6624"/>
      <w:gridCol w:w="1728"/>
    </w:tblGrid>
    <w:tr>
      <w:tc>
        <w:tcPr>
          <w:tcW w:type="dxa" w:w="3456"/>
          <w:vAlign w:val="center"/>
          <w:tcBorders>
            <w:top w:val="single" w:sz="0" w:space="0" w:color="FFFFFF"/>
            <w:left w:val="single" w:sz="0" w:space="0" w:color="FFFFFF"/>
            <w:bottom w:val="single" w:sz="0" w:space="0" w:color="FFFFFF"/>
            <w:right w:val="single" w:sz="0" w:space="0" w:color="FFFFFF"/>
          </w:tcBorders>
        </w:tcPr>
        <w:p>
          <w:pPr>
            <w:spacing w:after="0"/>
            <w:jc w:val="left"/>
          </w:pPr>
          <w:r>
            <w:drawing>
              <wp:inline xmlns:a="http://schemas.openxmlformats.org/drawingml/2006/main" xmlns:pic="http://schemas.openxmlformats.org/drawingml/2006/picture">
                <wp:extent cx="1005840" cy="252798"/>
                <wp:docPr id="1" name="Picture 1"/>
                <wp:cNvGraphicFramePr>
                  <a:graphicFrameLocks noChangeAspect="1"/>
                </wp:cNvGraphicFramePr>
                <a:graphic>
                  <a:graphicData uri="http://schemas.openxmlformats.org/drawingml/2006/picture">
                    <pic:pic>
                      <pic:nvPicPr>
                        <pic:cNvPr id="0" name="LSMC_wordmark_black_on_white_crop.png"/>
                        <pic:cNvPicPr/>
                      </pic:nvPicPr>
                      <pic:blipFill>
                        <a:blip r:embed="rId1"/>
                        <a:stretch>
                          <a:fillRect/>
                        </a:stretch>
                      </pic:blipFill>
                      <pic:spPr>
                        <a:xfrm>
                          <a:off x="0" y="0"/>
                          <a:ext cx="1005840" cy="252798"/>
                        </a:xfrm>
                        <a:prstGeom prst="rect"/>
                      </pic:spPr>
                    </pic:pic>
                  </a:graphicData>
                </a:graphic>
              </wp:inline>
            </w:drawing>
          </w:r>
        </w:p>
      </w:tc>
      <w:tc>
        <w:tcPr>
          <w:tcW w:type="dxa" w:w="3456"/>
          <w:vAlign w:val="center"/>
          <w:tcBorders>
            <w:top w:val="single" w:sz="0" w:space="0" w:color="FFFFFF"/>
            <w:left w:val="single" w:sz="0" w:space="0" w:color="FFFFFF"/>
            <w:bottom w:val="single" w:sz="0" w:space="0" w:color="FFFFFF"/>
            <w:right w:val="single" w:sz="0" w:space="0" w:color="FFFFFF"/>
          </w:tcBorders>
        </w:tcPr>
        <w:p>
          <w:pPr>
            <w:spacing w:after="0"/>
            <w:jc w:val="center"/>
          </w:pPr>
          <w:r>
            <w:rPr>
              <w:b/>
              <w:color w:val="363844"/>
              <w:sz w:val="17"/>
            </w:rPr>
            <w:t>QUAL-FRM-ALT-001 | Altair Analytical Variant Release QC Report</w:t>
          </w:r>
        </w:p>
      </w:tc>
      <w:tc>
        <w:tcPr>
          <w:tcW w:type="dxa" w:w="3456"/>
          <w:vAlign w:val="center"/>
          <w:tcBorders>
            <w:top w:val="single" w:sz="0" w:space="0" w:color="FFFFFF"/>
            <w:left w:val="single" w:sz="0" w:space="0" w:color="FFFFFF"/>
            <w:bottom w:val="single" w:sz="0" w:space="0" w:color="FFFFFF"/>
            <w:right w:val="single" w:sz="0" w:space="0" w:color="FFFFFF"/>
          </w:tcBorders>
        </w:tcPr>
        <w:p>
          <w:pPr>
            <w:spacing w:after="0"/>
            <w:jc w:val="right"/>
          </w:pPr>
          <w:r>
            <w:rPr>
              <w:color w:val="697084"/>
              <w:sz w:val="16"/>
            </w:rPr>
            <w:t>Controlled Template</w:t>
            <w:br/>
            <w:t>Version 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4F81BD" w:themeColor="accent1"/>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4F81BD" w:themeColor="accent1"/>
      <w:sz w:val="1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rPr>
      <w:rFonts w:ascii="Arial" w:hAnsi="Arial"/>
      <w:sz w:val="18"/>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