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800"/>
      </w:pPr>
      <w:r>
        <w:t xml:space="preserve"/>
      </w:r>
    </w:p>
    <w:p>
      <w:pPr>
        <w:spacing w:after="240" w:before="0"/>
      </w:pPr>
      <w:r>
        <w:rPr>
          <w:rFonts w:ascii="Calibri" w:cs="Calibri" w:eastAsia="Calibri" w:hAnsi="Calibri"/>
          <w:b/>
          <w:bCs/>
          <w:color w:val="1F3864"/>
          <w:sz w:val="48"/>
          <w:szCs w:val="48"/>
        </w:rPr>
        <w:t xml:space="preserve">FluentData</w:t>
      </w:r>
    </w:p>
    <w:p>
      <w:pPr>
        <w:pBdr>
          <w:bottom w:val="single" w:color="2E75B6" w:sz="12" w:space="8"/>
        </w:pBdr>
        <w:spacing w:after="80" w:before="0"/>
      </w:pPr>
      <w:r>
        <w:t xml:space="preserve"/>
      </w:r>
    </w:p>
    <w:p>
      <w:pPr>
        <w:spacing w:after="120" w:before="240"/>
      </w:pPr>
      <w:r>
        <w:rPr>
          <w:rFonts w:ascii="Calibri" w:cs="Calibri" w:eastAsia="Calibri" w:hAnsi="Calibri"/>
          <w:b/>
          <w:bCs/>
          <w:color w:val="1F3864"/>
          <w:sz w:val="88"/>
          <w:szCs w:val="88"/>
        </w:rPr>
        <w:t xml:space="preserve">Zil</w:t>
      </w:r>
    </w:p>
    <w:p>
      <w:pPr>
        <w:spacing w:after="360" w:before="0"/>
      </w:pPr>
      <w:r>
        <w:rPr>
          <w:rFonts w:ascii="Calibri" w:cs="Calibri" w:eastAsia="Calibri" w:hAnsi="Calibri"/>
          <w:color w:val="404040"/>
          <w:sz w:val="32"/>
          <w:szCs w:val="32"/>
        </w:rPr>
        <w:t xml:space="preserve">The FluentData Framework for Production AI Agents</w:t>
      </w:r>
    </w:p>
    <w:p>
      <w:pPr>
        <w:spacing w:after="360" w:before="0"/>
      </w:pPr>
      <w:r>
        <w:rPr>
          <w:rFonts w:ascii="Calibri" w:cs="Calibri" w:eastAsia="Calibri" w:hAnsi="Calibri"/>
          <w:i/>
          <w:iCs/>
          <w:color w:val="808080"/>
          <w:sz w:val="24"/>
          <w:szCs w:val="24"/>
        </w:rPr>
        <w:t xml:space="preserve">A practitioner methodology for deploying production AI agents at enterprise scale</w:t>
      </w:r>
    </w:p>
    <w:p>
      <w:pPr>
        <w:spacing w:after="80" w:before="1200"/>
      </w:pPr>
      <w:r>
        <w:rPr>
          <w:rFonts w:ascii="Calibri" w:cs="Calibri" w:eastAsia="Calibri" w:hAnsi="Calibri"/>
          <w:b/>
          <w:bCs/>
          <w:color w:val="2E75B6"/>
          <w:sz w:val="24"/>
          <w:szCs w:val="24"/>
        </w:rPr>
        <w:t xml:space="preserve">Framework Overview, Reference Architecture &amp; Professional Services</w:t>
      </w:r>
    </w:p>
    <w:p>
      <w:pPr>
        <w:spacing w:after="40" w:before="600"/>
      </w:pPr>
      <w:r>
        <w:rPr>
          <w:rFonts w:ascii="Calibri" w:cs="Calibri" w:eastAsia="Calibri" w:hAnsi="Calibri"/>
          <w:color w:val="404040"/>
          <w:sz w:val="22"/>
          <w:szCs w:val="22"/>
        </w:rPr>
        <w:t xml:space="preserve">Prepared for: [Client Name]</w:t>
      </w:r>
    </w:p>
    <w:p>
      <w:pPr>
        <w:spacing w:after="40" w:before="0"/>
      </w:pPr>
      <w:r>
        <w:rPr>
          <w:rFonts w:ascii="Calibri" w:cs="Calibri" w:eastAsia="Calibri" w:hAnsi="Calibri"/>
          <w:color w:val="404040"/>
          <w:sz w:val="22"/>
          <w:szCs w:val="22"/>
        </w:rPr>
        <w:t xml:space="preserve">Date: [Date]</w:t>
      </w:r>
    </w:p>
    <w:p>
      <w:pPr>
        <w:spacing w:after="40" w:before="0"/>
      </w:pPr>
      <w:r>
        <w:rPr>
          <w:rFonts w:ascii="Calibri" w:cs="Calibri" w:eastAsia="Calibri" w:hAnsi="Calibri"/>
          <w:color w:val="404040"/>
          <w:sz w:val="22"/>
          <w:szCs w:val="22"/>
        </w:rPr>
        <w:t xml:space="preserve">Version: 2.0</w:t>
      </w:r>
    </w:p>
    <w:p>
      <w:pPr>
        <w:spacing w:after="0" w:before="1600"/>
        <w:jc w:val="center"/>
      </w:pPr>
      <w:r>
        <w:rPr>
          <w:rFonts w:ascii="Calibri" w:cs="Calibri" w:eastAsia="Calibri" w:hAnsi="Calibri"/>
          <w:b/>
          <w:bCs/>
          <w:color w:val="808080"/>
          <w:sz w:val="20"/>
          <w:szCs w:val="20"/>
        </w:rPr>
        <w:t xml:space="preserve">CONFIDENTIAL</w:t>
      </w:r>
    </w:p>
    <w:p>
      <w:r>
        <w:br w:type="page"/>
      </w:r>
    </w:p>
    <w:p>
      <w:pPr>
        <w:pStyle w:val="Heading1"/>
        <w:spacing w:after="180" w:before="360"/>
      </w:pPr>
      <w:r>
        <w:rPr>
          <w:rFonts w:ascii="Calibri" w:cs="Calibri" w:eastAsia="Calibri" w:hAnsi="Calibri"/>
          <w:b/>
          <w:bCs/>
          <w:color w:val="1F3864"/>
          <w:sz w:val="36"/>
          <w:szCs w:val="36"/>
        </w:rPr>
        <w:t xml:space="preserve">Contents</w:t>
      </w:r>
    </w:p>
    <w:p>
      <w:pPr>
        <w:spacing w:after="20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20"/>
        <w:gridCol w:w="7640"/>
        <w:gridCol w:w="1000"/>
      </w:tblGrid>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1</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Executive Summary</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3</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2</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Why Agents Are Different</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4</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3</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The Zil Framework</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5</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3.1</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Agent Governance &amp; Lifecycle</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6</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3.2</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Agent Security &amp; Adversarial Hardness</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7</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3.3</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Data &amp; Memory Protection</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8</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3.4</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Agent Observability &amp; Reliability</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9</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3.5</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Agent Evaluation &amp; Quality Assurance</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10</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3.6</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Cost &amp; Resource Governance</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11</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3.7</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Agent Architecture &amp; Packaging</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12</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4</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Reference Architecture</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14</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5</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Maturity Model</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16</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6</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Professional Services</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18</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6.1</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Agent Readiness Assessment</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18</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6.2</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Hardening Sprints</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19</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6.3</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Agent Packaging &amp; CI/CD Sprint</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20</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6.4</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Managed Agent Program</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20</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6.5</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Strategic Advisory &amp; Enablement</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21</w:t>
            </w:r>
          </w:p>
        </w:tc>
      </w:tr>
      <w:tr>
        <w:tc>
          <w:tcPr>
            <w:tcW w:type="dxa" w:w="720"/>
            <w:tcBorders>
              <w:top w:val="none" w:color="FFFFFF" w:sz="0"/>
              <w:left w:val="none" w:color="FFFFFF" w:sz="0"/>
              <w:bottom w:val="none" w:color="FFFFFF" w:sz="0"/>
              <w:right w:val="none" w:color="FFFFFF" w:sz="0"/>
            </w:tcBorders>
            <w:tcMar>
              <w:top w:type="dxa" w:w="80"/>
              <w:left w:type="dxa" w:w="0"/>
              <w:bottom w:type="dxa" w:w="80"/>
              <w:right w:type="dxa" w:w="100"/>
            </w:tcMar>
          </w:tcPr>
          <w:p>
            <w:r>
              <w:rPr>
                <w:rFonts w:ascii="Calibri" w:cs="Calibri" w:eastAsia="Calibri" w:hAnsi="Calibri"/>
                <w:b/>
                <w:bCs/>
                <w:color w:val="2E75B6"/>
                <w:sz w:val="22"/>
                <w:szCs w:val="22"/>
              </w:rPr>
              <w:t xml:space="preserve">7</w:t>
            </w:r>
          </w:p>
        </w:tc>
        <w:tc>
          <w:tcPr>
            <w:tcW w:type="dxa" w:w="7640"/>
            <w:tcBorders>
              <w:top w:val="none" w:color="FFFFFF" w:sz="0"/>
              <w:left w:val="none" w:color="FFFFFF" w:sz="0"/>
              <w:bottom w:val="dotted" w:color="D9D9D9" w:sz="4"/>
              <w:right w:val="none" w:color="FFFFFF" w:sz="0"/>
            </w:tcBorders>
            <w:tcMar>
              <w:top w:type="dxa" w:w="80"/>
              <w:left w:type="dxa" w:w="0"/>
              <w:bottom w:type="dxa" w:w="80"/>
              <w:right w:type="dxa" w:w="100"/>
            </w:tcMar>
          </w:tcPr>
          <w:p>
            <w:r>
              <w:rPr>
                <w:rFonts w:ascii="Calibri" w:cs="Calibri" w:eastAsia="Calibri" w:hAnsi="Calibri"/>
                <w:color w:val="404040"/>
                <w:sz w:val="22"/>
                <w:szCs w:val="22"/>
              </w:rPr>
              <w:t xml:space="preserve">Engagement Summary &amp; Next Steps</w:t>
            </w:r>
          </w:p>
        </w:tc>
        <w:tc>
          <w:tcPr>
            <w:tcW w:type="dxa" w:w="1000"/>
            <w:tcBorders>
              <w:top w:val="none" w:color="FFFFFF" w:sz="0"/>
              <w:left w:val="none" w:color="FFFFFF" w:sz="0"/>
              <w:bottom w:val="dotted" w:color="D9D9D9" w:sz="4"/>
              <w:right w:val="none" w:color="FFFFFF" w:sz="0"/>
            </w:tcBorders>
            <w:tcMar>
              <w:top w:type="dxa" w:w="80"/>
              <w:left w:type="dxa" w:w="0"/>
              <w:bottom w:type="dxa" w:w="80"/>
              <w:right w:type="dxa" w:w="0"/>
            </w:tcMar>
          </w:tcPr>
          <w:p>
            <w:pPr>
              <w:jc w:val="right"/>
            </w:pPr>
            <w:r>
              <w:rPr>
                <w:rFonts w:ascii="Calibri" w:cs="Calibri" w:eastAsia="Calibri" w:hAnsi="Calibri"/>
                <w:color w:val="808080"/>
                <w:sz w:val="22"/>
                <w:szCs w:val="22"/>
              </w:rPr>
              <w:t xml:space="preserve">22</w:t>
            </w:r>
          </w:p>
        </w:tc>
      </w:tr>
    </w:tbl>
    <w:p>
      <w:r>
        <w:br w:type="page"/>
      </w:r>
    </w:p>
    <w:p>
      <w:pPr>
        <w:pStyle w:val="Heading1"/>
        <w:spacing w:after="180" w:before="360"/>
      </w:pPr>
      <w:r>
        <w:rPr>
          <w:rFonts w:ascii="Calibri" w:cs="Calibri" w:eastAsia="Calibri" w:hAnsi="Calibri"/>
          <w:b/>
          <w:bCs/>
          <w:color w:val="1F3864"/>
          <w:sz w:val="36"/>
          <w:szCs w:val="36"/>
        </w:rPr>
        <w:t xml:space="preserve">1. Executive Summary</w:t>
      </w:r>
    </w:p>
    <w:p>
      <w:pPr>
        <w:spacing w:after="120" w:before="80" w:line="300"/>
      </w:pPr>
      <w:r>
        <w:rPr>
          <w:rFonts w:ascii="Calibri" w:cs="Calibri" w:eastAsia="Calibri" w:hAnsi="Calibri"/>
          <w:color w:val="404040"/>
          <w:sz w:val="22"/>
          <w:szCs w:val="22"/>
        </w:rPr>
        <w:t xml:space="preserve">Enterprise AI has entered the agentic era. Organizations are no longer deploying isolated generative AI features — they are deploying autonomous agents that reason across multiple steps, invoke tools, maintain memory, and increasingly coordinate with other agents to execute business processes end-to-end.</w:t>
      </w:r>
    </w:p>
    <w:p>
      <w:pPr>
        <w:spacing w:after="120" w:before="80" w:line="300"/>
      </w:pPr>
      <w:r>
        <w:rPr>
          <w:rFonts w:ascii="Calibri" w:cs="Calibri" w:eastAsia="Calibri" w:hAnsi="Calibri"/>
          <w:color w:val="404040"/>
          <w:sz w:val="22"/>
          <w:szCs w:val="22"/>
        </w:rPr>
        <w:t xml:space="preserve">This shift changes the operational surface substantially. A single-turn chatbot fails in predictable ways. A multi-step agent fails in ways that compound: a bad reasoning step leads to a wrong tool call, which writes incorrect data to a system of record, which poisons the agent's memory for the next session. The traditional production readiness checklist — uptime, latency, monitoring — is necessary but insufficient.</w:t>
      </w:r>
    </w:p>
    <w:p>
      <w:pPr>
        <w:spacing w:after="120" w:before="80" w:line="300"/>
      </w:pPr>
      <w:r>
        <w:rPr>
          <w:rFonts w:ascii="Calibri" w:cs="Calibri" w:eastAsia="Calibri" w:hAnsi="Calibri"/>
          <w:color w:val="404040"/>
          <w:sz w:val="22"/>
          <w:szCs w:val="22"/>
        </w:rPr>
        <w:t xml:space="preserve">Zil is the FluentData framework for building and operating production AI agents. It provides the structure, methodology, and controls required to operate agentic workloads at enterprise scale. Zil is organized around seven pillars covering governance, security, data and memory, observability, evaluation, cost, and architecture. Each pillar is independently assessable, independently actionable, and designed to integrate with existing security, governance, and platform engineering practices.</w:t>
      </w:r>
    </w:p>
    <w:p>
      <w:pPr>
        <w:spacing w:after="120" w:before="80" w:line="300"/>
      </w:pPr>
      <w:r>
        <w:rPr>
          <w:rFonts w:ascii="Calibri" w:cs="Calibri" w:eastAsia="Calibri" w:hAnsi="Calibri"/>
          <w:color w:val="404040"/>
          <w:sz w:val="22"/>
          <w:szCs w:val="22"/>
        </w:rPr>
        <w:t xml:space="preserve">Zil pairs the framework with a concrete reference architecture that defines how to package, deploy, and operate agents in a portable, signed, versioned form. Together, the framework tells you where you are; the reference architecture shows how to get where you need to be.</w:t>
      </w:r>
    </w:p>
    <w:p>
      <w:pPr>
        <w:spacing w:after="120" w:before="80" w:line="300"/>
      </w:pPr>
      <w:r>
        <w:rPr>
          <w:rFonts w:ascii="Calibri" w:cs="Calibri" w:eastAsia="Calibri" w:hAnsi="Calibri"/>
          <w:color w:val="404040"/>
          <w:sz w:val="22"/>
          <w:szCs w:val="22"/>
        </w:rPr>
        <w:t xml:space="preserve">This document presents Zil, the maturity model used to baseline and track progress, and FluentData's professional services offerings designed to take your organization from current state to production-grade agent operations.</w:t>
      </w:r>
    </w:p>
    <w:p>
      <w:pPr>
        <w:spacing w:after="20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6"/>
              <w:bottom w:val="single" w:color="2E75B6" w:sz="4"/>
              <w:right w:val="single" w:color="2E75B6" w:sz="4"/>
            </w:tcBorders>
            <w:shd w:fill="E7EEF7" w:val="clear"/>
            <w:tcMar>
              <w:top w:type="dxa" w:w="180"/>
              <w:left w:type="dxa" w:w="240"/>
              <w:bottom w:type="dxa" w:w="180"/>
              <w:right w:type="dxa" w:w="240"/>
            </w:tcMar>
          </w:tcPr>
          <w:p>
            <w:pPr>
              <w:spacing w:after="100" w:before="0"/>
            </w:pPr>
            <w:r>
              <w:rPr>
                <w:rFonts w:ascii="Calibri" w:cs="Calibri" w:eastAsia="Calibri" w:hAnsi="Calibri"/>
                <w:b/>
                <w:bCs/>
                <w:color w:val="1F3864"/>
                <w:sz w:val="22"/>
                <w:szCs w:val="22"/>
              </w:rPr>
              <w:t xml:space="preserve">What Zil is for</w:t>
            </w:r>
          </w:p>
          <w:p>
            <w:pPr>
              <w:spacing w:after="0" w:before="0" w:line="280"/>
            </w:pPr>
            <w:r>
              <w:rPr>
                <w:rFonts w:ascii="Calibri" w:cs="Calibri" w:eastAsia="Calibri" w:hAnsi="Calibri"/>
                <w:color w:val="404040"/>
                <w:sz w:val="20"/>
                <w:szCs w:val="20"/>
              </w:rPr>
              <w:t xml:space="preserve">Any enterprise deploying AI agents that reason, use tools, maintain memory, or coordinate with other agents — whether built on Gemini Enterprise Agent Platform, Bedrock Agents, Vertex AI, LangGraph, CrewAI, custom frameworks, or a mix. Zil is tooling-agnostic but prescriptive about what to measure, what to control, and what to prove before production.</w:t>
            </w:r>
          </w:p>
        </w:tc>
      </w:tr>
    </w:tbl>
    <w:p>
      <w:r>
        <w:br w:type="page"/>
      </w:r>
    </w:p>
    <w:p>
      <w:pPr>
        <w:pStyle w:val="Heading1"/>
        <w:spacing w:after="180" w:before="360"/>
      </w:pPr>
      <w:r>
        <w:rPr>
          <w:rFonts w:ascii="Calibri" w:cs="Calibri" w:eastAsia="Calibri" w:hAnsi="Calibri"/>
          <w:b/>
          <w:bCs/>
          <w:color w:val="1F3864"/>
          <w:sz w:val="36"/>
          <w:szCs w:val="36"/>
        </w:rPr>
        <w:t xml:space="preserve">2. Why Agents Are Different</w:t>
      </w:r>
    </w:p>
    <w:p>
      <w:pPr>
        <w:spacing w:after="120" w:before="80" w:line="300"/>
      </w:pPr>
      <w:r>
        <w:rPr>
          <w:rFonts w:ascii="Calibri" w:cs="Calibri" w:eastAsia="Calibri" w:hAnsi="Calibri"/>
          <w:color w:val="404040"/>
          <w:sz w:val="22"/>
          <w:szCs w:val="22"/>
        </w:rPr>
        <w:t xml:space="preserve">Every organization that has deployed generative AI features over the past two years has built some version of a production-readiness checklist. Most of those checklists were written for a simpler pattern: a user asks a question, the model answers, the interaction ends. The framework that worked for that pattern does not cover the operational realities of agents.</w:t>
      </w:r>
    </w:p>
    <w:p>
      <w:pPr>
        <w:pStyle w:val="Heading3"/>
        <w:spacing w:after="80" w:before="200"/>
      </w:pPr>
      <w:r>
        <w:rPr>
          <w:rFonts w:ascii="Calibri" w:cs="Calibri" w:eastAsia="Calibri" w:hAnsi="Calibri"/>
          <w:b/>
          <w:bCs/>
          <w:color w:val="2E75B6"/>
          <w:sz w:val="24"/>
          <w:szCs w:val="24"/>
        </w:rPr>
        <w:t xml:space="preserve">Agents introduce failure modes that LLMs alone do not</w:t>
      </w:r>
    </w:p>
    <w:p>
      <w:pPr>
        <w:pStyle w:val="ListParagraph"/>
        <w:numPr>
          <w:ilvl w:val="0"/>
          <w:numId w:val="2"/>
        </w:numPr>
        <w:spacing w:after="60" w:before="40" w:line="280"/>
      </w:pPr>
      <w:r>
        <w:rPr>
          <w:rFonts w:ascii="Calibri" w:cs="Calibri" w:eastAsia="Calibri" w:hAnsi="Calibri"/>
          <w:b/>
          <w:bCs/>
          <w:color w:val="404040"/>
          <w:sz w:val="22"/>
          <w:szCs w:val="22"/>
        </w:rPr>
        <w:t xml:space="preserve">Compounding errors. </w:t>
      </w:r>
      <w:r>
        <w:rPr>
          <w:rFonts w:ascii="Calibri" w:cs="Calibri" w:eastAsia="Calibri" w:hAnsi="Calibri"/>
          <w:color w:val="404040"/>
          <w:sz w:val="22"/>
          <w:szCs w:val="22"/>
        </w:rPr>
        <w:t xml:space="preserve">A single reasoning error compounds across tool calls. An LLM giving a wrong answer is bounded; an agent acting on a wrong answer is not.</w:t>
      </w:r>
    </w:p>
    <w:p>
      <w:pPr>
        <w:pStyle w:val="ListParagraph"/>
        <w:numPr>
          <w:ilvl w:val="0"/>
          <w:numId w:val="2"/>
        </w:numPr>
        <w:spacing w:after="60" w:before="40" w:line="280"/>
      </w:pPr>
      <w:r>
        <w:rPr>
          <w:rFonts w:ascii="Calibri" w:cs="Calibri" w:eastAsia="Calibri" w:hAnsi="Calibri"/>
          <w:b/>
          <w:bCs/>
          <w:color w:val="404040"/>
          <w:sz w:val="22"/>
          <w:szCs w:val="22"/>
        </w:rPr>
        <w:t xml:space="preserve">Long-running execution. </w:t>
      </w:r>
      <w:r>
        <w:rPr>
          <w:rFonts w:ascii="Calibri" w:cs="Calibri" w:eastAsia="Calibri" w:hAnsi="Calibri"/>
          <w:color w:val="404040"/>
          <w:sz w:val="22"/>
          <w:szCs w:val="22"/>
        </w:rPr>
        <w:t xml:space="preserve">Agents can run for hours or days, holding state across interruptions, crashes, and restarts. Long-running execution is its own architectural pattern — not an edge case. Crash recovery, idempotency, checkpointing, and persistent goal tracking are table stakes.</w:t>
      </w:r>
    </w:p>
    <w:p>
      <w:pPr>
        <w:pStyle w:val="ListParagraph"/>
        <w:numPr>
          <w:ilvl w:val="0"/>
          <w:numId w:val="2"/>
        </w:numPr>
        <w:spacing w:after="60" w:before="40" w:line="280"/>
      </w:pPr>
      <w:r>
        <w:rPr>
          <w:rFonts w:ascii="Calibri" w:cs="Calibri" w:eastAsia="Calibri" w:hAnsi="Calibri"/>
          <w:b/>
          <w:bCs/>
          <w:color w:val="404040"/>
          <w:sz w:val="22"/>
          <w:szCs w:val="22"/>
        </w:rPr>
        <w:t xml:space="preserve">Tool permission sprawl. </w:t>
      </w:r>
      <w:r>
        <w:rPr>
          <w:rFonts w:ascii="Calibri" w:cs="Calibri" w:eastAsia="Calibri" w:hAnsi="Calibri"/>
          <w:color w:val="404040"/>
          <w:sz w:val="22"/>
          <w:szCs w:val="22"/>
        </w:rPr>
        <w:t xml:space="preserve">Every tool an agent can invoke is a permission boundary. Over-permissioned agents are the new over-permissioned service accounts.</w:t>
      </w:r>
    </w:p>
    <w:p>
      <w:pPr>
        <w:pStyle w:val="ListParagraph"/>
        <w:numPr>
          <w:ilvl w:val="0"/>
          <w:numId w:val="2"/>
        </w:numPr>
        <w:spacing w:after="60" w:before="40" w:line="280"/>
      </w:pPr>
      <w:r>
        <w:rPr>
          <w:rFonts w:ascii="Calibri" w:cs="Calibri" w:eastAsia="Calibri" w:hAnsi="Calibri"/>
          <w:b/>
          <w:bCs/>
          <w:color w:val="404040"/>
          <w:sz w:val="22"/>
          <w:szCs w:val="22"/>
        </w:rPr>
        <w:t xml:space="preserve">Memory and data as systems of action. </w:t>
      </w:r>
      <w:r>
        <w:rPr>
          <w:rFonts w:ascii="Calibri" w:cs="Calibri" w:eastAsia="Calibri" w:hAnsi="Calibri"/>
          <w:color w:val="404040"/>
          <w:sz w:val="22"/>
          <w:szCs w:val="22"/>
        </w:rPr>
        <w:t xml:space="preserve">Episodic, semantic, and procedural memory introduces data lineage questions that static RAG pipelines do not. Right-to-forget becomes a distributed problem. Data infrastructure must shift from reactive archives to systems of action that surface business context at agent latencies.</w:t>
      </w:r>
    </w:p>
    <w:p>
      <w:pPr>
        <w:pStyle w:val="ListParagraph"/>
        <w:numPr>
          <w:ilvl w:val="0"/>
          <w:numId w:val="2"/>
        </w:numPr>
        <w:spacing w:after="60" w:before="40" w:line="280"/>
      </w:pPr>
      <w:r>
        <w:rPr>
          <w:rFonts w:ascii="Calibri" w:cs="Calibri" w:eastAsia="Calibri" w:hAnsi="Calibri"/>
          <w:b/>
          <w:bCs/>
          <w:color w:val="404040"/>
          <w:sz w:val="22"/>
          <w:szCs w:val="22"/>
        </w:rPr>
        <w:t xml:space="preserve">Multi-agent systems are the default. </w:t>
      </w:r>
      <w:r>
        <w:rPr>
          <w:rFonts w:ascii="Calibri" w:cs="Calibri" w:eastAsia="Calibri" w:hAnsi="Calibri"/>
          <w:color w:val="404040"/>
          <w:sz w:val="22"/>
          <w:szCs w:val="22"/>
        </w:rPr>
        <w:t xml:space="preserve">Production agents increasingly operate as systems — supervisor agents decomposing tasks to specialist sub-agents, peer agents collaborating via A2A, agents handing off to other agents across organizational boundaries. The architectural unit is the agent topology, not the individual agent. Authorization and audit surfaces become graphs, not trees.</w:t>
      </w:r>
    </w:p>
    <w:p>
      <w:pPr>
        <w:pStyle w:val="ListParagraph"/>
        <w:numPr>
          <w:ilvl w:val="0"/>
          <w:numId w:val="2"/>
        </w:numPr>
        <w:spacing w:after="60" w:before="40" w:line="280"/>
      </w:pPr>
      <w:r>
        <w:rPr>
          <w:rFonts w:ascii="Calibri" w:cs="Calibri" w:eastAsia="Calibri" w:hAnsi="Calibri"/>
          <w:b/>
          <w:bCs/>
          <w:color w:val="404040"/>
          <w:sz w:val="22"/>
          <w:szCs w:val="22"/>
        </w:rPr>
        <w:t xml:space="preserve">Injection attacks become action attacks. </w:t>
      </w:r>
      <w:r>
        <w:rPr>
          <w:rFonts w:ascii="Calibri" w:cs="Calibri" w:eastAsia="Calibri" w:hAnsi="Calibri"/>
          <w:color w:val="404040"/>
          <w:sz w:val="22"/>
          <w:szCs w:val="22"/>
        </w:rPr>
        <w:t xml:space="preserve">Prompt injection is no longer just a content moderation concern. An injected instruction can cause a tool call, a memory write, or a delegation to another agent.</w:t>
      </w:r>
    </w:p>
    <w:p>
      <w:pPr>
        <w:spacing w:after="200" w:before="0"/>
      </w:pPr>
      <w:r>
        <w:t xml:space="preserve"/>
      </w:r>
    </w:p>
    <w:p>
      <w:pPr>
        <w:pStyle w:val="Heading3"/>
        <w:spacing w:after="80" w:before="200"/>
      </w:pPr>
      <w:r>
        <w:rPr>
          <w:rFonts w:ascii="Calibri" w:cs="Calibri" w:eastAsia="Calibri" w:hAnsi="Calibri"/>
          <w:b/>
          <w:bCs/>
          <w:color w:val="2E75B6"/>
          <w:sz w:val="24"/>
          <w:szCs w:val="24"/>
        </w:rPr>
        <w:t xml:space="preserve">The operational bar has risen</w:t>
      </w:r>
    </w:p>
    <w:p>
      <w:pPr>
        <w:spacing w:after="120" w:before="80" w:line="300"/>
      </w:pPr>
      <w:r>
        <w:rPr>
          <w:rFonts w:ascii="Calibri" w:cs="Calibri" w:eastAsia="Calibri" w:hAnsi="Calibri"/>
          <w:color w:val="404040"/>
          <w:sz w:val="22"/>
          <w:szCs w:val="22"/>
        </w:rPr>
        <w:t xml:space="preserve">Industry data from early 2026 reinforces the shift. According to the State of AI Agents Report, 46% of organizations cite integration with existing systems as their primary deployment challenge. 67% of organizations aim to avoid high dependency on any single AI technology provider. 35% admit they could not immediately disable a rogue AI agent if needed. 79% describe their AI deployments as siloed across the organization.</w:t>
      </w:r>
    </w:p>
    <w:p>
      <w:pPr>
        <w:spacing w:after="120" w:before="80" w:line="300"/>
      </w:pPr>
      <w:r>
        <w:rPr>
          <w:rFonts w:ascii="Calibri" w:cs="Calibri" w:eastAsia="Calibri" w:hAnsi="Calibri"/>
          <w:color w:val="404040"/>
          <w:sz w:val="22"/>
          <w:szCs w:val="22"/>
        </w:rPr>
        <w:t xml:space="preserve">These are not model quality problems. They are operational, architectural, and governance problems — the exact surface Zil is built to address.</w:t>
      </w:r>
    </w:p>
    <w:p>
      <w:r>
        <w:br w:type="page"/>
      </w:r>
    </w:p>
    <w:p>
      <w:pPr>
        <w:pStyle w:val="Heading1"/>
        <w:spacing w:after="180" w:before="360"/>
      </w:pPr>
      <w:r>
        <w:rPr>
          <w:rFonts w:ascii="Calibri" w:cs="Calibri" w:eastAsia="Calibri" w:hAnsi="Calibri"/>
          <w:b/>
          <w:bCs/>
          <w:color w:val="1F3864"/>
          <w:sz w:val="36"/>
          <w:szCs w:val="36"/>
        </w:rPr>
        <w:t xml:space="preserve">3. The Zil Framework</w:t>
      </w:r>
    </w:p>
    <w:p>
      <w:pPr>
        <w:spacing w:after="120" w:before="80" w:line="300"/>
      </w:pPr>
      <w:r>
        <w:rPr>
          <w:rFonts w:ascii="Calibri" w:cs="Calibri" w:eastAsia="Calibri" w:hAnsi="Calibri"/>
          <w:color w:val="404040"/>
          <w:sz w:val="22"/>
          <w:szCs w:val="22"/>
        </w:rPr>
        <w:t xml:space="preserve">Zil is structured around seven pillars that collectively address every dimension of agent production readiness. Each pillar is independently assessable against a four-level maturity model, independently actionable through targeted engagements, and designed to integrate with existing security, governance, and engineering practices.</w:t>
      </w:r>
    </w:p>
    <w:p>
      <w:pPr>
        <w:spacing w:after="20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20"/>
        <w:gridCol w:w="2600"/>
        <w:gridCol w:w="6040"/>
      </w:tblGrid>
      <w:tr>
        <w:trPr>
          <w:tblHeader/>
        </w:trPr>
        <w:tc>
          <w:tcPr>
            <w:tcW w:type="dxa" w:w="72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jc w:val="center"/>
            </w:pPr>
            <w:r>
              <w:rPr>
                <w:rFonts w:ascii="Calibri" w:cs="Calibri" w:eastAsia="Calibri" w:hAnsi="Calibri"/>
                <w:b/>
                <w:bCs/>
                <w:color w:val="FFFFFF"/>
                <w:sz w:val="20"/>
                <w:szCs w:val="20"/>
              </w:rPr>
              <w:t xml:space="preserve">#</w:t>
            </w:r>
          </w:p>
        </w:tc>
        <w:tc>
          <w:tcPr>
            <w:tcW w:type="dxa" w:w="260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pPr>
            <w:r>
              <w:rPr>
                <w:rFonts w:ascii="Calibri" w:cs="Calibri" w:eastAsia="Calibri" w:hAnsi="Calibri"/>
                <w:b/>
                <w:bCs/>
                <w:color w:val="FFFFFF"/>
                <w:sz w:val="20"/>
                <w:szCs w:val="20"/>
              </w:rPr>
              <w:t xml:space="preserve">Pillar</w:t>
            </w:r>
          </w:p>
        </w:tc>
        <w:tc>
          <w:tcPr>
            <w:tcW w:type="dxa" w:w="604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pPr>
            <w:r>
              <w:rPr>
                <w:rFonts w:ascii="Calibri" w:cs="Calibri" w:eastAsia="Calibri" w:hAnsi="Calibri"/>
                <w:b/>
                <w:bCs/>
                <w:color w:val="FFFFFF"/>
                <w:sz w:val="20"/>
                <w:szCs w:val="20"/>
              </w:rPr>
              <w:t xml:space="preserve">Addresses</w:t>
            </w:r>
          </w:p>
        </w:tc>
      </w:tr>
      <w:tr>
        <w:tc>
          <w:tcPr>
            <w:tcW w:type="dxa" w:w="72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b/>
                <w:bCs/>
                <w:color w:val="2E75B6"/>
                <w:sz w:val="20"/>
                <w:szCs w:val="20"/>
              </w:rPr>
              <w:t xml:space="preserve">3.1</w:t>
            </w:r>
          </w:p>
        </w:tc>
        <w:tc>
          <w:tcPr>
            <w:tcW w:type="dxa" w:w="26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404040"/>
                <w:sz w:val="20"/>
                <w:szCs w:val="20"/>
              </w:rPr>
              <w:t xml:space="preserve">Agent Governance &amp; Lifecycle</w:t>
            </w:r>
          </w:p>
        </w:tc>
        <w:tc>
          <w:tcPr>
            <w:tcW w:type="dxa" w:w="604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Who approves agents, how versions are tracked, how agents are deprecated.</w:t>
            </w:r>
          </w:p>
        </w:tc>
      </w:tr>
      <w:tr>
        <w:tc>
          <w:tcPr>
            <w:tcW w:type="dxa" w:w="72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b/>
                <w:bCs/>
                <w:color w:val="2E75B6"/>
                <w:sz w:val="20"/>
                <w:szCs w:val="20"/>
              </w:rPr>
              <w:t xml:space="preserve">3.2</w:t>
            </w:r>
          </w:p>
        </w:tc>
        <w:tc>
          <w:tcPr>
            <w:tcW w:type="dxa" w:w="26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404040"/>
                <w:sz w:val="20"/>
                <w:szCs w:val="20"/>
              </w:rPr>
              <w:t xml:space="preserve">Agent Security &amp; Adversarial Hardness</w:t>
            </w:r>
          </w:p>
        </w:tc>
        <w:tc>
          <w:tcPr>
            <w:tcW w:type="dxa" w:w="604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Prompt injection, tool-use abuse, memory poisoning, A2A spoofing, supply chain.</w:t>
            </w:r>
          </w:p>
        </w:tc>
      </w:tr>
      <w:tr>
        <w:tc>
          <w:tcPr>
            <w:tcW w:type="dxa" w:w="72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b/>
                <w:bCs/>
                <w:color w:val="2E75B6"/>
                <w:sz w:val="20"/>
                <w:szCs w:val="20"/>
              </w:rPr>
              <w:t xml:space="preserve">3.3</w:t>
            </w:r>
          </w:p>
        </w:tc>
        <w:tc>
          <w:tcPr>
            <w:tcW w:type="dxa" w:w="26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404040"/>
                <w:sz w:val="20"/>
                <w:szCs w:val="20"/>
              </w:rPr>
              <w:t xml:space="preserve">Data &amp; Memory Protection</w:t>
            </w:r>
          </w:p>
        </w:tc>
        <w:tc>
          <w:tcPr>
            <w:tcW w:type="dxa" w:w="604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PII flow, memory right-to-forget, data residency, cross-agent data boundaries.</w:t>
            </w:r>
          </w:p>
        </w:tc>
      </w:tr>
      <w:tr>
        <w:tc>
          <w:tcPr>
            <w:tcW w:type="dxa" w:w="72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b/>
                <w:bCs/>
                <w:color w:val="2E75B6"/>
                <w:sz w:val="20"/>
                <w:szCs w:val="20"/>
              </w:rPr>
              <w:t xml:space="preserve">3.4</w:t>
            </w:r>
          </w:p>
        </w:tc>
        <w:tc>
          <w:tcPr>
            <w:tcW w:type="dxa" w:w="26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404040"/>
                <w:sz w:val="20"/>
                <w:szCs w:val="20"/>
              </w:rPr>
              <w:t xml:space="preserve">Agent Observability &amp; Reliability</w:t>
            </w:r>
          </w:p>
        </w:tc>
        <w:tc>
          <w:tcPr>
            <w:tcW w:type="dxa" w:w="604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OpenTelemetry agent spans, reasoning traces, crash recovery, state durability.</w:t>
            </w:r>
          </w:p>
        </w:tc>
      </w:tr>
      <w:tr>
        <w:tc>
          <w:tcPr>
            <w:tcW w:type="dxa" w:w="72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b/>
                <w:bCs/>
                <w:color w:val="2E75B6"/>
                <w:sz w:val="20"/>
                <w:szCs w:val="20"/>
              </w:rPr>
              <w:t xml:space="preserve">3.5</w:t>
            </w:r>
          </w:p>
        </w:tc>
        <w:tc>
          <w:tcPr>
            <w:tcW w:type="dxa" w:w="26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404040"/>
                <w:sz w:val="20"/>
                <w:szCs w:val="20"/>
              </w:rPr>
              <w:t xml:space="preserve">Agent Evaluation &amp; Quality Assurance</w:t>
            </w:r>
          </w:p>
        </w:tc>
        <w:tc>
          <w:tcPr>
            <w:tcW w:type="dxa" w:w="604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Multi-turn evals, tool-use correctness, planning quality, eval-in-production.</w:t>
            </w:r>
          </w:p>
        </w:tc>
      </w:tr>
      <w:tr>
        <w:tc>
          <w:tcPr>
            <w:tcW w:type="dxa" w:w="72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b/>
                <w:bCs/>
                <w:color w:val="2E75B6"/>
                <w:sz w:val="20"/>
                <w:szCs w:val="20"/>
              </w:rPr>
              <w:t xml:space="preserve">3.6</w:t>
            </w:r>
          </w:p>
        </w:tc>
        <w:tc>
          <w:tcPr>
            <w:tcW w:type="dxa" w:w="26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404040"/>
                <w:sz w:val="20"/>
                <w:szCs w:val="20"/>
              </w:rPr>
              <w:t xml:space="preserve">Cost &amp; Resource Governance</w:t>
            </w:r>
          </w:p>
        </w:tc>
        <w:tc>
          <w:tcPr>
            <w:tcW w:type="dxa" w:w="604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Token budgets, per-user quotas, model routing, rate limits, cost attribution.</w:t>
            </w:r>
          </w:p>
        </w:tc>
      </w:tr>
      <w:tr>
        <w:tc>
          <w:tcPr>
            <w:tcW w:type="dxa" w:w="72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b/>
                <w:bCs/>
                <w:color w:val="2E75B6"/>
                <w:sz w:val="20"/>
                <w:szCs w:val="20"/>
              </w:rPr>
              <w:t xml:space="preserve">3.7</w:t>
            </w:r>
          </w:p>
        </w:tc>
        <w:tc>
          <w:tcPr>
            <w:tcW w:type="dxa" w:w="26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404040"/>
                <w:sz w:val="20"/>
                <w:szCs w:val="20"/>
              </w:rPr>
              <w:t xml:space="preserve">Agent Architecture &amp; Packaging</w:t>
            </w:r>
          </w:p>
        </w:tc>
        <w:tc>
          <w:tcPr>
            <w:tcW w:type="dxa" w:w="604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Packaging format, signed artifacts, portability, registry, deployment pipeline.</w:t>
            </w:r>
          </w:p>
        </w:tc>
      </w:tr>
    </w:tbl>
    <w:p>
      <w:r>
        <w:br w:type="page"/>
      </w:r>
    </w:p>
    <w:p>
      <w:pPr>
        <w:pStyle w:val="Heading2"/>
        <w:spacing w:after="120" w:before="280"/>
      </w:pPr>
      <w:r>
        <w:rPr>
          <w:rFonts w:ascii="Calibri" w:cs="Calibri" w:eastAsia="Calibri" w:hAnsi="Calibri"/>
          <w:b/>
          <w:bCs/>
          <w:color w:val="1F3864"/>
          <w:sz w:val="28"/>
          <w:szCs w:val="28"/>
        </w:rPr>
        <w:t xml:space="preserve">3.1 Agent Governance &amp; Lifecycle</w:t>
      </w:r>
    </w:p>
    <w:p>
      <w:pPr>
        <w:spacing w:after="200" w:before="0"/>
      </w:pPr>
      <w:r>
        <w:rPr>
          <w:rFonts w:ascii="Calibri" w:cs="Calibri" w:eastAsia="Calibri" w:hAnsi="Calibri"/>
          <w:i/>
          <w:iCs/>
          <w:color w:val="2E75B6"/>
          <w:sz w:val="22"/>
          <w:szCs w:val="22"/>
        </w:rPr>
        <w:t xml:space="preserve">Who owns each agent, how it changes, when it retires, and how humans stay in the loop.</w:t>
      </w:r>
    </w:p>
    <w:p>
      <w:pPr>
        <w:spacing w:after="120" w:before="80" w:line="300"/>
      </w:pPr>
      <w:r>
        <w:rPr>
          <w:rFonts w:ascii="Calibri" w:cs="Calibri" w:eastAsia="Calibri" w:hAnsi="Calibri"/>
          <w:color w:val="404040"/>
          <w:sz w:val="22"/>
          <w:szCs w:val="22"/>
        </w:rPr>
        <w:t xml:space="preserve">A governed agent is a known agent. As organizations move from deploying one pilot agent to operating a fleet of fifty, the absence of lifecycle governance manifests as shadow AI: agents deployed by individual teams, running on individual credentials, with no visibility into what they can do or who approved them to do it.</w:t>
      </w:r>
    </w:p>
    <w:p>
      <w:pPr>
        <w:spacing w:after="120" w:before="80" w:line="300"/>
      </w:pPr>
      <w:r>
        <w:rPr>
          <w:rFonts w:ascii="Calibri" w:cs="Calibri" w:eastAsia="Calibri" w:hAnsi="Calibri"/>
          <w:color w:val="404040"/>
          <w:sz w:val="22"/>
          <w:szCs w:val="22"/>
        </w:rPr>
        <w:t xml:space="preserve">Governance also extends to how humans interact with agents in production. Most agent project failures are not model failures — they are operational failures where the agent technically works but no one knows how to monitor it, approve its high-stakes actions, intervene when it goes wrong, or hand off to a human for the long tail of cases. Production agents need an oversight UX layer as deliberate as their reasoning logic.</w:t>
      </w:r>
    </w:p>
    <w:p>
      <w:pPr>
        <w:spacing w:after="120" w:before="80" w:line="300"/>
      </w:pPr>
      <w:r>
        <w:rPr>
          <w:rFonts w:ascii="Calibri" w:cs="Calibri" w:eastAsia="Calibri" w:hAnsi="Calibri"/>
          <w:color w:val="404040"/>
          <w:sz w:val="22"/>
          <w:szCs w:val="22"/>
        </w:rPr>
        <w:t xml:space="preserve">The Governance &amp; Lifecycle pillar establishes a single source of truth for every agent your organization operates and a defined operating model for the humans responsible for them. This extends beyond the model registry most organizations have stood up — it is a registry of entire agent packages, each with provenance, approvals, evaluation results, clear ownership, and explicit human oversight protocols.</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Key Capabilities</w:t>
      </w:r>
    </w:p>
    <w:p>
      <w:pPr>
        <w:pStyle w:val="ListParagraph"/>
        <w:numPr>
          <w:ilvl w:val="0"/>
          <w:numId w:val="2"/>
        </w:numPr>
        <w:spacing w:after="60" w:before="40" w:line="280"/>
      </w:pPr>
      <w:r>
        <w:rPr>
          <w:rFonts w:ascii="Calibri" w:cs="Calibri" w:eastAsia="Calibri" w:hAnsi="Calibri"/>
          <w:b/>
          <w:bCs/>
          <w:color w:val="404040"/>
          <w:sz w:val="22"/>
          <w:szCs w:val="22"/>
        </w:rPr>
        <w:t xml:space="preserve">Agent registry </w:t>
      </w:r>
      <w:r>
        <w:rPr>
          <w:rFonts w:ascii="Calibri" w:cs="Calibri" w:eastAsia="Calibri" w:hAnsi="Calibri"/>
          <w:color w:val="404040"/>
          <w:sz w:val="22"/>
          <w:szCs w:val="22"/>
        </w:rPr>
        <w:t xml:space="preserve">with full provenance, version history, and signed-artifact verification</w:t>
      </w:r>
    </w:p>
    <w:p>
      <w:pPr>
        <w:pStyle w:val="ListParagraph"/>
        <w:numPr>
          <w:ilvl w:val="0"/>
          <w:numId w:val="2"/>
        </w:numPr>
        <w:spacing w:after="60" w:before="40" w:line="280"/>
      </w:pPr>
      <w:r>
        <w:rPr>
          <w:rFonts w:ascii="Calibri" w:cs="Calibri" w:eastAsia="Calibri" w:hAnsi="Calibri"/>
          <w:b/>
          <w:bCs/>
          <w:color w:val="404040"/>
          <w:sz w:val="22"/>
          <w:szCs w:val="22"/>
        </w:rPr>
        <w:t xml:space="preserve">Multi-stakeholder approval workflow </w:t>
      </w:r>
      <w:r>
        <w:rPr>
          <w:rFonts w:ascii="Calibri" w:cs="Calibri" w:eastAsia="Calibri" w:hAnsi="Calibri"/>
          <w:color w:val="404040"/>
          <w:sz w:val="22"/>
          <w:szCs w:val="22"/>
        </w:rPr>
        <w:t xml:space="preserve">covering legal, security, privacy, business owner, and for high-risk agents, a risk committee</w:t>
      </w:r>
    </w:p>
    <w:p>
      <w:pPr>
        <w:pStyle w:val="ListParagraph"/>
        <w:numPr>
          <w:ilvl w:val="0"/>
          <w:numId w:val="2"/>
        </w:numPr>
        <w:spacing w:after="60" w:before="40" w:line="280"/>
      </w:pPr>
      <w:r>
        <w:rPr>
          <w:rFonts w:ascii="Calibri" w:cs="Calibri" w:eastAsia="Calibri" w:hAnsi="Calibri"/>
          <w:b/>
          <w:bCs/>
          <w:color w:val="404040"/>
          <w:sz w:val="22"/>
          <w:szCs w:val="22"/>
        </w:rPr>
        <w:t xml:space="preserve">Version control for whole agents </w:t>
      </w:r>
      <w:r>
        <w:rPr>
          <w:rFonts w:ascii="Calibri" w:cs="Calibri" w:eastAsia="Calibri" w:hAnsi="Calibri"/>
          <w:color w:val="404040"/>
          <w:sz w:val="22"/>
          <w:szCs w:val="22"/>
        </w:rPr>
        <w:t xml:space="preserve">not just models — prompts, tools, memory configs, and evals are versioned together as one artifact</w:t>
      </w:r>
    </w:p>
    <w:p>
      <w:pPr>
        <w:pStyle w:val="ListParagraph"/>
        <w:numPr>
          <w:ilvl w:val="0"/>
          <w:numId w:val="2"/>
        </w:numPr>
        <w:spacing w:after="60" w:before="40" w:line="280"/>
      </w:pPr>
      <w:r>
        <w:rPr>
          <w:rFonts w:ascii="Calibri" w:cs="Calibri" w:eastAsia="Calibri" w:hAnsi="Calibri"/>
          <w:b/>
          <w:bCs/>
          <w:color w:val="404040"/>
          <w:sz w:val="22"/>
          <w:szCs w:val="22"/>
        </w:rPr>
        <w:t xml:space="preserve">Ownership and SLA registration </w:t>
      </w:r>
      <w:r>
        <w:rPr>
          <w:rFonts w:ascii="Calibri" w:cs="Calibri" w:eastAsia="Calibri" w:hAnsi="Calibri"/>
          <w:color w:val="404040"/>
          <w:sz w:val="22"/>
          <w:szCs w:val="22"/>
        </w:rPr>
        <w:t xml:space="preserve">every agent has a named team and on-call rotation</w:t>
      </w:r>
    </w:p>
    <w:p>
      <w:pPr>
        <w:pStyle w:val="ListParagraph"/>
        <w:numPr>
          <w:ilvl w:val="0"/>
          <w:numId w:val="2"/>
        </w:numPr>
        <w:spacing w:after="60" w:before="40" w:line="280"/>
      </w:pPr>
      <w:r>
        <w:rPr>
          <w:rFonts w:ascii="Calibri" w:cs="Calibri" w:eastAsia="Calibri" w:hAnsi="Calibri"/>
          <w:b/>
          <w:bCs/>
          <w:color w:val="404040"/>
          <w:sz w:val="22"/>
          <w:szCs w:val="22"/>
        </w:rPr>
        <w:t xml:space="preserve">Human oversight interface </w:t>
      </w:r>
      <w:r>
        <w:rPr>
          <w:rFonts w:ascii="Calibri" w:cs="Calibri" w:eastAsia="Calibri" w:hAnsi="Calibri"/>
          <w:color w:val="404040"/>
          <w:sz w:val="22"/>
          <w:szCs w:val="22"/>
        </w:rPr>
        <w:t xml:space="preserve">monitoring dashboards, approval queues, escalation interfaces, and agent-to-human handoff UX defined as part of every agent deployment</w:t>
      </w:r>
    </w:p>
    <w:p>
      <w:pPr>
        <w:pStyle w:val="ListParagraph"/>
        <w:numPr>
          <w:ilvl w:val="0"/>
          <w:numId w:val="2"/>
        </w:numPr>
        <w:spacing w:after="60" w:before="40" w:line="280"/>
      </w:pPr>
      <w:r>
        <w:rPr>
          <w:rFonts w:ascii="Calibri" w:cs="Calibri" w:eastAsia="Calibri" w:hAnsi="Calibri"/>
          <w:b/>
          <w:bCs/>
          <w:color w:val="404040"/>
          <w:sz w:val="22"/>
          <w:szCs w:val="22"/>
        </w:rPr>
        <w:t xml:space="preserve">Approval flow patterns </w:t>
      </w:r>
      <w:r>
        <w:rPr>
          <w:rFonts w:ascii="Calibri" w:cs="Calibri" w:eastAsia="Calibri" w:hAnsi="Calibri"/>
          <w:color w:val="404040"/>
          <w:sz w:val="22"/>
          <w:szCs w:val="22"/>
        </w:rPr>
        <w:t xml:space="preserve">high-stakes actions route through human reviewers with defined SLAs; timeout behaviors are explicit (reject, escalate, or proceed)</w:t>
      </w:r>
    </w:p>
    <w:p>
      <w:pPr>
        <w:pStyle w:val="ListParagraph"/>
        <w:numPr>
          <w:ilvl w:val="0"/>
          <w:numId w:val="2"/>
        </w:numPr>
        <w:spacing w:after="60" w:before="40" w:line="280"/>
      </w:pPr>
      <w:r>
        <w:rPr>
          <w:rFonts w:ascii="Calibri" w:cs="Calibri" w:eastAsia="Calibri" w:hAnsi="Calibri"/>
          <w:b/>
          <w:bCs/>
          <w:color w:val="404040"/>
          <w:sz w:val="22"/>
          <w:szCs w:val="22"/>
        </w:rPr>
        <w:t xml:space="preserve">Agent-user interaction protocols </w:t>
      </w:r>
      <w:r>
        <w:rPr>
          <w:rFonts w:ascii="Calibri" w:cs="Calibri" w:eastAsia="Calibri" w:hAnsi="Calibri"/>
          <w:color w:val="404040"/>
          <w:sz w:val="22"/>
          <w:szCs w:val="22"/>
        </w:rPr>
        <w:t xml:space="preserve">standardized interfaces between agents and the humans monitoring them — emerging protocols like AG-UI define the contract</w:t>
      </w:r>
    </w:p>
    <w:p>
      <w:pPr>
        <w:pStyle w:val="ListParagraph"/>
        <w:numPr>
          <w:ilvl w:val="0"/>
          <w:numId w:val="2"/>
        </w:numPr>
        <w:spacing w:after="60" w:before="40" w:line="280"/>
      </w:pPr>
      <w:r>
        <w:rPr>
          <w:rFonts w:ascii="Calibri" w:cs="Calibri" w:eastAsia="Calibri" w:hAnsi="Calibri"/>
          <w:b/>
          <w:bCs/>
          <w:color w:val="404040"/>
          <w:sz w:val="22"/>
          <w:szCs w:val="22"/>
        </w:rPr>
        <w:t xml:space="preserve">Deprecation policy </w:t>
      </w:r>
      <w:r>
        <w:rPr>
          <w:rFonts w:ascii="Calibri" w:cs="Calibri" w:eastAsia="Calibri" w:hAnsi="Calibri"/>
          <w:color w:val="404040"/>
          <w:sz w:val="22"/>
          <w:szCs w:val="22"/>
        </w:rPr>
        <w:t xml:space="preserve">with sunset dates, replacement references, and migration guidance for downstream consumers</w:t>
      </w:r>
    </w:p>
    <w:p>
      <w:pPr>
        <w:pStyle w:val="ListParagraph"/>
        <w:numPr>
          <w:ilvl w:val="0"/>
          <w:numId w:val="2"/>
        </w:numPr>
        <w:spacing w:after="60" w:before="40" w:line="280"/>
      </w:pPr>
      <w:r>
        <w:rPr>
          <w:rFonts w:ascii="Calibri" w:cs="Calibri" w:eastAsia="Calibri" w:hAnsi="Calibri"/>
          <w:b/>
          <w:bCs/>
          <w:color w:val="404040"/>
          <w:sz w:val="22"/>
          <w:szCs w:val="22"/>
        </w:rPr>
        <w:t xml:space="preserve">Risk tiering </w:t>
      </w:r>
      <w:r>
        <w:rPr>
          <w:rFonts w:ascii="Calibri" w:cs="Calibri" w:eastAsia="Calibri" w:hAnsi="Calibri"/>
          <w:color w:val="404040"/>
          <w:sz w:val="22"/>
          <w:szCs w:val="22"/>
        </w:rPr>
        <w:t xml:space="preserve">that determines the depth of review and ongoing monitoring each agent receives</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Failure Modes This Pillar Prevents</w:t>
      </w:r>
    </w:p>
    <w:p>
      <w:pPr>
        <w:pStyle w:val="ListParagraph"/>
        <w:numPr>
          <w:ilvl w:val="0"/>
          <w:numId w:val="2"/>
        </w:numPr>
        <w:spacing w:after="60" w:before="40" w:line="280"/>
      </w:pPr>
      <w:r>
        <w:rPr>
          <w:rFonts w:ascii="Calibri" w:cs="Calibri" w:eastAsia="Calibri" w:hAnsi="Calibri"/>
          <w:color w:val="404040"/>
          <w:sz w:val="22"/>
          <w:szCs w:val="22"/>
        </w:rPr>
        <w:t xml:space="preserve">Shadow agents deployed outside approved channels accumulating risk over time.</w:t>
      </w:r>
    </w:p>
    <w:p>
      <w:pPr>
        <w:pStyle w:val="ListParagraph"/>
        <w:numPr>
          <w:ilvl w:val="0"/>
          <w:numId w:val="2"/>
        </w:numPr>
        <w:spacing w:after="60" w:before="40" w:line="280"/>
      </w:pPr>
      <w:r>
        <w:rPr>
          <w:rFonts w:ascii="Calibri" w:cs="Calibri" w:eastAsia="Calibri" w:hAnsi="Calibri"/>
          <w:color w:val="404040"/>
          <w:sz w:val="22"/>
          <w:szCs w:val="22"/>
        </w:rPr>
        <w:t xml:space="preserve">Orphaned agents running with no identified owner after team reorganizations.</w:t>
      </w:r>
    </w:p>
    <w:p>
      <w:pPr>
        <w:pStyle w:val="ListParagraph"/>
        <w:numPr>
          <w:ilvl w:val="0"/>
          <w:numId w:val="2"/>
        </w:numPr>
        <w:spacing w:after="60" w:before="40" w:line="280"/>
      </w:pPr>
      <w:r>
        <w:rPr>
          <w:rFonts w:ascii="Calibri" w:cs="Calibri" w:eastAsia="Calibri" w:hAnsi="Calibri"/>
          <w:color w:val="404040"/>
          <w:sz w:val="22"/>
          <w:szCs w:val="22"/>
        </w:rPr>
        <w:t xml:space="preserve">Agents that technically work but have no UX for humans to monitor, approve, or intervene — leading to either rubber-stamping or paralysis.</w:t>
      </w:r>
    </w:p>
    <w:p>
      <w:pPr>
        <w:pStyle w:val="ListParagraph"/>
        <w:numPr>
          <w:ilvl w:val="0"/>
          <w:numId w:val="2"/>
        </w:numPr>
        <w:spacing w:after="60" w:before="40" w:line="280"/>
      </w:pPr>
      <w:r>
        <w:rPr>
          <w:rFonts w:ascii="Calibri" w:cs="Calibri" w:eastAsia="Calibri" w:hAnsi="Calibri"/>
          <w:color w:val="404040"/>
          <w:sz w:val="22"/>
          <w:szCs w:val="22"/>
        </w:rPr>
        <w:t xml:space="preserve">Inability to answer "what changed" when an agent's behavior shifts in production.</w:t>
      </w:r>
    </w:p>
    <w:p>
      <w:pPr>
        <w:pStyle w:val="ListParagraph"/>
        <w:numPr>
          <w:ilvl w:val="0"/>
          <w:numId w:val="2"/>
        </w:numPr>
        <w:spacing w:after="60" w:before="40" w:line="280"/>
      </w:pPr>
      <w:r>
        <w:rPr>
          <w:rFonts w:ascii="Calibri" w:cs="Calibri" w:eastAsia="Calibri" w:hAnsi="Calibri"/>
          <w:color w:val="404040"/>
          <w:sz w:val="22"/>
          <w:szCs w:val="22"/>
        </w:rPr>
        <w:t xml:space="preserve">High-stakes actions executed without human review because the approval flow was never built.</w:t>
      </w:r>
    </w:p>
    <w:p>
      <w:pPr>
        <w:pStyle w:val="ListParagraph"/>
        <w:numPr>
          <w:ilvl w:val="0"/>
          <w:numId w:val="2"/>
        </w:numPr>
        <w:spacing w:after="60" w:before="40" w:line="280"/>
      </w:pPr>
      <w:r>
        <w:rPr>
          <w:rFonts w:ascii="Calibri" w:cs="Calibri" w:eastAsia="Calibri" w:hAnsi="Calibri"/>
          <w:color w:val="404040"/>
          <w:sz w:val="22"/>
          <w:szCs w:val="22"/>
        </w:rPr>
        <w:t xml:space="preserve">Approved prototypes drifting into production without re-review.</w:t>
      </w:r>
    </w:p>
    <w:p>
      <w:pPr>
        <w:pStyle w:val="ListParagraph"/>
        <w:numPr>
          <w:ilvl w:val="0"/>
          <w:numId w:val="2"/>
        </w:numPr>
        <w:spacing w:after="60" w:before="40" w:line="280"/>
      </w:pPr>
      <w:r>
        <w:rPr>
          <w:rFonts w:ascii="Calibri" w:cs="Calibri" w:eastAsia="Calibri" w:hAnsi="Calibri"/>
          <w:color w:val="404040"/>
          <w:sz w:val="22"/>
          <w:szCs w:val="22"/>
        </w:rPr>
        <w:t xml:space="preserve">Duplicate agents solving the same problem across business units, each with different compliance postures.</w:t>
      </w:r>
    </w:p>
    <w:p>
      <w:pPr>
        <w:spacing w:after="14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6"/>
              <w:bottom w:val="single" w:color="2E75B6" w:sz="4"/>
              <w:right w:val="single" w:color="2E75B6" w:sz="4"/>
            </w:tcBorders>
            <w:shd w:fill="E7EEF7" w:val="clear"/>
            <w:tcMar>
              <w:top w:type="dxa" w:w="180"/>
              <w:left w:type="dxa" w:w="240"/>
              <w:bottom w:type="dxa" w:w="180"/>
              <w:right w:type="dxa" w:w="240"/>
            </w:tcMar>
          </w:tcPr>
          <w:p>
            <w:pPr>
              <w:spacing w:after="100" w:before="0"/>
            </w:pPr>
            <w:r>
              <w:rPr>
                <w:rFonts w:ascii="Calibri" w:cs="Calibri" w:eastAsia="Calibri" w:hAnsi="Calibri"/>
                <w:b/>
                <w:bCs/>
                <w:color w:val="1F3864"/>
                <w:sz w:val="22"/>
                <w:szCs w:val="22"/>
              </w:rPr>
              <w:t xml:space="preserve">Maturity Signal</w:t>
            </w:r>
          </w:p>
          <w:p>
            <w:pPr>
              <w:spacing w:after="0" w:before="0" w:line="280"/>
            </w:pPr>
            <w:r>
              <w:rPr>
                <w:rFonts w:ascii="Calibri" w:cs="Calibri" w:eastAsia="Calibri" w:hAnsi="Calibri"/>
                <w:color w:val="404040"/>
                <w:sz w:val="20"/>
                <w:szCs w:val="20"/>
              </w:rPr>
              <w:t xml:space="preserve">Mature organizations can answer four questions about any agent in production within five minutes: who approved it, what it is allowed to do, who owns it today, and how a human reviewer engages with it.</w:t>
            </w:r>
          </w:p>
        </w:tc>
      </w:tr>
    </w:tbl>
    <w:p>
      <w:r>
        <w:br w:type="page"/>
      </w:r>
    </w:p>
    <w:p>
      <w:pPr>
        <w:pStyle w:val="Heading2"/>
        <w:spacing w:after="120" w:before="280"/>
      </w:pPr>
      <w:r>
        <w:rPr>
          <w:rFonts w:ascii="Calibri" w:cs="Calibri" w:eastAsia="Calibri" w:hAnsi="Calibri"/>
          <w:b/>
          <w:bCs/>
          <w:color w:val="1F3864"/>
          <w:sz w:val="28"/>
          <w:szCs w:val="28"/>
        </w:rPr>
        <w:t xml:space="preserve">3.2 Agent Security &amp; Adversarial Hardness</w:t>
      </w:r>
    </w:p>
    <w:p>
      <w:pPr>
        <w:spacing w:after="200" w:before="0"/>
      </w:pPr>
      <w:r>
        <w:rPr>
          <w:rFonts w:ascii="Calibri" w:cs="Calibri" w:eastAsia="Calibri" w:hAnsi="Calibri"/>
          <w:i/>
          <w:iCs/>
          <w:color w:val="2E75B6"/>
          <w:sz w:val="22"/>
          <w:szCs w:val="22"/>
        </w:rPr>
        <w:t xml:space="preserve">Assume every input is adversarial. Assume every tool call is a capability grant.</w:t>
      </w:r>
    </w:p>
    <w:p>
      <w:pPr>
        <w:spacing w:after="120" w:before="80" w:line="300"/>
      </w:pPr>
      <w:r>
        <w:rPr>
          <w:rFonts w:ascii="Calibri" w:cs="Calibri" w:eastAsia="Calibri" w:hAnsi="Calibri"/>
          <w:color w:val="404040"/>
          <w:sz w:val="22"/>
          <w:szCs w:val="22"/>
        </w:rPr>
        <w:t xml:space="preserve">Agents expand the attack surface of a generative AI system from content to action. An LLM that can be tricked into producing harmful output is a content moderation problem. An agent that can be tricked into calling a tool with attacker-controlled parameters is a security incident.</w:t>
      </w:r>
    </w:p>
    <w:p>
      <w:pPr>
        <w:spacing w:after="120" w:before="80" w:line="300"/>
      </w:pPr>
      <w:r>
        <w:rPr>
          <w:rFonts w:ascii="Calibri" w:cs="Calibri" w:eastAsia="Calibri" w:hAnsi="Calibri"/>
          <w:color w:val="404040"/>
          <w:sz w:val="22"/>
          <w:szCs w:val="22"/>
        </w:rPr>
        <w:t xml:space="preserve">This pillar provides a threat model specific to agent architectures and a repeatable red-teaming methodology. Coverage is grounded in the OWASP Top 10 for LLM Applications and extended with FluentData's proprietary testing harness for agent-specific attack classes — tool-use injection, memory poisoning, A2A spoofing, planner manipulation, and MCP server supply chain compromise.</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Key Capabilities</w:t>
      </w:r>
    </w:p>
    <w:p>
      <w:pPr>
        <w:pStyle w:val="ListParagraph"/>
        <w:numPr>
          <w:ilvl w:val="0"/>
          <w:numId w:val="2"/>
        </w:numPr>
        <w:spacing w:after="60" w:before="40" w:line="280"/>
      </w:pPr>
      <w:r>
        <w:rPr>
          <w:rFonts w:ascii="Calibri" w:cs="Calibri" w:eastAsia="Calibri" w:hAnsi="Calibri"/>
          <w:b/>
          <w:bCs/>
          <w:color w:val="404040"/>
          <w:sz w:val="22"/>
          <w:szCs w:val="22"/>
        </w:rPr>
        <w:t xml:space="preserve">Prompt injection testing </w:t>
      </w:r>
      <w:r>
        <w:rPr>
          <w:rFonts w:ascii="Calibri" w:cs="Calibri" w:eastAsia="Calibri" w:hAnsi="Calibri"/>
          <w:color w:val="404040"/>
          <w:sz w:val="22"/>
          <w:szCs w:val="22"/>
        </w:rPr>
        <w:t xml:space="preserve">direct, indirect via retrieved content, and multi-turn injection across conversation state</w:t>
      </w:r>
    </w:p>
    <w:p>
      <w:pPr>
        <w:pStyle w:val="ListParagraph"/>
        <w:numPr>
          <w:ilvl w:val="0"/>
          <w:numId w:val="2"/>
        </w:numPr>
        <w:spacing w:after="60" w:before="40" w:line="280"/>
      </w:pPr>
      <w:r>
        <w:rPr>
          <w:rFonts w:ascii="Calibri" w:cs="Calibri" w:eastAsia="Calibri" w:hAnsi="Calibri"/>
          <w:b/>
          <w:bCs/>
          <w:color w:val="404040"/>
          <w:sz w:val="22"/>
          <w:szCs w:val="22"/>
        </w:rPr>
        <w:t xml:space="preserve">Tool-use boundary audit </w:t>
      </w:r>
      <w:r>
        <w:rPr>
          <w:rFonts w:ascii="Calibri" w:cs="Calibri" w:eastAsia="Calibri" w:hAnsi="Calibri"/>
          <w:color w:val="404040"/>
          <w:sz w:val="22"/>
          <w:szCs w:val="22"/>
        </w:rPr>
        <w:t xml:space="preserve">every skill declares required permissions; least-privilege is enforced and tested</w:t>
      </w:r>
    </w:p>
    <w:p>
      <w:pPr>
        <w:pStyle w:val="ListParagraph"/>
        <w:numPr>
          <w:ilvl w:val="0"/>
          <w:numId w:val="2"/>
        </w:numPr>
        <w:spacing w:after="60" w:before="40" w:line="280"/>
      </w:pPr>
      <w:r>
        <w:rPr>
          <w:rFonts w:ascii="Calibri" w:cs="Calibri" w:eastAsia="Calibri" w:hAnsi="Calibri"/>
          <w:b/>
          <w:bCs/>
          <w:color w:val="404040"/>
          <w:sz w:val="22"/>
          <w:szCs w:val="22"/>
        </w:rPr>
        <w:t xml:space="preserve">Memory poisoning testing </w:t>
      </w:r>
      <w:r>
        <w:rPr>
          <w:rFonts w:ascii="Calibri" w:cs="Calibri" w:eastAsia="Calibri" w:hAnsi="Calibri"/>
          <w:color w:val="404040"/>
          <w:sz w:val="22"/>
          <w:szCs w:val="22"/>
        </w:rPr>
        <w:t xml:space="preserve">validating that untrusted content cannot write to semantic or procedural memory</w:t>
      </w:r>
    </w:p>
    <w:p>
      <w:pPr>
        <w:pStyle w:val="ListParagraph"/>
        <w:numPr>
          <w:ilvl w:val="0"/>
          <w:numId w:val="2"/>
        </w:numPr>
        <w:spacing w:after="60" w:before="40" w:line="280"/>
      </w:pPr>
      <w:r>
        <w:rPr>
          <w:rFonts w:ascii="Calibri" w:cs="Calibri" w:eastAsia="Calibri" w:hAnsi="Calibri"/>
          <w:b/>
          <w:bCs/>
          <w:color w:val="404040"/>
          <w:sz w:val="22"/>
          <w:szCs w:val="22"/>
        </w:rPr>
        <w:t xml:space="preserve">Agent-to-agent authentication </w:t>
      </w:r>
      <w:r>
        <w:rPr>
          <w:rFonts w:ascii="Calibri" w:cs="Calibri" w:eastAsia="Calibri" w:hAnsi="Calibri"/>
          <w:color w:val="404040"/>
          <w:sz w:val="22"/>
          <w:szCs w:val="22"/>
        </w:rPr>
        <w:t xml:space="preserve">cryptographic identity for every agent; A2A calls are authenticated and auditable</w:t>
      </w:r>
    </w:p>
    <w:p>
      <w:pPr>
        <w:pStyle w:val="ListParagraph"/>
        <w:numPr>
          <w:ilvl w:val="0"/>
          <w:numId w:val="2"/>
        </w:numPr>
        <w:spacing w:after="60" w:before="40" w:line="280"/>
      </w:pPr>
      <w:r>
        <w:rPr>
          <w:rFonts w:ascii="Calibri" w:cs="Calibri" w:eastAsia="Calibri" w:hAnsi="Calibri"/>
          <w:b/>
          <w:bCs/>
          <w:color w:val="404040"/>
          <w:sz w:val="22"/>
          <w:szCs w:val="22"/>
        </w:rPr>
        <w:t xml:space="preserve">Supply chain verification </w:t>
      </w:r>
      <w:r>
        <w:rPr>
          <w:rFonts w:ascii="Calibri" w:cs="Calibri" w:eastAsia="Calibri" w:hAnsi="Calibri"/>
          <w:color w:val="404040"/>
          <w:sz w:val="22"/>
          <w:szCs w:val="22"/>
        </w:rPr>
        <w:t xml:space="preserve">signed MCP server images, SBOM for every agent package, provenance attestations via SLSA</w:t>
      </w:r>
    </w:p>
    <w:p>
      <w:pPr>
        <w:pStyle w:val="ListParagraph"/>
        <w:numPr>
          <w:ilvl w:val="0"/>
          <w:numId w:val="2"/>
        </w:numPr>
        <w:spacing w:after="60" w:before="40" w:line="280"/>
      </w:pPr>
      <w:r>
        <w:rPr>
          <w:rFonts w:ascii="Calibri" w:cs="Calibri" w:eastAsia="Calibri" w:hAnsi="Calibri"/>
          <w:b/>
          <w:bCs/>
          <w:color w:val="404040"/>
          <w:sz w:val="22"/>
          <w:szCs w:val="22"/>
        </w:rPr>
        <w:t xml:space="preserve">Planner manipulation testing </w:t>
      </w:r>
      <w:r>
        <w:rPr>
          <w:rFonts w:ascii="Calibri" w:cs="Calibri" w:eastAsia="Calibri" w:hAnsi="Calibri"/>
          <w:color w:val="404040"/>
          <w:sz w:val="22"/>
          <w:szCs w:val="22"/>
        </w:rPr>
        <w:t xml:space="preserve">adversarial inputs designed to redirect the agent's reasoning chain to attacker goals</w:t>
      </w:r>
    </w:p>
    <w:p>
      <w:pPr>
        <w:pStyle w:val="ListParagraph"/>
        <w:numPr>
          <w:ilvl w:val="0"/>
          <w:numId w:val="2"/>
        </w:numPr>
        <w:spacing w:after="60" w:before="40" w:line="280"/>
      </w:pPr>
      <w:r>
        <w:rPr>
          <w:rFonts w:ascii="Calibri" w:cs="Calibri" w:eastAsia="Calibri" w:hAnsi="Calibri"/>
          <w:b/>
          <w:bCs/>
          <w:color w:val="404040"/>
          <w:sz w:val="22"/>
          <w:szCs w:val="22"/>
        </w:rPr>
        <w:t xml:space="preserve">Output validation and tripwires </w:t>
      </w:r>
      <w:r>
        <w:rPr>
          <w:rFonts w:ascii="Calibri" w:cs="Calibri" w:eastAsia="Calibri" w:hAnsi="Calibri"/>
          <w:color w:val="404040"/>
          <w:sz w:val="22"/>
          <w:szCs w:val="22"/>
        </w:rPr>
        <w:t xml:space="preserve">schema enforcement, PII leak detection, and pattern-based tripwires for known injection signatures</w:t>
      </w:r>
    </w:p>
    <w:p>
      <w:pPr>
        <w:pStyle w:val="ListParagraph"/>
        <w:numPr>
          <w:ilvl w:val="0"/>
          <w:numId w:val="2"/>
        </w:numPr>
        <w:spacing w:after="60" w:before="40" w:line="280"/>
      </w:pPr>
      <w:r>
        <w:rPr>
          <w:rFonts w:ascii="Calibri" w:cs="Calibri" w:eastAsia="Calibri" w:hAnsi="Calibri"/>
          <w:b/>
          <w:bCs/>
          <w:color w:val="404040"/>
          <w:sz w:val="22"/>
          <w:szCs w:val="22"/>
        </w:rPr>
        <w:t xml:space="preserve">Repeatable red-team playbook </w:t>
      </w:r>
      <w:r>
        <w:rPr>
          <w:rFonts w:ascii="Calibri" w:cs="Calibri" w:eastAsia="Calibri" w:hAnsi="Calibri"/>
          <w:color w:val="404040"/>
          <w:sz w:val="22"/>
          <w:szCs w:val="22"/>
        </w:rPr>
        <w:t xml:space="preserve">quarterly exercises with documented findings and regression tests for every resolved issue</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Failure Modes This Pillar Prevents</w:t>
      </w:r>
    </w:p>
    <w:p>
      <w:pPr>
        <w:pStyle w:val="ListParagraph"/>
        <w:numPr>
          <w:ilvl w:val="0"/>
          <w:numId w:val="2"/>
        </w:numPr>
        <w:spacing w:after="60" w:before="40" w:line="280"/>
      </w:pPr>
      <w:r>
        <w:rPr>
          <w:rFonts w:ascii="Calibri" w:cs="Calibri" w:eastAsia="Calibri" w:hAnsi="Calibri"/>
          <w:color w:val="404040"/>
          <w:sz w:val="22"/>
          <w:szCs w:val="22"/>
        </w:rPr>
        <w:t xml:space="preserve">Prompt injection causing unauthorized tool invocation (writing to CRM, sending emails, accessing data).</w:t>
      </w:r>
    </w:p>
    <w:p>
      <w:pPr>
        <w:pStyle w:val="ListParagraph"/>
        <w:numPr>
          <w:ilvl w:val="0"/>
          <w:numId w:val="2"/>
        </w:numPr>
        <w:spacing w:after="60" w:before="40" w:line="280"/>
      </w:pPr>
      <w:r>
        <w:rPr>
          <w:rFonts w:ascii="Calibri" w:cs="Calibri" w:eastAsia="Calibri" w:hAnsi="Calibri"/>
          <w:color w:val="404040"/>
          <w:sz w:val="22"/>
          <w:szCs w:val="22"/>
        </w:rPr>
        <w:t xml:space="preserve">RAG exfiltration where an attacker's document causes the agent to leak restricted data across authorization boundaries.</w:t>
      </w:r>
    </w:p>
    <w:p>
      <w:pPr>
        <w:pStyle w:val="ListParagraph"/>
        <w:numPr>
          <w:ilvl w:val="0"/>
          <w:numId w:val="2"/>
        </w:numPr>
        <w:spacing w:after="60" w:before="40" w:line="280"/>
      </w:pPr>
      <w:r>
        <w:rPr>
          <w:rFonts w:ascii="Calibri" w:cs="Calibri" w:eastAsia="Calibri" w:hAnsi="Calibri"/>
          <w:color w:val="404040"/>
          <w:sz w:val="22"/>
          <w:szCs w:val="22"/>
        </w:rPr>
        <w:t xml:space="preserve">Memory poisoning where an attacker seeds an agent's long-term memory with false facts that persist across sessions.</w:t>
      </w:r>
    </w:p>
    <w:p>
      <w:pPr>
        <w:pStyle w:val="ListParagraph"/>
        <w:numPr>
          <w:ilvl w:val="0"/>
          <w:numId w:val="2"/>
        </w:numPr>
        <w:spacing w:after="60" w:before="40" w:line="280"/>
      </w:pPr>
      <w:r>
        <w:rPr>
          <w:rFonts w:ascii="Calibri" w:cs="Calibri" w:eastAsia="Calibri" w:hAnsi="Calibri"/>
          <w:color w:val="404040"/>
          <w:sz w:val="22"/>
          <w:szCs w:val="22"/>
        </w:rPr>
        <w:t xml:space="preserve">A2A spoofing where one agent impersonates another to escalate privileges or extract data.</w:t>
      </w:r>
    </w:p>
    <w:p>
      <w:pPr>
        <w:pStyle w:val="ListParagraph"/>
        <w:numPr>
          <w:ilvl w:val="0"/>
          <w:numId w:val="2"/>
        </w:numPr>
        <w:spacing w:after="60" w:before="40" w:line="280"/>
      </w:pPr>
      <w:r>
        <w:rPr>
          <w:rFonts w:ascii="Calibri" w:cs="Calibri" w:eastAsia="Calibri" w:hAnsi="Calibri"/>
          <w:color w:val="404040"/>
          <w:sz w:val="22"/>
          <w:szCs w:val="22"/>
        </w:rPr>
        <w:t xml:space="preserve">Supply chain compromise through unsigned MCP servers or embeddings from untrusted sources.</w:t>
      </w:r>
    </w:p>
    <w:p>
      <w:pPr>
        <w:spacing w:after="14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6"/>
              <w:bottom w:val="single" w:color="2E75B6" w:sz="4"/>
              <w:right w:val="single" w:color="2E75B6" w:sz="4"/>
            </w:tcBorders>
            <w:shd w:fill="E7EEF7" w:val="clear"/>
            <w:tcMar>
              <w:top w:type="dxa" w:w="180"/>
              <w:left w:type="dxa" w:w="240"/>
              <w:bottom w:type="dxa" w:w="180"/>
              <w:right w:type="dxa" w:w="240"/>
            </w:tcMar>
          </w:tcPr>
          <w:p>
            <w:pPr>
              <w:spacing w:after="100" w:before="0"/>
            </w:pPr>
            <w:r>
              <w:rPr>
                <w:rFonts w:ascii="Calibri" w:cs="Calibri" w:eastAsia="Calibri" w:hAnsi="Calibri"/>
                <w:b/>
                <w:bCs/>
                <w:color w:val="1F3864"/>
                <w:sz w:val="22"/>
                <w:szCs w:val="22"/>
              </w:rPr>
              <w:t xml:space="preserve">Maturity Signal</w:t>
            </w:r>
          </w:p>
          <w:p>
            <w:pPr>
              <w:spacing w:after="0" w:before="0" w:line="280"/>
            </w:pPr>
            <w:r>
              <w:rPr>
                <w:rFonts w:ascii="Calibri" w:cs="Calibri" w:eastAsia="Calibri" w:hAnsi="Calibri"/>
                <w:color w:val="404040"/>
                <w:sz w:val="20"/>
                <w:szCs w:val="20"/>
              </w:rPr>
              <w:t xml:space="preserve">Mature organizations run scheduled red-team exercises against production agents and treat every injection finding as a regression test that runs on every release.</w:t>
            </w:r>
          </w:p>
        </w:tc>
      </w:tr>
    </w:tbl>
    <w:p>
      <w:r>
        <w:br w:type="page"/>
      </w:r>
    </w:p>
    <w:p>
      <w:pPr>
        <w:pStyle w:val="Heading2"/>
        <w:spacing w:after="120" w:before="280"/>
      </w:pPr>
      <w:r>
        <w:rPr>
          <w:rFonts w:ascii="Calibri" w:cs="Calibri" w:eastAsia="Calibri" w:hAnsi="Calibri"/>
          <w:b/>
          <w:bCs/>
          <w:color w:val="1F3864"/>
          <w:sz w:val="28"/>
          <w:szCs w:val="28"/>
        </w:rPr>
        <w:t xml:space="preserve">3.3 Data &amp; Memory Protection</w:t>
      </w:r>
    </w:p>
    <w:p>
      <w:pPr>
        <w:spacing w:after="200" w:before="0"/>
      </w:pPr>
      <w:r>
        <w:rPr>
          <w:rFonts w:ascii="Calibri" w:cs="Calibri" w:eastAsia="Calibri" w:hAnsi="Calibri"/>
          <w:i/>
          <w:iCs/>
          <w:color w:val="2E75B6"/>
          <w:sz w:val="22"/>
          <w:szCs w:val="22"/>
        </w:rPr>
        <w:t xml:space="preserve">Memory is data. Data has laws. Your agent is subject to both.</w:t>
      </w:r>
    </w:p>
    <w:p>
      <w:pPr>
        <w:spacing w:after="120" w:before="80" w:line="300"/>
      </w:pPr>
      <w:r>
        <w:rPr>
          <w:rFonts w:ascii="Calibri" w:cs="Calibri" w:eastAsia="Calibri" w:hAnsi="Calibri"/>
          <w:color w:val="404040"/>
          <w:sz w:val="22"/>
          <w:szCs w:val="22"/>
        </w:rPr>
        <w:t xml:space="preserve">Traditional data governance frameworks assume data lives in well-defined stores. Agents challenge that assumption: the same fact might live in a prompt, in a retrieved document, in episodic memory, in semantic memory, and in the audit log. Right-to-forget, data residency, and consent become distributed problems.</w:t>
      </w:r>
    </w:p>
    <w:p>
      <w:pPr>
        <w:spacing w:after="120" w:before="80" w:line="300"/>
      </w:pPr>
      <w:r>
        <w:rPr>
          <w:rFonts w:ascii="Calibri" w:cs="Calibri" w:eastAsia="Calibri" w:hAnsi="Calibri"/>
          <w:color w:val="404040"/>
          <w:sz w:val="22"/>
          <w:szCs w:val="22"/>
        </w:rPr>
        <w:t xml:space="preserve">More fundamentally, agents change what enterprise data infrastructure needs to be. For a decade, enterprise data platforms functioned as systems of intelligence — reactive archives built for human-scale querying. Agents demand systems of action: data infrastructure that surfaces business meaning, relationships, and context at agent-scale latencies. A data lake that took ten minutes to query is unusable when an agent needs that context to make a decision in two seconds. Practitioners deploying agents at scale will find that the data layer becomes the binding constraint long before the model layer does.</w:t>
      </w:r>
    </w:p>
    <w:p>
      <w:pPr>
        <w:spacing w:after="120" w:before="80" w:line="300"/>
      </w:pPr>
      <w:r>
        <w:rPr>
          <w:rFonts w:ascii="Calibri" w:cs="Calibri" w:eastAsia="Calibri" w:hAnsi="Calibri"/>
          <w:color w:val="404040"/>
          <w:sz w:val="22"/>
          <w:szCs w:val="22"/>
        </w:rPr>
        <w:t xml:space="preserve">This pillar extends your existing data governance to the full agent surface. It addresses how data flows into prompts, how memory is classified and retained, how cross-agent data boundaries are enforced, how regulatory obligations — EU AI Act, GDPR, HIPAA, sector-specific residency requirements — are met in practice rather than on paper, and how the data infrastructure itself must evolve to serve agents as primary consumers.</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Key Capabilities</w:t>
      </w:r>
    </w:p>
    <w:p>
      <w:pPr>
        <w:pStyle w:val="ListParagraph"/>
        <w:numPr>
          <w:ilvl w:val="0"/>
          <w:numId w:val="2"/>
        </w:numPr>
        <w:spacing w:after="60" w:before="40" w:line="280"/>
      </w:pPr>
      <w:r>
        <w:rPr>
          <w:rFonts w:ascii="Calibri" w:cs="Calibri" w:eastAsia="Calibri" w:hAnsi="Calibri"/>
          <w:b/>
          <w:bCs/>
          <w:color w:val="404040"/>
          <w:sz w:val="22"/>
          <w:szCs w:val="22"/>
        </w:rPr>
        <w:t xml:space="preserve">Knowledge layer for agents </w:t>
      </w:r>
      <w:r>
        <w:rPr>
          <w:rFonts w:ascii="Calibri" w:cs="Calibri" w:eastAsia="Calibri" w:hAnsi="Calibri"/>
          <w:color w:val="404040"/>
          <w:sz w:val="22"/>
          <w:szCs w:val="22"/>
        </w:rPr>
        <w:t xml:space="preserve">semantic catalog of business entities, relationships, and definitions that agents query for grounded context — not just data, but business meaning</w:t>
      </w:r>
    </w:p>
    <w:p>
      <w:pPr>
        <w:pStyle w:val="ListParagraph"/>
        <w:numPr>
          <w:ilvl w:val="0"/>
          <w:numId w:val="2"/>
        </w:numPr>
        <w:spacing w:after="60" w:before="40" w:line="280"/>
      </w:pPr>
      <w:r>
        <w:rPr>
          <w:rFonts w:ascii="Calibri" w:cs="Calibri" w:eastAsia="Calibri" w:hAnsi="Calibri"/>
          <w:b/>
          <w:bCs/>
          <w:color w:val="404040"/>
          <w:sz w:val="22"/>
          <w:szCs w:val="22"/>
        </w:rPr>
        <w:t xml:space="preserve">PII detection and filtering </w:t>
      </w:r>
      <w:r>
        <w:rPr>
          <w:rFonts w:ascii="Calibri" w:cs="Calibri" w:eastAsia="Calibri" w:hAnsi="Calibri"/>
          <w:color w:val="404040"/>
          <w:sz w:val="22"/>
          <w:szCs w:val="22"/>
        </w:rPr>
        <w:t xml:space="preserve">for inputs, outputs, retrieved content, and memory writes</w:t>
      </w:r>
    </w:p>
    <w:p>
      <w:pPr>
        <w:pStyle w:val="ListParagraph"/>
        <w:numPr>
          <w:ilvl w:val="0"/>
          <w:numId w:val="2"/>
        </w:numPr>
        <w:spacing w:after="60" w:before="40" w:line="280"/>
      </w:pPr>
      <w:r>
        <w:rPr>
          <w:rFonts w:ascii="Calibri" w:cs="Calibri" w:eastAsia="Calibri" w:hAnsi="Calibri"/>
          <w:b/>
          <w:bCs/>
          <w:color w:val="404040"/>
          <w:sz w:val="22"/>
          <w:szCs w:val="22"/>
        </w:rPr>
        <w:t xml:space="preserve">Document-level access control </w:t>
      </w:r>
      <w:r>
        <w:rPr>
          <w:rFonts w:ascii="Calibri" w:cs="Calibri" w:eastAsia="Calibri" w:hAnsi="Calibri"/>
          <w:color w:val="404040"/>
          <w:sz w:val="22"/>
          <w:szCs w:val="22"/>
        </w:rPr>
        <w:t xml:space="preserve">enforced in RAG pipelines using the querying user's permissions, not the agent's</w:t>
      </w:r>
    </w:p>
    <w:p>
      <w:pPr>
        <w:pStyle w:val="ListParagraph"/>
        <w:numPr>
          <w:ilvl w:val="0"/>
          <w:numId w:val="2"/>
        </w:numPr>
        <w:spacing w:after="60" w:before="40" w:line="280"/>
      </w:pPr>
      <w:r>
        <w:rPr>
          <w:rFonts w:ascii="Calibri" w:cs="Calibri" w:eastAsia="Calibri" w:hAnsi="Calibri"/>
          <w:b/>
          <w:bCs/>
          <w:color w:val="404040"/>
          <w:sz w:val="22"/>
          <w:szCs w:val="22"/>
        </w:rPr>
        <w:t xml:space="preserve">Memory classification and retention </w:t>
      </w:r>
      <w:r>
        <w:rPr>
          <w:rFonts w:ascii="Calibri" w:cs="Calibri" w:eastAsia="Calibri" w:hAnsi="Calibri"/>
          <w:color w:val="404040"/>
          <w:sz w:val="22"/>
          <w:szCs w:val="22"/>
        </w:rPr>
        <w:t xml:space="preserve">episodic, semantic, and procedural memory each with explicit retention and deletion policies</w:t>
      </w:r>
    </w:p>
    <w:p>
      <w:pPr>
        <w:pStyle w:val="ListParagraph"/>
        <w:numPr>
          <w:ilvl w:val="0"/>
          <w:numId w:val="2"/>
        </w:numPr>
        <w:spacing w:after="60" w:before="40" w:line="280"/>
      </w:pPr>
      <w:r>
        <w:rPr>
          <w:rFonts w:ascii="Calibri" w:cs="Calibri" w:eastAsia="Calibri" w:hAnsi="Calibri"/>
          <w:b/>
          <w:bCs/>
          <w:color w:val="404040"/>
          <w:sz w:val="22"/>
          <w:szCs w:val="22"/>
        </w:rPr>
        <w:t xml:space="preserve">Right-to-forget cascade </w:t>
      </w:r>
      <w:r>
        <w:rPr>
          <w:rFonts w:ascii="Calibri" w:cs="Calibri" w:eastAsia="Calibri" w:hAnsi="Calibri"/>
          <w:color w:val="404040"/>
          <w:sz w:val="22"/>
          <w:szCs w:val="22"/>
        </w:rPr>
        <w:t xml:space="preserve">data subject deletion requests propagate through all memory stores and audit redactions within defined SLAs</w:t>
      </w:r>
    </w:p>
    <w:p>
      <w:pPr>
        <w:pStyle w:val="ListParagraph"/>
        <w:numPr>
          <w:ilvl w:val="0"/>
          <w:numId w:val="2"/>
        </w:numPr>
        <w:spacing w:after="60" w:before="40" w:line="280"/>
      </w:pPr>
      <w:r>
        <w:rPr>
          <w:rFonts w:ascii="Calibri" w:cs="Calibri" w:eastAsia="Calibri" w:hAnsi="Calibri"/>
          <w:b/>
          <w:bCs/>
          <w:color w:val="404040"/>
          <w:sz w:val="22"/>
          <w:szCs w:val="22"/>
        </w:rPr>
        <w:t xml:space="preserve">Data residency mapping </w:t>
      </w:r>
      <w:r>
        <w:rPr>
          <w:rFonts w:ascii="Calibri" w:cs="Calibri" w:eastAsia="Calibri" w:hAnsi="Calibri"/>
          <w:color w:val="404040"/>
          <w:sz w:val="22"/>
          <w:szCs w:val="22"/>
        </w:rPr>
        <w:t xml:space="preserve">every model call, embedding generation, and memory write has a known region; cross-region transfer is policy-controlled</w:t>
      </w:r>
    </w:p>
    <w:p>
      <w:pPr>
        <w:pStyle w:val="ListParagraph"/>
        <w:numPr>
          <w:ilvl w:val="0"/>
          <w:numId w:val="2"/>
        </w:numPr>
        <w:spacing w:after="60" w:before="40" w:line="280"/>
      </w:pPr>
      <w:r>
        <w:rPr>
          <w:rFonts w:ascii="Calibri" w:cs="Calibri" w:eastAsia="Calibri" w:hAnsi="Calibri"/>
          <w:b/>
          <w:bCs/>
          <w:color w:val="404040"/>
          <w:sz w:val="22"/>
          <w:szCs w:val="22"/>
        </w:rPr>
        <w:t xml:space="preserve">Cross-agent data boundaries </w:t>
      </w:r>
      <w:r>
        <w:rPr>
          <w:rFonts w:ascii="Calibri" w:cs="Calibri" w:eastAsia="Calibri" w:hAnsi="Calibri"/>
          <w:color w:val="404040"/>
          <w:sz w:val="22"/>
          <w:szCs w:val="22"/>
        </w:rPr>
        <w:t xml:space="preserve">data shared between agents is governed by explicit policy, not by convenience</w:t>
      </w:r>
    </w:p>
    <w:p>
      <w:pPr>
        <w:pStyle w:val="ListParagraph"/>
        <w:numPr>
          <w:ilvl w:val="0"/>
          <w:numId w:val="2"/>
        </w:numPr>
        <w:spacing w:after="60" w:before="40" w:line="280"/>
      </w:pPr>
      <w:r>
        <w:rPr>
          <w:rFonts w:ascii="Calibri" w:cs="Calibri" w:eastAsia="Calibri" w:hAnsi="Calibri"/>
          <w:b/>
          <w:bCs/>
          <w:color w:val="404040"/>
          <w:sz w:val="22"/>
          <w:szCs w:val="22"/>
        </w:rPr>
        <w:t xml:space="preserve">Agent-scale data access patterns </w:t>
      </w:r>
      <w:r>
        <w:rPr>
          <w:rFonts w:ascii="Calibri" w:cs="Calibri" w:eastAsia="Calibri" w:hAnsi="Calibri"/>
          <w:color w:val="404040"/>
          <w:sz w:val="22"/>
          <w:szCs w:val="22"/>
        </w:rPr>
        <w:t xml:space="preserve">data infrastructure tuned for agent query latencies (sub-second), not human exploration patterns (minutes)</w:t>
      </w:r>
    </w:p>
    <w:p>
      <w:pPr>
        <w:pStyle w:val="ListParagraph"/>
        <w:numPr>
          <w:ilvl w:val="0"/>
          <w:numId w:val="2"/>
        </w:numPr>
        <w:spacing w:after="60" w:before="40" w:line="280"/>
      </w:pPr>
      <w:r>
        <w:rPr>
          <w:rFonts w:ascii="Calibri" w:cs="Calibri" w:eastAsia="Calibri" w:hAnsi="Calibri"/>
          <w:b/>
          <w:bCs/>
          <w:color w:val="404040"/>
          <w:sz w:val="22"/>
          <w:szCs w:val="22"/>
        </w:rPr>
        <w:t xml:space="preserve">Training and fine-tuning governance </w:t>
      </w:r>
      <w:r>
        <w:rPr>
          <w:rFonts w:ascii="Calibri" w:cs="Calibri" w:eastAsia="Calibri" w:hAnsi="Calibri"/>
          <w:color w:val="404040"/>
          <w:sz w:val="22"/>
          <w:szCs w:val="22"/>
        </w:rPr>
        <w:t xml:space="preserve">consent tracking, deletion compliance, and lineage back to source</w:t>
      </w:r>
    </w:p>
    <w:p>
      <w:pPr>
        <w:pStyle w:val="ListParagraph"/>
        <w:numPr>
          <w:ilvl w:val="0"/>
          <w:numId w:val="2"/>
        </w:numPr>
        <w:spacing w:after="60" w:before="40" w:line="280"/>
      </w:pPr>
      <w:r>
        <w:rPr>
          <w:rFonts w:ascii="Calibri" w:cs="Calibri" w:eastAsia="Calibri" w:hAnsi="Calibri"/>
          <w:b/>
          <w:bCs/>
          <w:color w:val="404040"/>
          <w:sz w:val="22"/>
          <w:szCs w:val="22"/>
        </w:rPr>
        <w:t xml:space="preserve">Prompt and completion retention policies </w:t>
      </w:r>
      <w:r>
        <w:rPr>
          <w:rFonts w:ascii="Calibri" w:cs="Calibri" w:eastAsia="Calibri" w:hAnsi="Calibri"/>
          <w:color w:val="404040"/>
          <w:sz w:val="22"/>
          <w:szCs w:val="22"/>
        </w:rPr>
        <w:t xml:space="preserve">aligned with regulatory requirements and classified sensitivity</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Failure Modes This Pillar Prevents</w:t>
      </w:r>
    </w:p>
    <w:p>
      <w:pPr>
        <w:pStyle w:val="ListParagraph"/>
        <w:numPr>
          <w:ilvl w:val="0"/>
          <w:numId w:val="2"/>
        </w:numPr>
        <w:spacing w:after="60" w:before="40" w:line="280"/>
      </w:pPr>
      <w:r>
        <w:rPr>
          <w:rFonts w:ascii="Calibri" w:cs="Calibri" w:eastAsia="Calibri" w:hAnsi="Calibri"/>
          <w:color w:val="404040"/>
          <w:sz w:val="22"/>
          <w:szCs w:val="22"/>
        </w:rPr>
        <w:t xml:space="preserve">PII leaking through completions into logs that are not classified as sensitive.</w:t>
      </w:r>
    </w:p>
    <w:p>
      <w:pPr>
        <w:pStyle w:val="ListParagraph"/>
        <w:numPr>
          <w:ilvl w:val="0"/>
          <w:numId w:val="2"/>
        </w:numPr>
        <w:spacing w:after="60" w:before="40" w:line="280"/>
      </w:pPr>
      <w:r>
        <w:rPr>
          <w:rFonts w:ascii="Calibri" w:cs="Calibri" w:eastAsia="Calibri" w:hAnsi="Calibri"/>
          <w:color w:val="404040"/>
          <w:sz w:val="22"/>
          <w:szCs w:val="22"/>
        </w:rPr>
        <w:t xml:space="preserve">RAG pipelines returning documents the querying user should not have access to.</w:t>
      </w:r>
    </w:p>
    <w:p>
      <w:pPr>
        <w:pStyle w:val="ListParagraph"/>
        <w:numPr>
          <w:ilvl w:val="0"/>
          <w:numId w:val="2"/>
        </w:numPr>
        <w:spacing w:after="60" w:before="40" w:line="280"/>
      </w:pPr>
      <w:r>
        <w:rPr>
          <w:rFonts w:ascii="Calibri" w:cs="Calibri" w:eastAsia="Calibri" w:hAnsi="Calibri"/>
          <w:color w:val="404040"/>
          <w:sz w:val="22"/>
          <w:szCs w:val="22"/>
        </w:rPr>
        <w:t xml:space="preserve">Memory retaining data after a right-to-forget request is processed elsewhere.</w:t>
      </w:r>
    </w:p>
    <w:p>
      <w:pPr>
        <w:pStyle w:val="ListParagraph"/>
        <w:numPr>
          <w:ilvl w:val="0"/>
          <w:numId w:val="2"/>
        </w:numPr>
        <w:spacing w:after="60" w:before="40" w:line="280"/>
      </w:pPr>
      <w:r>
        <w:rPr>
          <w:rFonts w:ascii="Calibri" w:cs="Calibri" w:eastAsia="Calibri" w:hAnsi="Calibri"/>
          <w:color w:val="404040"/>
          <w:sz w:val="22"/>
          <w:szCs w:val="22"/>
        </w:rPr>
        <w:t xml:space="preserve">Cross-region data flows occurring invisibly through model provider APIs.</w:t>
      </w:r>
    </w:p>
    <w:p>
      <w:pPr>
        <w:pStyle w:val="ListParagraph"/>
        <w:numPr>
          <w:ilvl w:val="0"/>
          <w:numId w:val="2"/>
        </w:numPr>
        <w:spacing w:after="60" w:before="40" w:line="280"/>
      </w:pPr>
      <w:r>
        <w:rPr>
          <w:rFonts w:ascii="Calibri" w:cs="Calibri" w:eastAsia="Calibri" w:hAnsi="Calibri"/>
          <w:color w:val="404040"/>
          <w:sz w:val="22"/>
          <w:szCs w:val="22"/>
        </w:rPr>
        <w:t xml:space="preserve">Agents producing technically-correct-but-business-wrong answers because the data layer lacks semantic context for terms like 'margin,' 'churn,' or 'active customer.'</w:t>
      </w:r>
    </w:p>
    <w:p>
      <w:pPr>
        <w:pStyle w:val="ListParagraph"/>
        <w:numPr>
          <w:ilvl w:val="0"/>
          <w:numId w:val="2"/>
        </w:numPr>
        <w:spacing w:after="60" w:before="40" w:line="280"/>
      </w:pPr>
      <w:r>
        <w:rPr>
          <w:rFonts w:ascii="Calibri" w:cs="Calibri" w:eastAsia="Calibri" w:hAnsi="Calibri"/>
          <w:color w:val="404040"/>
          <w:sz w:val="22"/>
          <w:szCs w:val="22"/>
        </w:rPr>
        <w:t xml:space="preserve">Data infrastructure tuned for human BI workloads becoming the bottleneck for agent decision-making at scale.</w:t>
      </w:r>
    </w:p>
    <w:p>
      <w:pPr>
        <w:pStyle w:val="ListParagraph"/>
        <w:numPr>
          <w:ilvl w:val="0"/>
          <w:numId w:val="2"/>
        </w:numPr>
        <w:spacing w:after="60" w:before="40" w:line="280"/>
      </w:pPr>
      <w:r>
        <w:rPr>
          <w:rFonts w:ascii="Calibri" w:cs="Calibri" w:eastAsia="Calibri" w:hAnsi="Calibri"/>
          <w:color w:val="404040"/>
          <w:sz w:val="22"/>
          <w:szCs w:val="22"/>
        </w:rPr>
        <w:t xml:space="preserve">Training data containing records from data subjects who have revoked consent.</w:t>
      </w:r>
    </w:p>
    <w:p>
      <w:pPr>
        <w:spacing w:after="14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6"/>
              <w:bottom w:val="single" w:color="2E75B6" w:sz="4"/>
              <w:right w:val="single" w:color="2E75B6" w:sz="4"/>
            </w:tcBorders>
            <w:shd w:fill="E7EEF7" w:val="clear"/>
            <w:tcMar>
              <w:top w:type="dxa" w:w="180"/>
              <w:left w:type="dxa" w:w="240"/>
              <w:bottom w:type="dxa" w:w="180"/>
              <w:right w:type="dxa" w:w="240"/>
            </w:tcMar>
          </w:tcPr>
          <w:p>
            <w:pPr>
              <w:spacing w:after="100" w:before="0"/>
            </w:pPr>
            <w:r>
              <w:rPr>
                <w:rFonts w:ascii="Calibri" w:cs="Calibri" w:eastAsia="Calibri" w:hAnsi="Calibri"/>
                <w:b/>
                <w:bCs/>
                <w:color w:val="1F3864"/>
                <w:sz w:val="22"/>
                <w:szCs w:val="22"/>
              </w:rPr>
              <w:t xml:space="preserve">Maturity Signal</w:t>
            </w:r>
          </w:p>
          <w:p>
            <w:pPr>
              <w:spacing w:after="0" w:before="0" w:line="280"/>
            </w:pPr>
            <w:r>
              <w:rPr>
                <w:rFonts w:ascii="Calibri" w:cs="Calibri" w:eastAsia="Calibri" w:hAnsi="Calibri"/>
                <w:color w:val="404040"/>
                <w:sz w:val="20"/>
                <w:szCs w:val="20"/>
              </w:rPr>
              <w:t xml:space="preserve">Mature organizations can demonstrate end-to-end data flow for any agent interaction, including which regions touched the data, which memories retained it, what business context grounded it, and what the deletion path looks like.</w:t>
            </w:r>
          </w:p>
        </w:tc>
      </w:tr>
    </w:tbl>
    <w:p>
      <w:r>
        <w:br w:type="page"/>
      </w:r>
    </w:p>
    <w:p>
      <w:pPr>
        <w:pStyle w:val="Heading2"/>
        <w:spacing w:after="120" w:before="280"/>
      </w:pPr>
      <w:r>
        <w:rPr>
          <w:rFonts w:ascii="Calibri" w:cs="Calibri" w:eastAsia="Calibri" w:hAnsi="Calibri"/>
          <w:b/>
          <w:bCs/>
          <w:color w:val="1F3864"/>
          <w:sz w:val="28"/>
          <w:szCs w:val="28"/>
        </w:rPr>
        <w:t xml:space="preserve">3.4 Agent Observability &amp; Reliability</w:t>
      </w:r>
    </w:p>
    <w:p>
      <w:pPr>
        <w:spacing w:after="200" w:before="0"/>
      </w:pPr>
      <w:r>
        <w:rPr>
          <w:rFonts w:ascii="Calibri" w:cs="Calibri" w:eastAsia="Calibri" w:hAnsi="Calibri"/>
          <w:i/>
          <w:iCs/>
          <w:color w:val="2E75B6"/>
          <w:sz w:val="22"/>
          <w:szCs w:val="22"/>
        </w:rPr>
        <w:t xml:space="preserve">If you cannot see the reasoning, you cannot debug the action.</w:t>
      </w:r>
    </w:p>
    <w:p>
      <w:pPr>
        <w:spacing w:after="120" w:before="80" w:line="300"/>
      </w:pPr>
      <w:r>
        <w:rPr>
          <w:rFonts w:ascii="Calibri" w:cs="Calibri" w:eastAsia="Calibri" w:hAnsi="Calibri"/>
          <w:color w:val="404040"/>
          <w:sz w:val="22"/>
          <w:szCs w:val="22"/>
        </w:rPr>
        <w:t xml:space="preserve">Agent failures are rarely binary. The agent returns a 200 OK while calling the wrong tool, citing a hallucinated source, or reasoning its way to a subtly incorrect conclusion. Traditional monitoring — latency, error rate, throughput — does not catch any of this.</w:t>
      </w:r>
    </w:p>
    <w:p>
      <w:pPr>
        <w:spacing w:after="120" w:before="80" w:line="300"/>
      </w:pPr>
      <w:r>
        <w:rPr>
          <w:rFonts w:ascii="Calibri" w:cs="Calibri" w:eastAsia="Calibri" w:hAnsi="Calibri"/>
          <w:color w:val="404040"/>
          <w:sz w:val="22"/>
          <w:szCs w:val="22"/>
        </w:rPr>
        <w:t xml:space="preserve">Reliability concerns also change shape as agents become long-running. A short-turn chatbot that fails simply restarts. A procurement agent halfway through a three-day workflow cannot. Long-running agents introduce a distinct architectural pattern with its own engineering practices: persistent goal tracking across sessions, resumable execution after restarts, multi-day audit trails, and checkpointing strategies that balance durability against storage cost. These are not edge cases — they are core to how agentic workflows actually run in production.</w:t>
      </w:r>
    </w:p>
    <w:p>
      <w:pPr>
        <w:spacing w:after="120" w:before="80" w:line="300"/>
      </w:pPr>
      <w:r>
        <w:rPr>
          <w:rFonts w:ascii="Calibri" w:cs="Calibri" w:eastAsia="Calibri" w:hAnsi="Calibri"/>
          <w:color w:val="404040"/>
          <w:sz w:val="22"/>
          <w:szCs w:val="22"/>
        </w:rPr>
        <w:t xml:space="preserve">This pillar defines the observability primitives that agent operators actually need: structured reasoning traces, multi-step execution spans, tool-use correlation, memory access logs, and semantic drift detection. It also addresses reliability for both transactional agents (sub-second turns) and long-running agents (sessions persisting hours to days), with state durability, crash recovery, idempotency, and human-in-the-loop checkpoints as universal requirements.</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Key Capabilities</w:t>
      </w:r>
    </w:p>
    <w:p>
      <w:pPr>
        <w:pStyle w:val="ListParagraph"/>
        <w:numPr>
          <w:ilvl w:val="0"/>
          <w:numId w:val="2"/>
        </w:numPr>
        <w:spacing w:after="60" w:before="40" w:line="280"/>
      </w:pPr>
      <w:r>
        <w:rPr>
          <w:rFonts w:ascii="Calibri" w:cs="Calibri" w:eastAsia="Calibri" w:hAnsi="Calibri"/>
          <w:b/>
          <w:bCs/>
          <w:color w:val="404040"/>
          <w:sz w:val="22"/>
          <w:szCs w:val="22"/>
        </w:rPr>
        <w:t xml:space="preserve">OpenTelemetry agent spans </w:t>
      </w:r>
      <w:r>
        <w:rPr>
          <w:rFonts w:ascii="Calibri" w:cs="Calibri" w:eastAsia="Calibri" w:hAnsi="Calibri"/>
          <w:color w:val="404040"/>
          <w:sz w:val="22"/>
          <w:szCs w:val="22"/>
        </w:rPr>
        <w:t xml:space="preserve">standard span types for session, turn, reasoning, memory read/write, skill invoke, MCP tool call, guardrail check, and HITL checkpoint</w:t>
      </w:r>
    </w:p>
    <w:p>
      <w:pPr>
        <w:pStyle w:val="ListParagraph"/>
        <w:numPr>
          <w:ilvl w:val="0"/>
          <w:numId w:val="2"/>
        </w:numPr>
        <w:spacing w:after="60" w:before="40" w:line="280"/>
      </w:pPr>
      <w:r>
        <w:rPr>
          <w:rFonts w:ascii="Calibri" w:cs="Calibri" w:eastAsia="Calibri" w:hAnsi="Calibri"/>
          <w:b/>
          <w:bCs/>
          <w:color w:val="404040"/>
          <w:sz w:val="22"/>
          <w:szCs w:val="22"/>
        </w:rPr>
        <w:t xml:space="preserve">End-to-end reasoning trace </w:t>
      </w:r>
      <w:r>
        <w:rPr>
          <w:rFonts w:ascii="Calibri" w:cs="Calibri" w:eastAsia="Calibri" w:hAnsi="Calibri"/>
          <w:color w:val="404040"/>
          <w:sz w:val="22"/>
          <w:szCs w:val="22"/>
        </w:rPr>
        <w:t xml:space="preserve">captured for every session and queryable for debugging, audit, and replay</w:t>
      </w:r>
    </w:p>
    <w:p>
      <w:pPr>
        <w:pStyle w:val="ListParagraph"/>
        <w:numPr>
          <w:ilvl w:val="0"/>
          <w:numId w:val="2"/>
        </w:numPr>
        <w:spacing w:after="60" w:before="40" w:line="280"/>
      </w:pPr>
      <w:r>
        <w:rPr>
          <w:rFonts w:ascii="Calibri" w:cs="Calibri" w:eastAsia="Calibri" w:hAnsi="Calibri"/>
          <w:b/>
          <w:bCs/>
          <w:color w:val="404040"/>
          <w:sz w:val="22"/>
          <w:szCs w:val="22"/>
        </w:rPr>
        <w:t xml:space="preserve">LLM-specific metrics </w:t>
      </w:r>
      <w:r>
        <w:rPr>
          <w:rFonts w:ascii="Calibri" w:cs="Calibri" w:eastAsia="Calibri" w:hAnsi="Calibri"/>
          <w:color w:val="404040"/>
          <w:sz w:val="22"/>
          <w:szCs w:val="22"/>
        </w:rPr>
        <w:t xml:space="preserve">latency distributions, token usage, cost per request, content filter blocks, error rates across providers</w:t>
      </w:r>
    </w:p>
    <w:p>
      <w:pPr>
        <w:pStyle w:val="ListParagraph"/>
        <w:numPr>
          <w:ilvl w:val="0"/>
          <w:numId w:val="2"/>
        </w:numPr>
        <w:spacing w:after="60" w:before="40" w:line="280"/>
      </w:pPr>
      <w:r>
        <w:rPr>
          <w:rFonts w:ascii="Calibri" w:cs="Calibri" w:eastAsia="Calibri" w:hAnsi="Calibri"/>
          <w:b/>
          <w:bCs/>
          <w:color w:val="404040"/>
          <w:sz w:val="22"/>
          <w:szCs w:val="22"/>
        </w:rPr>
        <w:t xml:space="preserve">Semantic drift detection </w:t>
      </w:r>
      <w:r>
        <w:rPr>
          <w:rFonts w:ascii="Calibri" w:cs="Calibri" w:eastAsia="Calibri" w:hAnsi="Calibri"/>
          <w:color w:val="404040"/>
          <w:sz w:val="22"/>
          <w:szCs w:val="22"/>
        </w:rPr>
        <w:t xml:space="preserve">statistical monitoring of output distributions against baselines with configurable alerting</w:t>
      </w:r>
    </w:p>
    <w:p>
      <w:pPr>
        <w:pStyle w:val="ListParagraph"/>
        <w:numPr>
          <w:ilvl w:val="0"/>
          <w:numId w:val="2"/>
        </w:numPr>
        <w:spacing w:after="60" w:before="40" w:line="280"/>
      </w:pPr>
      <w:r>
        <w:rPr>
          <w:rFonts w:ascii="Calibri" w:cs="Calibri" w:eastAsia="Calibri" w:hAnsi="Calibri"/>
          <w:b/>
          <w:bCs/>
          <w:color w:val="404040"/>
          <w:sz w:val="22"/>
          <w:szCs w:val="22"/>
        </w:rPr>
        <w:t xml:space="preserve">State durability and crash recovery </w:t>
      </w:r>
      <w:r>
        <w:rPr>
          <w:rFonts w:ascii="Calibri" w:cs="Calibri" w:eastAsia="Calibri" w:hAnsi="Calibri"/>
          <w:color w:val="404040"/>
          <w:sz w:val="22"/>
          <w:szCs w:val="22"/>
        </w:rPr>
        <w:t xml:space="preserve">checkpointing long-running sessions to durable storage; seamless resume after runtime failure</w:t>
      </w:r>
    </w:p>
    <w:p>
      <w:pPr>
        <w:pStyle w:val="ListParagraph"/>
        <w:numPr>
          <w:ilvl w:val="0"/>
          <w:numId w:val="2"/>
        </w:numPr>
        <w:spacing w:after="60" w:before="40" w:line="280"/>
      </w:pPr>
      <w:r>
        <w:rPr>
          <w:rFonts w:ascii="Calibri" w:cs="Calibri" w:eastAsia="Calibri" w:hAnsi="Calibri"/>
          <w:b/>
          <w:bCs/>
          <w:color w:val="404040"/>
          <w:sz w:val="22"/>
          <w:szCs w:val="22"/>
        </w:rPr>
        <w:t xml:space="preserve">Long-running agent patterns </w:t>
      </w:r>
      <w:r>
        <w:rPr>
          <w:rFonts w:ascii="Calibri" w:cs="Calibri" w:eastAsia="Calibri" w:hAnsi="Calibri"/>
          <w:color w:val="404040"/>
          <w:sz w:val="22"/>
          <w:szCs w:val="22"/>
        </w:rPr>
        <w:t xml:space="preserve">persistent goal state across days; resumable execution graphs; checkpoint strategies for hour-to-day workflows; long-horizon audit trails that exceed standard log retention</w:t>
      </w:r>
    </w:p>
    <w:p>
      <w:pPr>
        <w:pStyle w:val="ListParagraph"/>
        <w:numPr>
          <w:ilvl w:val="0"/>
          <w:numId w:val="2"/>
        </w:numPr>
        <w:spacing w:after="60" w:before="40" w:line="280"/>
      </w:pPr>
      <w:r>
        <w:rPr>
          <w:rFonts w:ascii="Calibri" w:cs="Calibri" w:eastAsia="Calibri" w:hAnsi="Calibri"/>
          <w:b/>
          <w:bCs/>
          <w:color w:val="404040"/>
          <w:sz w:val="22"/>
          <w:szCs w:val="22"/>
        </w:rPr>
        <w:t xml:space="preserve">Idempotency for tool calls </w:t>
      </w:r>
      <w:r>
        <w:rPr>
          <w:rFonts w:ascii="Calibri" w:cs="Calibri" w:eastAsia="Calibri" w:hAnsi="Calibri"/>
          <w:color w:val="404040"/>
          <w:sz w:val="22"/>
          <w:szCs w:val="22"/>
        </w:rPr>
        <w:t xml:space="preserve">deduplication keys and retry policies that prevent double-charging, double-sending, or double-writing</w:t>
      </w:r>
    </w:p>
    <w:p>
      <w:pPr>
        <w:pStyle w:val="ListParagraph"/>
        <w:numPr>
          <w:ilvl w:val="0"/>
          <w:numId w:val="2"/>
        </w:numPr>
        <w:spacing w:after="60" w:before="40" w:line="280"/>
      </w:pPr>
      <w:r>
        <w:rPr>
          <w:rFonts w:ascii="Calibri" w:cs="Calibri" w:eastAsia="Calibri" w:hAnsi="Calibri"/>
          <w:b/>
          <w:bCs/>
          <w:color w:val="404040"/>
          <w:sz w:val="22"/>
          <w:szCs w:val="22"/>
        </w:rPr>
        <w:t xml:space="preserve">Human-in-the-loop checkpoints </w:t>
      </w:r>
      <w:r>
        <w:rPr>
          <w:rFonts w:ascii="Calibri" w:cs="Calibri" w:eastAsia="Calibri" w:hAnsi="Calibri"/>
          <w:color w:val="404040"/>
          <w:sz w:val="22"/>
          <w:szCs w:val="22"/>
        </w:rPr>
        <w:t xml:space="preserve">defined approval flows with timeouts, notifications, and audit logging for every decision</w:t>
      </w:r>
    </w:p>
    <w:p>
      <w:pPr>
        <w:pStyle w:val="ListParagraph"/>
        <w:numPr>
          <w:ilvl w:val="0"/>
          <w:numId w:val="2"/>
        </w:numPr>
        <w:spacing w:after="60" w:before="40" w:line="280"/>
      </w:pPr>
      <w:r>
        <w:rPr>
          <w:rFonts w:ascii="Calibri" w:cs="Calibri" w:eastAsia="Calibri" w:hAnsi="Calibri"/>
          <w:b/>
          <w:bCs/>
          <w:color w:val="404040"/>
          <w:sz w:val="22"/>
          <w:szCs w:val="22"/>
        </w:rPr>
        <w:t xml:space="preserve">Production replay </w:t>
      </w:r>
      <w:r>
        <w:rPr>
          <w:rFonts w:ascii="Calibri" w:cs="Calibri" w:eastAsia="Calibri" w:hAnsi="Calibri"/>
          <w:color w:val="404040"/>
          <w:sz w:val="22"/>
          <w:szCs w:val="22"/>
        </w:rPr>
        <w:t xml:space="preserve">capture a sample of production traffic; replay against candidate versions in shadow mode before promotion</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Failure Modes This Pillar Prevents</w:t>
      </w:r>
    </w:p>
    <w:p>
      <w:pPr>
        <w:pStyle w:val="ListParagraph"/>
        <w:numPr>
          <w:ilvl w:val="0"/>
          <w:numId w:val="2"/>
        </w:numPr>
        <w:spacing w:after="60" w:before="40" w:line="280"/>
      </w:pPr>
      <w:r>
        <w:rPr>
          <w:rFonts w:ascii="Calibri" w:cs="Calibri" w:eastAsia="Calibri" w:hAnsi="Calibri"/>
          <w:color w:val="404040"/>
          <w:sz w:val="22"/>
          <w:szCs w:val="22"/>
        </w:rPr>
        <w:t xml:space="preserve">Silent failures where the agent returns a plausible-looking but incorrect response that only surfaces in downstream systems.</w:t>
      </w:r>
    </w:p>
    <w:p>
      <w:pPr>
        <w:pStyle w:val="ListParagraph"/>
        <w:numPr>
          <w:ilvl w:val="0"/>
          <w:numId w:val="2"/>
        </w:numPr>
        <w:spacing w:after="60" w:before="40" w:line="280"/>
      </w:pPr>
      <w:r>
        <w:rPr>
          <w:rFonts w:ascii="Calibri" w:cs="Calibri" w:eastAsia="Calibri" w:hAnsi="Calibri"/>
          <w:color w:val="404040"/>
          <w:sz w:val="22"/>
          <w:szCs w:val="22"/>
        </w:rPr>
        <w:t xml:space="preserve">Debugging sessions that start with "what was the agent thinking?" and end without an answer because the reasoning was not captured.</w:t>
      </w:r>
    </w:p>
    <w:p>
      <w:pPr>
        <w:pStyle w:val="ListParagraph"/>
        <w:numPr>
          <w:ilvl w:val="0"/>
          <w:numId w:val="2"/>
        </w:numPr>
        <w:spacing w:after="60" w:before="40" w:line="280"/>
      </w:pPr>
      <w:r>
        <w:rPr>
          <w:rFonts w:ascii="Calibri" w:cs="Calibri" w:eastAsia="Calibri" w:hAnsi="Calibri"/>
          <w:color w:val="404040"/>
          <w:sz w:val="22"/>
          <w:szCs w:val="22"/>
        </w:rPr>
        <w:t xml:space="preserve">Cost overruns discovered at month-end rather than when they start.</w:t>
      </w:r>
    </w:p>
    <w:p>
      <w:pPr>
        <w:pStyle w:val="ListParagraph"/>
        <w:numPr>
          <w:ilvl w:val="0"/>
          <w:numId w:val="2"/>
        </w:numPr>
        <w:spacing w:after="60" w:before="40" w:line="280"/>
      </w:pPr>
      <w:r>
        <w:rPr>
          <w:rFonts w:ascii="Calibri" w:cs="Calibri" w:eastAsia="Calibri" w:hAnsi="Calibri"/>
          <w:color w:val="404040"/>
          <w:sz w:val="22"/>
          <w:szCs w:val="22"/>
        </w:rPr>
        <w:t xml:space="preserve">Long-running agent sessions lost forever after a runtime crash, with no resume path.</w:t>
      </w:r>
    </w:p>
    <w:p>
      <w:pPr>
        <w:pStyle w:val="ListParagraph"/>
        <w:numPr>
          <w:ilvl w:val="0"/>
          <w:numId w:val="2"/>
        </w:numPr>
        <w:spacing w:after="60" w:before="40" w:line="280"/>
      </w:pPr>
      <w:r>
        <w:rPr>
          <w:rFonts w:ascii="Calibri" w:cs="Calibri" w:eastAsia="Calibri" w:hAnsi="Calibri"/>
          <w:color w:val="404040"/>
          <w:sz w:val="22"/>
          <w:szCs w:val="22"/>
        </w:rPr>
        <w:t xml:space="preserve">Multi-day workflows where audit trail rolls off log retention before the workflow completes.</w:t>
      </w:r>
    </w:p>
    <w:p>
      <w:pPr>
        <w:pStyle w:val="ListParagraph"/>
        <w:numPr>
          <w:ilvl w:val="0"/>
          <w:numId w:val="2"/>
        </w:numPr>
        <w:spacing w:after="60" w:before="40" w:line="280"/>
      </w:pPr>
      <w:r>
        <w:rPr>
          <w:rFonts w:ascii="Calibri" w:cs="Calibri" w:eastAsia="Calibri" w:hAnsi="Calibri"/>
          <w:color w:val="404040"/>
          <w:sz w:val="22"/>
          <w:szCs w:val="22"/>
        </w:rPr>
        <w:t xml:space="preserve">Tool calls retried incorrectly, causing duplicate emails, tickets, charges, or database writes.</w:t>
      </w:r>
    </w:p>
    <w:p>
      <w:pPr>
        <w:spacing w:after="14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6"/>
              <w:bottom w:val="single" w:color="2E75B6" w:sz="4"/>
              <w:right w:val="single" w:color="2E75B6" w:sz="4"/>
            </w:tcBorders>
            <w:shd w:fill="E7EEF7" w:val="clear"/>
            <w:tcMar>
              <w:top w:type="dxa" w:w="180"/>
              <w:left w:type="dxa" w:w="240"/>
              <w:bottom w:type="dxa" w:w="180"/>
              <w:right w:type="dxa" w:w="240"/>
            </w:tcMar>
          </w:tcPr>
          <w:p>
            <w:pPr>
              <w:spacing w:after="100" w:before="0"/>
            </w:pPr>
            <w:r>
              <w:rPr>
                <w:rFonts w:ascii="Calibri" w:cs="Calibri" w:eastAsia="Calibri" w:hAnsi="Calibri"/>
                <w:b/>
                <w:bCs/>
                <w:color w:val="1F3864"/>
                <w:sz w:val="22"/>
                <w:szCs w:val="22"/>
              </w:rPr>
              <w:t xml:space="preserve">Maturity Signal</w:t>
            </w:r>
          </w:p>
          <w:p>
            <w:pPr>
              <w:spacing w:after="0" w:before="0" w:line="280"/>
            </w:pPr>
            <w:r>
              <w:rPr>
                <w:rFonts w:ascii="Calibri" w:cs="Calibri" w:eastAsia="Calibri" w:hAnsi="Calibri"/>
                <w:color w:val="404040"/>
                <w:sz w:val="20"/>
                <w:szCs w:val="20"/>
              </w:rPr>
              <w:t xml:space="preserve">Mature organizations can replay any production session against a candidate agent version, measure divergence quantitatively, and gate promotion on the result. Long-running agents can be paused, inspected, and resumed without data loss across runtime restarts that may span days.</w:t>
            </w:r>
          </w:p>
        </w:tc>
      </w:tr>
    </w:tbl>
    <w:p>
      <w:r>
        <w:br w:type="page"/>
      </w:r>
    </w:p>
    <w:p>
      <w:pPr>
        <w:pStyle w:val="Heading2"/>
        <w:spacing w:after="120" w:before="280"/>
      </w:pPr>
      <w:r>
        <w:rPr>
          <w:rFonts w:ascii="Calibri" w:cs="Calibri" w:eastAsia="Calibri" w:hAnsi="Calibri"/>
          <w:b/>
          <w:bCs/>
          <w:color w:val="1F3864"/>
          <w:sz w:val="28"/>
          <w:szCs w:val="28"/>
        </w:rPr>
        <w:t xml:space="preserve">3.5 Agent Evaluation &amp; Quality Assurance</w:t>
      </w:r>
    </w:p>
    <w:p>
      <w:pPr>
        <w:spacing w:after="200" w:before="0"/>
      </w:pPr>
      <w:r>
        <w:rPr>
          <w:rFonts w:ascii="Calibri" w:cs="Calibri" w:eastAsia="Calibri" w:hAnsi="Calibri"/>
          <w:i/>
          <w:iCs/>
          <w:color w:val="2E75B6"/>
          <w:sz w:val="22"/>
          <w:szCs w:val="22"/>
        </w:rPr>
        <w:t xml:space="preserve">Agents require continuous evaluation. Shipping without it is negligence.</w:t>
      </w:r>
    </w:p>
    <w:p>
      <w:pPr>
        <w:spacing w:after="120" w:before="80" w:line="300"/>
      </w:pPr>
      <w:r>
        <w:rPr>
          <w:rFonts w:ascii="Calibri" w:cs="Calibri" w:eastAsia="Calibri" w:hAnsi="Calibri"/>
          <w:color w:val="404040"/>
          <w:sz w:val="22"/>
          <w:szCs w:val="22"/>
        </w:rPr>
        <w:t xml:space="preserve">Classical software testing relies on deterministic behavior: the same input yields the same output, and tests either pass or fail. Agent behavior is probabilistic, context-dependent, and drifts silently as models are updated behind provider APIs. A test suite written once and never re-run is a liability, not an asset.</w:t>
      </w:r>
    </w:p>
    <w:p>
      <w:pPr>
        <w:spacing w:after="120" w:before="80" w:line="300"/>
      </w:pPr>
      <w:r>
        <w:rPr>
          <w:rFonts w:ascii="Calibri" w:cs="Calibri" w:eastAsia="Calibri" w:hAnsi="Calibri"/>
          <w:color w:val="404040"/>
          <w:sz w:val="22"/>
          <w:szCs w:val="22"/>
        </w:rPr>
        <w:t xml:space="preserve">This pillar establishes a tiered evaluation strategy with gates at every promotion boundary. It covers pre-deployment evaluation suites, staged rollout procedures, and — critically — continuous evaluation in production. Agent-specific evaluation dimensions are explicitly addressed: multi-turn coherence, tool-use correctness, planning quality, citation accuracy, and cost-per-task regression.</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Key Capabilities</w:t>
      </w:r>
    </w:p>
    <w:p>
      <w:pPr>
        <w:pStyle w:val="ListParagraph"/>
        <w:numPr>
          <w:ilvl w:val="0"/>
          <w:numId w:val="2"/>
        </w:numPr>
        <w:spacing w:after="60" w:before="40" w:line="280"/>
      </w:pPr>
      <w:r>
        <w:rPr>
          <w:rFonts w:ascii="Calibri" w:cs="Calibri" w:eastAsia="Calibri" w:hAnsi="Calibri"/>
          <w:b/>
          <w:bCs/>
          <w:color w:val="404040"/>
          <w:sz w:val="22"/>
          <w:szCs w:val="22"/>
        </w:rPr>
        <w:t xml:space="preserve">Pre-deployment evaluation suites </w:t>
      </w:r>
      <w:r>
        <w:rPr>
          <w:rFonts w:ascii="Calibri" w:cs="Calibri" w:eastAsia="Calibri" w:hAnsi="Calibri"/>
          <w:color w:val="404040"/>
          <w:sz w:val="22"/>
          <w:szCs w:val="22"/>
        </w:rPr>
        <w:t xml:space="preserve">task-specific benchmarks, regression test cases, adversarial test cases, and LLM-as-judge rubrics with their own evaluation</w:t>
      </w:r>
    </w:p>
    <w:p>
      <w:pPr>
        <w:pStyle w:val="ListParagraph"/>
        <w:numPr>
          <w:ilvl w:val="0"/>
          <w:numId w:val="2"/>
        </w:numPr>
        <w:spacing w:after="60" w:before="40" w:line="280"/>
      </w:pPr>
      <w:r>
        <w:rPr>
          <w:rFonts w:ascii="Calibri" w:cs="Calibri" w:eastAsia="Calibri" w:hAnsi="Calibri"/>
          <w:b/>
          <w:bCs/>
          <w:color w:val="404040"/>
          <w:sz w:val="22"/>
          <w:szCs w:val="22"/>
        </w:rPr>
        <w:t xml:space="preserve">Multi-turn evaluation </w:t>
      </w:r>
      <w:r>
        <w:rPr>
          <w:rFonts w:ascii="Calibri" w:cs="Calibri" w:eastAsia="Calibri" w:hAnsi="Calibri"/>
          <w:color w:val="404040"/>
          <w:sz w:val="22"/>
          <w:szCs w:val="22"/>
        </w:rPr>
        <w:t xml:space="preserve">measuring coherence, context retention, and goal pursuit across extended sessions</w:t>
      </w:r>
    </w:p>
    <w:p>
      <w:pPr>
        <w:pStyle w:val="ListParagraph"/>
        <w:numPr>
          <w:ilvl w:val="0"/>
          <w:numId w:val="2"/>
        </w:numPr>
        <w:spacing w:after="60" w:before="40" w:line="280"/>
      </w:pPr>
      <w:r>
        <w:rPr>
          <w:rFonts w:ascii="Calibri" w:cs="Calibri" w:eastAsia="Calibri" w:hAnsi="Calibri"/>
          <w:b/>
          <w:bCs/>
          <w:color w:val="404040"/>
          <w:sz w:val="22"/>
          <w:szCs w:val="22"/>
        </w:rPr>
        <w:t xml:space="preserve">Tool-use correctness </w:t>
      </w:r>
      <w:r>
        <w:rPr>
          <w:rFonts w:ascii="Calibri" w:cs="Calibri" w:eastAsia="Calibri" w:hAnsi="Calibri"/>
          <w:color w:val="404040"/>
          <w:sz w:val="22"/>
          <w:szCs w:val="22"/>
        </w:rPr>
        <w:t xml:space="preserve">was the right tool called? With the right parameters? With the right frequency?</w:t>
      </w:r>
    </w:p>
    <w:p>
      <w:pPr>
        <w:pStyle w:val="ListParagraph"/>
        <w:numPr>
          <w:ilvl w:val="0"/>
          <w:numId w:val="2"/>
        </w:numPr>
        <w:spacing w:after="60" w:before="40" w:line="280"/>
      </w:pPr>
      <w:r>
        <w:rPr>
          <w:rFonts w:ascii="Calibri" w:cs="Calibri" w:eastAsia="Calibri" w:hAnsi="Calibri"/>
          <w:b/>
          <w:bCs/>
          <w:color w:val="404040"/>
          <w:sz w:val="22"/>
          <w:szCs w:val="22"/>
        </w:rPr>
        <w:t xml:space="preserve">Planning quality evaluation </w:t>
      </w:r>
      <w:r>
        <w:rPr>
          <w:rFonts w:ascii="Calibri" w:cs="Calibri" w:eastAsia="Calibri" w:hAnsi="Calibri"/>
          <w:color w:val="404040"/>
          <w:sz w:val="22"/>
          <w:szCs w:val="22"/>
        </w:rPr>
        <w:t xml:space="preserve">for agents that generate multi-step plans, measuring plan feasibility and efficiency</w:t>
      </w:r>
    </w:p>
    <w:p>
      <w:pPr>
        <w:pStyle w:val="ListParagraph"/>
        <w:numPr>
          <w:ilvl w:val="0"/>
          <w:numId w:val="2"/>
        </w:numPr>
        <w:spacing w:after="60" w:before="40" w:line="280"/>
      </w:pPr>
      <w:r>
        <w:rPr>
          <w:rFonts w:ascii="Calibri" w:cs="Calibri" w:eastAsia="Calibri" w:hAnsi="Calibri"/>
          <w:b/>
          <w:bCs/>
          <w:color w:val="404040"/>
          <w:sz w:val="22"/>
          <w:szCs w:val="22"/>
        </w:rPr>
        <w:t xml:space="preserve">Staged rollout procedures </w:t>
      </w:r>
      <w:r>
        <w:rPr>
          <w:rFonts w:ascii="Calibri" w:cs="Calibri" w:eastAsia="Calibri" w:hAnsi="Calibri"/>
          <w:color w:val="404040"/>
          <w:sz w:val="22"/>
          <w:szCs w:val="22"/>
        </w:rPr>
        <w:t xml:space="preserve">shadow mode, canary deployments, A/B tests with human evaluation, and automatic rollback triggers</w:t>
      </w:r>
    </w:p>
    <w:p>
      <w:pPr>
        <w:pStyle w:val="ListParagraph"/>
        <w:numPr>
          <w:ilvl w:val="0"/>
          <w:numId w:val="2"/>
        </w:numPr>
        <w:spacing w:after="60" w:before="40" w:line="280"/>
      </w:pPr>
      <w:r>
        <w:rPr>
          <w:rFonts w:ascii="Calibri" w:cs="Calibri" w:eastAsia="Calibri" w:hAnsi="Calibri"/>
          <w:b/>
          <w:bCs/>
          <w:color w:val="404040"/>
          <w:sz w:val="22"/>
          <w:szCs w:val="22"/>
        </w:rPr>
        <w:t xml:space="preserve">Eval-in-production </w:t>
      </w:r>
      <w:r>
        <w:rPr>
          <w:rFonts w:ascii="Calibri" w:cs="Calibri" w:eastAsia="Calibri" w:hAnsi="Calibri"/>
          <w:color w:val="404040"/>
          <w:sz w:val="22"/>
          <w:szCs w:val="22"/>
        </w:rPr>
        <w:t xml:space="preserve">sampling 1-5% of production traffic for continuous scoring against baseline rubrics</w:t>
      </w:r>
    </w:p>
    <w:p>
      <w:pPr>
        <w:pStyle w:val="ListParagraph"/>
        <w:numPr>
          <w:ilvl w:val="0"/>
          <w:numId w:val="2"/>
        </w:numPr>
        <w:spacing w:after="60" w:before="40" w:line="280"/>
      </w:pPr>
      <w:r>
        <w:rPr>
          <w:rFonts w:ascii="Calibri" w:cs="Calibri" w:eastAsia="Calibri" w:hAnsi="Calibri"/>
          <w:b/>
          <w:bCs/>
          <w:color w:val="404040"/>
          <w:sz w:val="22"/>
          <w:szCs w:val="22"/>
        </w:rPr>
        <w:t xml:space="preserve">Cost-per-task regression </w:t>
      </w:r>
      <w:r>
        <w:rPr>
          <w:rFonts w:ascii="Calibri" w:cs="Calibri" w:eastAsia="Calibri" w:hAnsi="Calibri"/>
          <w:color w:val="404040"/>
          <w:sz w:val="22"/>
          <w:szCs w:val="22"/>
        </w:rPr>
        <w:t xml:space="preserve">gating promotion when a new version costs more per completed task than the prior version</w:t>
      </w:r>
    </w:p>
    <w:p>
      <w:pPr>
        <w:pStyle w:val="ListParagraph"/>
        <w:numPr>
          <w:ilvl w:val="0"/>
          <w:numId w:val="2"/>
        </w:numPr>
        <w:spacing w:after="60" w:before="40" w:line="280"/>
      </w:pPr>
      <w:r>
        <w:rPr>
          <w:rFonts w:ascii="Calibri" w:cs="Calibri" w:eastAsia="Calibri" w:hAnsi="Calibri"/>
          <w:b/>
          <w:bCs/>
          <w:color w:val="404040"/>
          <w:sz w:val="22"/>
          <w:szCs w:val="22"/>
        </w:rPr>
        <w:t xml:space="preserve">User feedback integration </w:t>
      </w:r>
      <w:r>
        <w:rPr>
          <w:rFonts w:ascii="Calibri" w:cs="Calibri" w:eastAsia="Calibri" w:hAnsi="Calibri"/>
          <w:color w:val="404040"/>
          <w:sz w:val="22"/>
          <w:szCs w:val="22"/>
        </w:rPr>
        <w:t xml:space="preserve">structured signal from CSAT, escalations, and explicit feedback feeds back into regression suite</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Failure Modes This Pillar Prevents</w:t>
      </w:r>
    </w:p>
    <w:p>
      <w:pPr>
        <w:pStyle w:val="ListParagraph"/>
        <w:numPr>
          <w:ilvl w:val="0"/>
          <w:numId w:val="2"/>
        </w:numPr>
        <w:spacing w:after="60" w:before="40" w:line="280"/>
      </w:pPr>
      <w:r>
        <w:rPr>
          <w:rFonts w:ascii="Calibri" w:cs="Calibri" w:eastAsia="Calibri" w:hAnsi="Calibri"/>
          <w:color w:val="404040"/>
          <w:sz w:val="22"/>
          <w:szCs w:val="22"/>
        </w:rPr>
        <w:t xml:space="preserve">Silent quality regression after a model provider updates their underlying model.</w:t>
      </w:r>
    </w:p>
    <w:p>
      <w:pPr>
        <w:pStyle w:val="ListParagraph"/>
        <w:numPr>
          <w:ilvl w:val="0"/>
          <w:numId w:val="2"/>
        </w:numPr>
        <w:spacing w:after="60" w:before="40" w:line="280"/>
      </w:pPr>
      <w:r>
        <w:rPr>
          <w:rFonts w:ascii="Calibri" w:cs="Calibri" w:eastAsia="Calibri" w:hAnsi="Calibri"/>
          <w:color w:val="404040"/>
          <w:sz w:val="22"/>
          <w:szCs w:val="22"/>
        </w:rPr>
        <w:t xml:space="preserve">Agents that pass pre-deployment evaluation but fail on production traffic distributions.</w:t>
      </w:r>
    </w:p>
    <w:p>
      <w:pPr>
        <w:pStyle w:val="ListParagraph"/>
        <w:numPr>
          <w:ilvl w:val="0"/>
          <w:numId w:val="2"/>
        </w:numPr>
        <w:spacing w:after="60" w:before="40" w:line="280"/>
      </w:pPr>
      <w:r>
        <w:rPr>
          <w:rFonts w:ascii="Calibri" w:cs="Calibri" w:eastAsia="Calibri" w:hAnsi="Calibri"/>
          <w:color w:val="404040"/>
          <w:sz w:val="22"/>
          <w:szCs w:val="22"/>
        </w:rPr>
        <w:t xml:space="preserve">Tool-use that technically succeeds but uses the wrong tool or inefficient tool sequences.</w:t>
      </w:r>
    </w:p>
    <w:p>
      <w:pPr>
        <w:pStyle w:val="ListParagraph"/>
        <w:numPr>
          <w:ilvl w:val="0"/>
          <w:numId w:val="2"/>
        </w:numPr>
        <w:spacing w:after="60" w:before="40" w:line="280"/>
      </w:pPr>
      <w:r>
        <w:rPr>
          <w:rFonts w:ascii="Calibri" w:cs="Calibri" w:eastAsia="Calibri" w:hAnsi="Calibri"/>
          <w:color w:val="404040"/>
          <w:sz w:val="22"/>
          <w:szCs w:val="22"/>
        </w:rPr>
        <w:t xml:space="preserve">Multi-turn drift where the agent loses context or goals over long sessions.</w:t>
      </w:r>
    </w:p>
    <w:p>
      <w:pPr>
        <w:pStyle w:val="ListParagraph"/>
        <w:numPr>
          <w:ilvl w:val="0"/>
          <w:numId w:val="2"/>
        </w:numPr>
        <w:spacing w:after="60" w:before="40" w:line="280"/>
      </w:pPr>
      <w:r>
        <w:rPr>
          <w:rFonts w:ascii="Calibri" w:cs="Calibri" w:eastAsia="Calibri" w:hAnsi="Calibri"/>
          <w:color w:val="404040"/>
          <w:sz w:val="22"/>
          <w:szCs w:val="22"/>
        </w:rPr>
        <w:t xml:space="preserve">Cost regressions discovered only after the monthly invoice arrives.</w:t>
      </w:r>
    </w:p>
    <w:p>
      <w:pPr>
        <w:spacing w:after="14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6"/>
              <w:bottom w:val="single" w:color="2E75B6" w:sz="4"/>
              <w:right w:val="single" w:color="2E75B6" w:sz="4"/>
            </w:tcBorders>
            <w:shd w:fill="E7EEF7" w:val="clear"/>
            <w:tcMar>
              <w:top w:type="dxa" w:w="180"/>
              <w:left w:type="dxa" w:w="240"/>
              <w:bottom w:type="dxa" w:w="180"/>
              <w:right w:type="dxa" w:w="240"/>
            </w:tcMar>
          </w:tcPr>
          <w:p>
            <w:pPr>
              <w:spacing w:after="100" w:before="0"/>
            </w:pPr>
            <w:r>
              <w:rPr>
                <w:rFonts w:ascii="Calibri" w:cs="Calibri" w:eastAsia="Calibri" w:hAnsi="Calibri"/>
                <w:b/>
                <w:bCs/>
                <w:color w:val="1F3864"/>
                <w:sz w:val="22"/>
                <w:szCs w:val="22"/>
              </w:rPr>
              <w:t xml:space="preserve">Maturity Signal</w:t>
            </w:r>
          </w:p>
          <w:p>
            <w:pPr>
              <w:spacing w:after="0" w:before="0" w:line="280"/>
            </w:pPr>
            <w:r>
              <w:rPr>
                <w:rFonts w:ascii="Calibri" w:cs="Calibri" w:eastAsia="Calibri" w:hAnsi="Calibri"/>
                <w:color w:val="404040"/>
                <w:sz w:val="20"/>
                <w:szCs w:val="20"/>
              </w:rPr>
              <w:t xml:space="preserve">Mature organizations treat evaluation as a continuous pipeline, not a gate. Every production signal becomes a future test case; every release passes the same bar as the last.</w:t>
            </w:r>
          </w:p>
        </w:tc>
      </w:tr>
    </w:tbl>
    <w:p>
      <w:r>
        <w:br w:type="page"/>
      </w:r>
    </w:p>
    <w:p>
      <w:pPr>
        <w:pStyle w:val="Heading2"/>
        <w:spacing w:after="120" w:before="280"/>
      </w:pPr>
      <w:r>
        <w:rPr>
          <w:rFonts w:ascii="Calibri" w:cs="Calibri" w:eastAsia="Calibri" w:hAnsi="Calibri"/>
          <w:b/>
          <w:bCs/>
          <w:color w:val="1F3864"/>
          <w:sz w:val="28"/>
          <w:szCs w:val="28"/>
        </w:rPr>
        <w:t xml:space="preserve">3.6 Cost &amp; Resource Governance</w:t>
      </w:r>
    </w:p>
    <w:p>
      <w:pPr>
        <w:spacing w:after="200" w:before="0"/>
      </w:pPr>
      <w:r>
        <w:rPr>
          <w:rFonts w:ascii="Calibri" w:cs="Calibri" w:eastAsia="Calibri" w:hAnsi="Calibri"/>
          <w:i/>
          <w:iCs/>
          <w:color w:val="2E75B6"/>
          <w:sz w:val="22"/>
          <w:szCs w:val="22"/>
        </w:rPr>
        <w:t xml:space="preserve">At agent scale, unmanaged token cost kills programs.</w:t>
      </w:r>
    </w:p>
    <w:p>
      <w:pPr>
        <w:spacing w:after="120" w:before="80" w:line="300"/>
      </w:pPr>
      <w:r>
        <w:rPr>
          <w:rFonts w:ascii="Calibri" w:cs="Calibri" w:eastAsia="Calibri" w:hAnsi="Calibri"/>
          <w:color w:val="404040"/>
          <w:sz w:val="22"/>
          <w:szCs w:val="22"/>
        </w:rPr>
        <w:t xml:space="preserve">When GenAI was a single-turn workload, cost was a rounding error. When agents reason across multiple steps, retrieve context from vector stores, and coordinate with other agents, a single user interaction can consume hundreds of thousands of tokens. Without explicit cost governance, agent programs discover their unit economics only after the commercial case has quietly been broken.</w:t>
      </w:r>
    </w:p>
    <w:p>
      <w:pPr>
        <w:spacing w:after="120" w:before="80" w:line="300"/>
      </w:pPr>
      <w:r>
        <w:rPr>
          <w:rFonts w:ascii="Calibri" w:cs="Calibri" w:eastAsia="Calibri" w:hAnsi="Calibri"/>
          <w:color w:val="404040"/>
          <w:sz w:val="22"/>
          <w:szCs w:val="22"/>
        </w:rPr>
        <w:t xml:space="preserve">This pillar is often buried inside observability in earlier frameworks. It deserves its own treatment because cost governance is not a dashboard — it is a set of architectural and policy decisions that determine whether agents are commercially viable. Mature organizations route tasks to appropriately-priced models, cap per-user spend, and can attribute cost with the same rigor they attribute any other cloud resource.</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Key Capabilities</w:t>
      </w:r>
    </w:p>
    <w:p>
      <w:pPr>
        <w:pStyle w:val="ListParagraph"/>
        <w:numPr>
          <w:ilvl w:val="0"/>
          <w:numId w:val="2"/>
        </w:numPr>
        <w:spacing w:after="60" w:before="40" w:line="280"/>
      </w:pPr>
      <w:r>
        <w:rPr>
          <w:rFonts w:ascii="Calibri" w:cs="Calibri" w:eastAsia="Calibri" w:hAnsi="Calibri"/>
          <w:b/>
          <w:bCs/>
          <w:color w:val="404040"/>
          <w:sz w:val="22"/>
          <w:szCs w:val="22"/>
        </w:rPr>
        <w:t xml:space="preserve">Token budgets at multiple granularities </w:t>
      </w:r>
      <w:r>
        <w:rPr>
          <w:rFonts w:ascii="Calibri" w:cs="Calibri" w:eastAsia="Calibri" w:hAnsi="Calibri"/>
          <w:color w:val="404040"/>
          <w:sz w:val="22"/>
          <w:szCs w:val="22"/>
        </w:rPr>
        <w:t xml:space="preserve">per request, per session, per user, per agent, per tenant, per business unit</w:t>
      </w:r>
    </w:p>
    <w:p>
      <w:pPr>
        <w:pStyle w:val="ListParagraph"/>
        <w:numPr>
          <w:ilvl w:val="0"/>
          <w:numId w:val="2"/>
        </w:numPr>
        <w:spacing w:after="60" w:before="40" w:line="280"/>
      </w:pPr>
      <w:r>
        <w:rPr>
          <w:rFonts w:ascii="Calibri" w:cs="Calibri" w:eastAsia="Calibri" w:hAnsi="Calibri"/>
          <w:b/>
          <w:bCs/>
          <w:color w:val="404040"/>
          <w:sz w:val="22"/>
          <w:szCs w:val="22"/>
        </w:rPr>
        <w:t xml:space="preserve">Model routing by task complexity </w:t>
      </w:r>
      <w:r>
        <w:rPr>
          <w:rFonts w:ascii="Calibri" w:cs="Calibri" w:eastAsia="Calibri" w:hAnsi="Calibri"/>
          <w:color w:val="404040"/>
          <w:sz w:val="22"/>
          <w:szCs w:val="22"/>
        </w:rPr>
        <w:t xml:space="preserve">triage with a fast inexpensive model; escalate to a reasoning model only when warranted</w:t>
      </w:r>
    </w:p>
    <w:p>
      <w:pPr>
        <w:pStyle w:val="ListParagraph"/>
        <w:numPr>
          <w:ilvl w:val="0"/>
          <w:numId w:val="2"/>
        </w:numPr>
        <w:spacing w:after="60" w:before="40" w:line="280"/>
      </w:pPr>
      <w:r>
        <w:rPr>
          <w:rFonts w:ascii="Calibri" w:cs="Calibri" w:eastAsia="Calibri" w:hAnsi="Calibri"/>
          <w:b/>
          <w:bCs/>
          <w:color w:val="404040"/>
          <w:sz w:val="22"/>
          <w:szCs w:val="22"/>
        </w:rPr>
        <w:t xml:space="preserve">Rate limiting </w:t>
      </w:r>
      <w:r>
        <w:rPr>
          <w:rFonts w:ascii="Calibri" w:cs="Calibri" w:eastAsia="Calibri" w:hAnsi="Calibri"/>
          <w:color w:val="404040"/>
          <w:sz w:val="22"/>
          <w:szCs w:val="22"/>
        </w:rPr>
        <w:t xml:space="preserve">tokens per minute, requests per minute, concurrent sessions — at every relevant boundary</w:t>
      </w:r>
    </w:p>
    <w:p>
      <w:pPr>
        <w:pStyle w:val="ListParagraph"/>
        <w:numPr>
          <w:ilvl w:val="0"/>
          <w:numId w:val="2"/>
        </w:numPr>
        <w:spacing w:after="60" w:before="40" w:line="280"/>
      </w:pPr>
      <w:r>
        <w:rPr>
          <w:rFonts w:ascii="Calibri" w:cs="Calibri" w:eastAsia="Calibri" w:hAnsi="Calibri"/>
          <w:b/>
          <w:bCs/>
          <w:color w:val="404040"/>
          <w:sz w:val="22"/>
          <w:szCs w:val="22"/>
        </w:rPr>
        <w:t xml:space="preserve">Budget enforcement </w:t>
      </w:r>
      <w:r>
        <w:rPr>
          <w:rFonts w:ascii="Calibri" w:cs="Calibri" w:eastAsia="Calibri" w:hAnsi="Calibri"/>
          <w:color w:val="404040"/>
          <w:sz w:val="22"/>
          <w:szCs w:val="22"/>
        </w:rPr>
        <w:t xml:space="preserve">hard caps with defined behavior on breach (reject, degrade, escalate, alert)</w:t>
      </w:r>
    </w:p>
    <w:p>
      <w:pPr>
        <w:pStyle w:val="ListParagraph"/>
        <w:numPr>
          <w:ilvl w:val="0"/>
          <w:numId w:val="2"/>
        </w:numPr>
        <w:spacing w:after="60" w:before="40" w:line="280"/>
      </w:pPr>
      <w:r>
        <w:rPr>
          <w:rFonts w:ascii="Calibri" w:cs="Calibri" w:eastAsia="Calibri" w:hAnsi="Calibri"/>
          <w:b/>
          <w:bCs/>
          <w:color w:val="404040"/>
          <w:sz w:val="22"/>
          <w:szCs w:val="22"/>
        </w:rPr>
        <w:t xml:space="preserve">Cost attribution </w:t>
      </w:r>
      <w:r>
        <w:rPr>
          <w:rFonts w:ascii="Calibri" w:cs="Calibri" w:eastAsia="Calibri" w:hAnsi="Calibri"/>
          <w:color w:val="404040"/>
          <w:sz w:val="22"/>
          <w:szCs w:val="22"/>
        </w:rPr>
        <w:t xml:space="preserve">every token traceable to a feature, a team, a customer — dashboarded and reported monthly</w:t>
      </w:r>
    </w:p>
    <w:p>
      <w:pPr>
        <w:pStyle w:val="ListParagraph"/>
        <w:numPr>
          <w:ilvl w:val="0"/>
          <w:numId w:val="2"/>
        </w:numPr>
        <w:spacing w:after="60" w:before="40" w:line="280"/>
      </w:pPr>
      <w:r>
        <w:rPr>
          <w:rFonts w:ascii="Calibri" w:cs="Calibri" w:eastAsia="Calibri" w:hAnsi="Calibri"/>
          <w:b/>
          <w:bCs/>
          <w:color w:val="404040"/>
          <w:sz w:val="22"/>
          <w:szCs w:val="22"/>
        </w:rPr>
        <w:t xml:space="preserve">Prompt compression and caching </w:t>
      </w:r>
      <w:r>
        <w:rPr>
          <w:rFonts w:ascii="Calibri" w:cs="Calibri" w:eastAsia="Calibri" w:hAnsi="Calibri"/>
          <w:color w:val="404040"/>
          <w:sz w:val="22"/>
          <w:szCs w:val="22"/>
        </w:rPr>
        <w:t xml:space="preserve">reducing redundant context transmission and reusing expensive computations</w:t>
      </w:r>
    </w:p>
    <w:p>
      <w:pPr>
        <w:pStyle w:val="ListParagraph"/>
        <w:numPr>
          <w:ilvl w:val="0"/>
          <w:numId w:val="2"/>
        </w:numPr>
        <w:spacing w:after="60" w:before="40" w:line="280"/>
      </w:pPr>
      <w:r>
        <w:rPr>
          <w:rFonts w:ascii="Calibri" w:cs="Calibri" w:eastAsia="Calibri" w:hAnsi="Calibri"/>
          <w:b/>
          <w:bCs/>
          <w:color w:val="404040"/>
          <w:sz w:val="22"/>
          <w:szCs w:val="22"/>
        </w:rPr>
        <w:t xml:space="preserve">Multi-provider fallback strategy </w:t>
      </w:r>
      <w:r>
        <w:rPr>
          <w:rFonts w:ascii="Calibri" w:cs="Calibri" w:eastAsia="Calibri" w:hAnsi="Calibri"/>
          <w:color w:val="404040"/>
          <w:sz w:val="22"/>
          <w:szCs w:val="22"/>
        </w:rPr>
        <w:t xml:space="preserve">primary provider outages, cost spikes, or rate limits route to secondary providers without operational disruption</w:t>
      </w:r>
    </w:p>
    <w:p>
      <w:pPr>
        <w:pStyle w:val="ListParagraph"/>
        <w:numPr>
          <w:ilvl w:val="0"/>
          <w:numId w:val="2"/>
        </w:numPr>
        <w:spacing w:after="60" w:before="40" w:line="280"/>
      </w:pPr>
      <w:r>
        <w:rPr>
          <w:rFonts w:ascii="Calibri" w:cs="Calibri" w:eastAsia="Calibri" w:hAnsi="Calibri"/>
          <w:b/>
          <w:bCs/>
          <w:color w:val="404040"/>
          <w:sz w:val="22"/>
          <w:szCs w:val="22"/>
        </w:rPr>
        <w:t xml:space="preserve">Capacity planning </w:t>
      </w:r>
      <w:r>
        <w:rPr>
          <w:rFonts w:ascii="Calibri" w:cs="Calibri" w:eastAsia="Calibri" w:hAnsi="Calibri"/>
          <w:color w:val="404040"/>
          <w:sz w:val="22"/>
          <w:szCs w:val="22"/>
        </w:rPr>
        <w:t xml:space="preserve">token throughput modeling for anticipated growth; queue management for asynchronous workloads</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Failure Modes This Pillar Prevents</w:t>
      </w:r>
    </w:p>
    <w:p>
      <w:pPr>
        <w:pStyle w:val="ListParagraph"/>
        <w:numPr>
          <w:ilvl w:val="0"/>
          <w:numId w:val="2"/>
        </w:numPr>
        <w:spacing w:after="60" w:before="40" w:line="280"/>
      </w:pPr>
      <w:r>
        <w:rPr>
          <w:rFonts w:ascii="Calibri" w:cs="Calibri" w:eastAsia="Calibri" w:hAnsi="Calibri"/>
          <w:color w:val="404040"/>
          <w:sz w:val="22"/>
          <w:szCs w:val="22"/>
        </w:rPr>
        <w:t xml:space="preserve">Unit economics that work in pilot but break at scale because model routing is not in place.</w:t>
      </w:r>
    </w:p>
    <w:p>
      <w:pPr>
        <w:pStyle w:val="ListParagraph"/>
        <w:numPr>
          <w:ilvl w:val="0"/>
          <w:numId w:val="2"/>
        </w:numPr>
        <w:spacing w:after="60" w:before="40" w:line="280"/>
      </w:pPr>
      <w:r>
        <w:rPr>
          <w:rFonts w:ascii="Calibri" w:cs="Calibri" w:eastAsia="Calibri" w:hAnsi="Calibri"/>
          <w:color w:val="404040"/>
          <w:sz w:val="22"/>
          <w:szCs w:val="22"/>
        </w:rPr>
        <w:t xml:space="preserve">A single runaway session consuming more tokens than the weekly budget for an entire team.</w:t>
      </w:r>
    </w:p>
    <w:p>
      <w:pPr>
        <w:pStyle w:val="ListParagraph"/>
        <w:numPr>
          <w:ilvl w:val="0"/>
          <w:numId w:val="2"/>
        </w:numPr>
        <w:spacing w:after="60" w:before="40" w:line="280"/>
      </w:pPr>
      <w:r>
        <w:rPr>
          <w:rFonts w:ascii="Calibri" w:cs="Calibri" w:eastAsia="Calibri" w:hAnsi="Calibri"/>
          <w:color w:val="404040"/>
          <w:sz w:val="22"/>
          <w:szCs w:val="22"/>
        </w:rPr>
        <w:t xml:space="preserve">Inability to answer "what did this feature cost us last month?" for any agent-based feature.</w:t>
      </w:r>
    </w:p>
    <w:p>
      <w:pPr>
        <w:pStyle w:val="ListParagraph"/>
        <w:numPr>
          <w:ilvl w:val="0"/>
          <w:numId w:val="2"/>
        </w:numPr>
        <w:spacing w:after="60" w:before="40" w:line="280"/>
      </w:pPr>
      <w:r>
        <w:rPr>
          <w:rFonts w:ascii="Calibri" w:cs="Calibri" w:eastAsia="Calibri" w:hAnsi="Calibri"/>
          <w:color w:val="404040"/>
          <w:sz w:val="22"/>
          <w:szCs w:val="22"/>
        </w:rPr>
        <w:t xml:space="preserve">Vendor lock-in because cost attribution is not granular enough to model a provider switch.</w:t>
      </w:r>
    </w:p>
    <w:p>
      <w:pPr>
        <w:pStyle w:val="ListParagraph"/>
        <w:numPr>
          <w:ilvl w:val="0"/>
          <w:numId w:val="2"/>
        </w:numPr>
        <w:spacing w:after="60" w:before="40" w:line="280"/>
      </w:pPr>
      <w:r>
        <w:rPr>
          <w:rFonts w:ascii="Calibri" w:cs="Calibri" w:eastAsia="Calibri" w:hAnsi="Calibri"/>
          <w:color w:val="404040"/>
          <w:sz w:val="22"/>
          <w:szCs w:val="22"/>
        </w:rPr>
        <w:t xml:space="preserve">Agents silently using premium models for tasks a cheaper model could handle.</w:t>
      </w:r>
    </w:p>
    <w:p>
      <w:pPr>
        <w:spacing w:after="14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6"/>
              <w:bottom w:val="single" w:color="2E75B6" w:sz="4"/>
              <w:right w:val="single" w:color="2E75B6" w:sz="4"/>
            </w:tcBorders>
            <w:shd w:fill="E7EEF7" w:val="clear"/>
            <w:tcMar>
              <w:top w:type="dxa" w:w="180"/>
              <w:left w:type="dxa" w:w="240"/>
              <w:bottom w:type="dxa" w:w="180"/>
              <w:right w:type="dxa" w:w="240"/>
            </w:tcMar>
          </w:tcPr>
          <w:p>
            <w:pPr>
              <w:spacing w:after="100" w:before="0"/>
            </w:pPr>
            <w:r>
              <w:rPr>
                <w:rFonts w:ascii="Calibri" w:cs="Calibri" w:eastAsia="Calibri" w:hAnsi="Calibri"/>
                <w:b/>
                <w:bCs/>
                <w:color w:val="1F3864"/>
                <w:sz w:val="22"/>
                <w:szCs w:val="22"/>
              </w:rPr>
              <w:t xml:space="preserve">Maturity Signal</w:t>
            </w:r>
          </w:p>
          <w:p>
            <w:pPr>
              <w:spacing w:after="0" w:before="0" w:line="280"/>
            </w:pPr>
            <w:r>
              <w:rPr>
                <w:rFonts w:ascii="Calibri" w:cs="Calibri" w:eastAsia="Calibri" w:hAnsi="Calibri"/>
                <w:color w:val="404040"/>
                <w:sz w:val="20"/>
                <w:szCs w:val="20"/>
              </w:rPr>
              <w:t xml:space="preserve">Mature organizations know the cost of every agent feature per completed task and can forecast agent spend with the same accuracy they forecast cloud spend.</w:t>
            </w:r>
          </w:p>
        </w:tc>
      </w:tr>
    </w:tbl>
    <w:p>
      <w:r>
        <w:br w:type="page"/>
      </w:r>
    </w:p>
    <w:p>
      <w:pPr>
        <w:pStyle w:val="Heading2"/>
        <w:spacing w:after="120" w:before="280"/>
      </w:pPr>
      <w:r>
        <w:rPr>
          <w:rFonts w:ascii="Calibri" w:cs="Calibri" w:eastAsia="Calibri" w:hAnsi="Calibri"/>
          <w:b/>
          <w:bCs/>
          <w:color w:val="1F3864"/>
          <w:sz w:val="28"/>
          <w:szCs w:val="28"/>
        </w:rPr>
        <w:t xml:space="preserve">3.7 Agent Architecture &amp; Packaging</w:t>
      </w:r>
    </w:p>
    <w:p>
      <w:pPr>
        <w:spacing w:after="200" w:before="0"/>
      </w:pPr>
      <w:r>
        <w:rPr>
          <w:rFonts w:ascii="Calibri" w:cs="Calibri" w:eastAsia="Calibri" w:hAnsi="Calibri"/>
          <w:i/>
          <w:iCs/>
          <w:color w:val="2E75B6"/>
          <w:sz w:val="22"/>
          <w:szCs w:val="22"/>
        </w:rPr>
        <w:t xml:space="preserve">Agents should ship as portable, signed, versioned artifacts. Multi-agent systems should be designed, not improvised.</w:t>
      </w:r>
    </w:p>
    <w:p>
      <w:pPr>
        <w:spacing w:after="120" w:before="80" w:line="300"/>
      </w:pPr>
      <w:r>
        <w:rPr>
          <w:rFonts w:ascii="Calibri" w:cs="Calibri" w:eastAsia="Calibri" w:hAnsi="Calibri"/>
          <w:color w:val="404040"/>
          <w:sz w:val="22"/>
          <w:szCs w:val="22"/>
        </w:rPr>
        <w:t xml:space="preserve">The gap most frameworks leave is here: how do you actually package and deploy an agent? An agent is not a single binary. It is a composition of prompts, tools, MCP server references, memory configurations, evaluation suites, and (often) custom code — all of which need to travel together from development to staging to production, and potentially across clouds.</w:t>
      </w:r>
    </w:p>
    <w:p>
      <w:pPr>
        <w:spacing w:after="120" w:before="80" w:line="300"/>
      </w:pPr>
      <w:r>
        <w:rPr>
          <w:rFonts w:ascii="Calibri" w:cs="Calibri" w:eastAsia="Calibri" w:hAnsi="Calibri"/>
          <w:color w:val="404040"/>
          <w:sz w:val="22"/>
          <w:szCs w:val="22"/>
        </w:rPr>
        <w:t xml:space="preserve">Increasingly, the right architectural unit is not a single agent but a system of agents. Production deployments now routinely involve a supervisor agent decomposing tasks into specialist sub-agents, agents handing off context to other agents via A2A, and graphs of agents collaborating on multi-step business processes. Reference architectures like Unilever's procurement system — multiple agents coordinating across procurement, demand generation, and supplier interaction — are becoming the norm rather than the exception. Designing these systems requires explicit treatment of orchestration patterns, handoff protocols, shared memory, and failure modes that are unique to multi-agent execution.</w:t>
      </w:r>
    </w:p>
    <w:p>
      <w:pPr>
        <w:spacing w:after="120" w:before="80" w:line="300"/>
      </w:pPr>
      <w:r>
        <w:rPr>
          <w:rFonts w:ascii="Calibri" w:cs="Calibri" w:eastAsia="Calibri" w:hAnsi="Calibri"/>
          <w:color w:val="404040"/>
          <w:sz w:val="22"/>
          <w:szCs w:val="22"/>
        </w:rPr>
        <w:t xml:space="preserve">This pillar addresses both gaps with the Zil reference architecture. Zil defines a declarative, signed package format and a conformant runtime specification, inspired by the separation between OCI image-spec and runtime-spec. An agent — or a system of agents — is a versioned artifact. A registry stores agents. A runtime executes them. Deployments are gated by signature verification, policy checks, and evaluation results.</w:t>
      </w:r>
    </w:p>
    <w:p>
      <w:pPr>
        <w:spacing w:after="120" w:before="80" w:line="300"/>
      </w:pPr>
      <w:r>
        <w:rPr>
          <w:rFonts w:ascii="Calibri" w:cs="Calibri" w:eastAsia="Calibri" w:hAnsi="Calibri"/>
          <w:color w:val="404040"/>
          <w:sz w:val="22"/>
          <w:szCs w:val="22"/>
        </w:rPr>
        <w:t xml:space="preserve">This approach directly addresses the lock-in concerns that 67% of enterprises cite as a strategic priority. A portable agent artifact deployable to Google Cloud, AWS, Azure, or sovereign infrastructure is a strategic hedge, not a nice-to-have.</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Key Capabilities</w:t>
      </w:r>
    </w:p>
    <w:p>
      <w:pPr>
        <w:pStyle w:val="ListParagraph"/>
        <w:numPr>
          <w:ilvl w:val="0"/>
          <w:numId w:val="2"/>
        </w:numPr>
        <w:spacing w:after="60" w:before="40" w:line="280"/>
      </w:pPr>
      <w:r>
        <w:rPr>
          <w:rFonts w:ascii="Calibri" w:cs="Calibri" w:eastAsia="Calibri" w:hAnsi="Calibri"/>
          <w:b/>
          <w:bCs/>
          <w:color w:val="404040"/>
          <w:sz w:val="22"/>
          <w:szCs w:val="22"/>
        </w:rPr>
        <w:t xml:space="preserve">Declarative agent manifest </w:t>
      </w:r>
      <w:r>
        <w:rPr>
          <w:rFonts w:ascii="Calibri" w:cs="Calibri" w:eastAsia="Calibri" w:hAnsi="Calibri"/>
          <w:color w:val="404040"/>
          <w:sz w:val="22"/>
          <w:szCs w:val="22"/>
        </w:rPr>
        <w:t xml:space="preserve">a single YAML descriptor defining every component of the agent</w:t>
      </w:r>
    </w:p>
    <w:p>
      <w:pPr>
        <w:pStyle w:val="ListParagraph"/>
        <w:numPr>
          <w:ilvl w:val="0"/>
          <w:numId w:val="2"/>
        </w:numPr>
        <w:spacing w:after="60" w:before="40" w:line="280"/>
      </w:pPr>
      <w:r>
        <w:rPr>
          <w:rFonts w:ascii="Calibri" w:cs="Calibri" w:eastAsia="Calibri" w:hAnsi="Calibri"/>
          <w:b/>
          <w:bCs/>
          <w:color w:val="404040"/>
          <w:sz w:val="22"/>
          <w:szCs w:val="22"/>
        </w:rPr>
        <w:t xml:space="preserve">Adapter pattern for providers </w:t>
      </w:r>
      <w:r>
        <w:rPr>
          <w:rFonts w:ascii="Calibri" w:cs="Calibri" w:eastAsia="Calibri" w:hAnsi="Calibri"/>
          <w:color w:val="404040"/>
          <w:sz w:val="22"/>
          <w:szCs w:val="22"/>
        </w:rPr>
        <w:t xml:space="preserve">LLM, embedding, and vector store choices are swappable via configuration, not code</w:t>
      </w:r>
    </w:p>
    <w:p>
      <w:pPr>
        <w:pStyle w:val="ListParagraph"/>
        <w:numPr>
          <w:ilvl w:val="0"/>
          <w:numId w:val="2"/>
        </w:numPr>
        <w:spacing w:after="60" w:before="40" w:line="280"/>
      </w:pPr>
      <w:r>
        <w:rPr>
          <w:rFonts w:ascii="Calibri" w:cs="Calibri" w:eastAsia="Calibri" w:hAnsi="Calibri"/>
          <w:b/>
          <w:bCs/>
          <w:color w:val="404040"/>
          <w:sz w:val="22"/>
          <w:szCs w:val="22"/>
        </w:rPr>
        <w:t xml:space="preserve">Signed, versioned package format </w:t>
      </w:r>
      <w:r>
        <w:rPr>
          <w:rFonts w:ascii="Calibri" w:cs="Calibri" w:eastAsia="Calibri" w:hAnsi="Calibri"/>
          <w:color w:val="404040"/>
          <w:sz w:val="22"/>
          <w:szCs w:val="22"/>
        </w:rPr>
        <w:t xml:space="preserve">.zil — a signed tar archive with SBOM, provenance attestation, and evaluation results</w:t>
      </w:r>
    </w:p>
    <w:p>
      <w:pPr>
        <w:pStyle w:val="ListParagraph"/>
        <w:numPr>
          <w:ilvl w:val="0"/>
          <w:numId w:val="2"/>
        </w:numPr>
        <w:spacing w:after="60" w:before="40" w:line="280"/>
      </w:pPr>
      <w:r>
        <w:rPr>
          <w:rFonts w:ascii="Calibri" w:cs="Calibri" w:eastAsia="Calibri" w:hAnsi="Calibri"/>
          <w:b/>
          <w:bCs/>
          <w:color w:val="404040"/>
          <w:sz w:val="22"/>
          <w:szCs w:val="22"/>
        </w:rPr>
        <w:t xml:space="preserve">Multi-agent orchestration patterns </w:t>
      </w:r>
      <w:r>
        <w:rPr>
          <w:rFonts w:ascii="Calibri" w:cs="Calibri" w:eastAsia="Calibri" w:hAnsi="Calibri"/>
          <w:color w:val="404040"/>
          <w:sz w:val="22"/>
          <w:szCs w:val="22"/>
        </w:rPr>
        <w:t xml:space="preserve">supervisor/worker, peer-to-peer collaboration, hierarchical task decomposition, and A2A-based handoffs explicitly modeled in the manifest</w:t>
      </w:r>
    </w:p>
    <w:p>
      <w:pPr>
        <w:pStyle w:val="ListParagraph"/>
        <w:numPr>
          <w:ilvl w:val="0"/>
          <w:numId w:val="2"/>
        </w:numPr>
        <w:spacing w:after="60" w:before="40" w:line="280"/>
      </w:pPr>
      <w:r>
        <w:rPr>
          <w:rFonts w:ascii="Calibri" w:cs="Calibri" w:eastAsia="Calibri" w:hAnsi="Calibri"/>
          <w:b/>
          <w:bCs/>
          <w:color w:val="404040"/>
          <w:sz w:val="22"/>
          <w:szCs w:val="22"/>
        </w:rPr>
        <w:t xml:space="preserve">Agent topology specification </w:t>
      </w:r>
      <w:r>
        <w:rPr>
          <w:rFonts w:ascii="Calibri" w:cs="Calibri" w:eastAsia="Calibri" w:hAnsi="Calibri"/>
          <w:color w:val="404040"/>
          <w:sz w:val="22"/>
          <w:szCs w:val="22"/>
        </w:rPr>
        <w:t xml:space="preserve">the manifest declares which agents talk to which, what context can transfer, and what each agent's role and authority is in the system</w:t>
      </w:r>
    </w:p>
    <w:p>
      <w:pPr>
        <w:pStyle w:val="ListParagraph"/>
        <w:numPr>
          <w:ilvl w:val="0"/>
          <w:numId w:val="2"/>
        </w:numPr>
        <w:spacing w:after="60" w:before="40" w:line="280"/>
      </w:pPr>
      <w:r>
        <w:rPr>
          <w:rFonts w:ascii="Calibri" w:cs="Calibri" w:eastAsia="Calibri" w:hAnsi="Calibri"/>
          <w:b/>
          <w:bCs/>
          <w:color w:val="404040"/>
          <w:sz w:val="22"/>
          <w:szCs w:val="22"/>
        </w:rPr>
        <w:t xml:space="preserve">Shared memory boundaries </w:t>
      </w:r>
      <w:r>
        <w:rPr>
          <w:rFonts w:ascii="Calibri" w:cs="Calibri" w:eastAsia="Calibri" w:hAnsi="Calibri"/>
          <w:color w:val="404040"/>
          <w:sz w:val="22"/>
          <w:szCs w:val="22"/>
        </w:rPr>
        <w:t xml:space="preserve">explicit policy on which memories cross agent boundaries; cross-agent data leakage prevented by design</w:t>
      </w:r>
    </w:p>
    <w:p>
      <w:pPr>
        <w:pStyle w:val="ListParagraph"/>
        <w:numPr>
          <w:ilvl w:val="0"/>
          <w:numId w:val="2"/>
        </w:numPr>
        <w:spacing w:after="60" w:before="40" w:line="280"/>
      </w:pPr>
      <w:r>
        <w:rPr>
          <w:rFonts w:ascii="Calibri" w:cs="Calibri" w:eastAsia="Calibri" w:hAnsi="Calibri"/>
          <w:b/>
          <w:bCs/>
          <w:color w:val="404040"/>
          <w:sz w:val="22"/>
          <w:szCs w:val="22"/>
        </w:rPr>
        <w:t xml:space="preserve">Portable vector snapshots </w:t>
      </w:r>
      <w:r>
        <w:rPr>
          <w:rFonts w:ascii="Calibri" w:cs="Calibri" w:eastAsia="Calibri" w:hAnsi="Calibri"/>
          <w:color w:val="404040"/>
          <w:sz w:val="22"/>
          <w:szCs w:val="22"/>
        </w:rPr>
        <w:t xml:space="preserve">RAG data bundles that can be restored into any supported vector backend</w:t>
      </w:r>
    </w:p>
    <w:p>
      <w:pPr>
        <w:pStyle w:val="ListParagraph"/>
        <w:numPr>
          <w:ilvl w:val="0"/>
          <w:numId w:val="2"/>
        </w:numPr>
        <w:spacing w:after="60" w:before="40" w:line="280"/>
      </w:pPr>
      <w:r>
        <w:rPr>
          <w:rFonts w:ascii="Calibri" w:cs="Calibri" w:eastAsia="Calibri" w:hAnsi="Calibri"/>
          <w:b/>
          <w:bCs/>
          <w:color w:val="404040"/>
          <w:sz w:val="22"/>
          <w:szCs w:val="22"/>
        </w:rPr>
        <w:t xml:space="preserve">Runtime conformance specification </w:t>
      </w:r>
      <w:r>
        <w:rPr>
          <w:rFonts w:ascii="Calibri" w:cs="Calibri" w:eastAsia="Calibri" w:hAnsi="Calibri"/>
          <w:color w:val="404040"/>
          <w:sz w:val="22"/>
          <w:szCs w:val="22"/>
        </w:rPr>
        <w:t xml:space="preserve">any runtime claiming Zil compliance must support the defined interface for loading, execution, state management, multi-agent coordination, and observability</w:t>
      </w:r>
    </w:p>
    <w:p>
      <w:pPr>
        <w:pStyle w:val="ListParagraph"/>
        <w:numPr>
          <w:ilvl w:val="0"/>
          <w:numId w:val="2"/>
        </w:numPr>
        <w:spacing w:after="60" w:before="40" w:line="280"/>
      </w:pPr>
      <w:r>
        <w:rPr>
          <w:rFonts w:ascii="Calibri" w:cs="Calibri" w:eastAsia="Calibri" w:hAnsi="Calibri"/>
          <w:b/>
          <w:bCs/>
          <w:color w:val="404040"/>
          <w:sz w:val="22"/>
          <w:szCs w:val="22"/>
        </w:rPr>
        <w:t xml:space="preserve">Registry and distribution </w:t>
      </w:r>
      <w:r>
        <w:rPr>
          <w:rFonts w:ascii="Calibri" w:cs="Calibri" w:eastAsia="Calibri" w:hAnsi="Calibri"/>
          <w:color w:val="404040"/>
          <w:sz w:val="22"/>
          <w:szCs w:val="22"/>
        </w:rPr>
        <w:t xml:space="preserve">OCI-compatible registry for .zil artifacts with signature verification on pull</w:t>
      </w:r>
    </w:p>
    <w:p>
      <w:pPr>
        <w:pStyle w:val="ListParagraph"/>
        <w:numPr>
          <w:ilvl w:val="0"/>
          <w:numId w:val="2"/>
        </w:numPr>
        <w:spacing w:after="60" w:before="40" w:line="280"/>
      </w:pPr>
      <w:r>
        <w:rPr>
          <w:rFonts w:ascii="Calibri" w:cs="Calibri" w:eastAsia="Calibri" w:hAnsi="Calibri"/>
          <w:b/>
          <w:bCs/>
          <w:color w:val="404040"/>
          <w:sz w:val="22"/>
          <w:szCs w:val="22"/>
        </w:rPr>
        <w:t xml:space="preserve">CI/CD pipeline patterns </w:t>
      </w:r>
      <w:r>
        <w:rPr>
          <w:rFonts w:ascii="Calibri" w:cs="Calibri" w:eastAsia="Calibri" w:hAnsi="Calibri"/>
          <w:color w:val="404040"/>
          <w:sz w:val="22"/>
          <w:szCs w:val="22"/>
        </w:rPr>
        <w:t xml:space="preserve">build, sign, evaluate, push, deploy, promote — with gates at every boundary</w:t>
      </w:r>
    </w:p>
    <w:p>
      <w:pPr>
        <w:pStyle w:val="ListParagraph"/>
        <w:numPr>
          <w:ilvl w:val="0"/>
          <w:numId w:val="2"/>
        </w:numPr>
        <w:spacing w:after="60" w:before="40" w:line="280"/>
      </w:pPr>
      <w:r>
        <w:rPr>
          <w:rFonts w:ascii="Calibri" w:cs="Calibri" w:eastAsia="Calibri" w:hAnsi="Calibri"/>
          <w:b/>
          <w:bCs/>
          <w:color w:val="404040"/>
          <w:sz w:val="22"/>
          <w:szCs w:val="22"/>
        </w:rPr>
        <w:t xml:space="preserve">Rollback and canary strategies </w:t>
      </w:r>
      <w:r>
        <w:rPr>
          <w:rFonts w:ascii="Calibri" w:cs="Calibri" w:eastAsia="Calibri" w:hAnsi="Calibri"/>
          <w:color w:val="404040"/>
          <w:sz w:val="22"/>
          <w:szCs w:val="22"/>
        </w:rPr>
        <w:t xml:space="preserve">deployed as part of the pipeline, not improvised during incidents</w:t>
      </w:r>
    </w:p>
    <w:p>
      <w:pPr>
        <w:spacing w:after="100" w:before="0"/>
      </w:pPr>
      <w:r>
        <w:t xml:space="preserve"/>
      </w:r>
    </w:p>
    <w:p>
      <w:pPr>
        <w:pStyle w:val="Heading3"/>
        <w:spacing w:after="80" w:before="200"/>
      </w:pPr>
      <w:r>
        <w:rPr>
          <w:rFonts w:ascii="Calibri" w:cs="Calibri" w:eastAsia="Calibri" w:hAnsi="Calibri"/>
          <w:b/>
          <w:bCs/>
          <w:color w:val="2E75B6"/>
          <w:sz w:val="24"/>
          <w:szCs w:val="24"/>
        </w:rPr>
        <w:t xml:space="preserve">Failure Modes This Pillar Prevents</w:t>
      </w:r>
    </w:p>
    <w:p>
      <w:pPr>
        <w:pStyle w:val="ListParagraph"/>
        <w:numPr>
          <w:ilvl w:val="0"/>
          <w:numId w:val="2"/>
        </w:numPr>
        <w:spacing w:after="60" w:before="40" w:line="280"/>
      </w:pPr>
      <w:r>
        <w:rPr>
          <w:rFonts w:ascii="Calibri" w:cs="Calibri" w:eastAsia="Calibri" w:hAnsi="Calibri"/>
          <w:color w:val="404040"/>
          <w:sz w:val="22"/>
          <w:szCs w:val="22"/>
        </w:rPr>
        <w:t xml:space="preserve">Agent deployments that take weeks because dev, staging, and prod environments drift out of alignment.</w:t>
      </w:r>
    </w:p>
    <w:p>
      <w:pPr>
        <w:pStyle w:val="ListParagraph"/>
        <w:numPr>
          <w:ilvl w:val="0"/>
          <w:numId w:val="2"/>
        </w:numPr>
        <w:spacing w:after="60" w:before="40" w:line="280"/>
      </w:pPr>
      <w:r>
        <w:rPr>
          <w:rFonts w:ascii="Calibri" w:cs="Calibri" w:eastAsia="Calibri" w:hAnsi="Calibri"/>
          <w:color w:val="404040"/>
          <w:sz w:val="22"/>
          <w:szCs w:val="22"/>
        </w:rPr>
        <w:t xml:space="preserve">Multi-agent systems built bespoke per project with no reusable orchestration layer, leading to fragile handoffs and unclear accountability.</w:t>
      </w:r>
    </w:p>
    <w:p>
      <w:pPr>
        <w:pStyle w:val="ListParagraph"/>
        <w:numPr>
          <w:ilvl w:val="0"/>
          <w:numId w:val="2"/>
        </w:numPr>
        <w:spacing w:after="60" w:before="40" w:line="280"/>
      </w:pPr>
      <w:r>
        <w:rPr>
          <w:rFonts w:ascii="Calibri" w:cs="Calibri" w:eastAsia="Calibri" w:hAnsi="Calibri"/>
          <w:color w:val="404040"/>
          <w:sz w:val="22"/>
          <w:szCs w:val="22"/>
        </w:rPr>
        <w:t xml:space="preserve">Cascade failures in multi-agent systems where one sub-agent's bad output silently corrupts downstream agents' reasoning.</w:t>
      </w:r>
    </w:p>
    <w:p>
      <w:pPr>
        <w:pStyle w:val="ListParagraph"/>
        <w:numPr>
          <w:ilvl w:val="0"/>
          <w:numId w:val="2"/>
        </w:numPr>
        <w:spacing w:after="60" w:before="40" w:line="280"/>
      </w:pPr>
      <w:r>
        <w:rPr>
          <w:rFonts w:ascii="Calibri" w:cs="Calibri" w:eastAsia="Calibri" w:hAnsi="Calibri"/>
          <w:color w:val="404040"/>
          <w:sz w:val="22"/>
          <w:szCs w:val="22"/>
        </w:rPr>
        <w:t xml:space="preserve">Rollbacks that wipe production memory because the agent and its memory store are not versioned independently.</w:t>
      </w:r>
    </w:p>
    <w:p>
      <w:pPr>
        <w:pStyle w:val="ListParagraph"/>
        <w:numPr>
          <w:ilvl w:val="0"/>
          <w:numId w:val="2"/>
        </w:numPr>
        <w:spacing w:after="60" w:before="40" w:line="280"/>
      </w:pPr>
      <w:r>
        <w:rPr>
          <w:rFonts w:ascii="Calibri" w:cs="Calibri" w:eastAsia="Calibri" w:hAnsi="Calibri"/>
          <w:color w:val="404040"/>
          <w:sz w:val="22"/>
          <w:szCs w:val="22"/>
        </w:rPr>
        <w:t xml:space="preserve">Lock-in that only becomes visible when the organization tries to negotiate with a second provider.</w:t>
      </w:r>
    </w:p>
    <w:p>
      <w:pPr>
        <w:pStyle w:val="ListParagraph"/>
        <w:numPr>
          <w:ilvl w:val="0"/>
          <w:numId w:val="2"/>
        </w:numPr>
        <w:spacing w:after="60" w:before="40" w:line="280"/>
      </w:pPr>
      <w:r>
        <w:rPr>
          <w:rFonts w:ascii="Calibri" w:cs="Calibri" w:eastAsia="Calibri" w:hAnsi="Calibri"/>
          <w:color w:val="404040"/>
          <w:sz w:val="22"/>
          <w:szCs w:val="22"/>
        </w:rPr>
        <w:t xml:space="preserve">Inability to reproduce a past agent version for audit or debugging because its exact composition was not preserved.</w:t>
      </w:r>
    </w:p>
    <w:p>
      <w:pPr>
        <w:pStyle w:val="ListParagraph"/>
        <w:numPr>
          <w:ilvl w:val="0"/>
          <w:numId w:val="2"/>
        </w:numPr>
        <w:spacing w:after="60" w:before="40" w:line="280"/>
      </w:pPr>
      <w:r>
        <w:rPr>
          <w:rFonts w:ascii="Calibri" w:cs="Calibri" w:eastAsia="Calibri" w:hAnsi="Calibri"/>
          <w:color w:val="404040"/>
          <w:sz w:val="22"/>
          <w:szCs w:val="22"/>
        </w:rPr>
        <w:t xml:space="preserve">Deployments that ship without passing evaluation because there is no gate enforcing it.</w:t>
      </w:r>
    </w:p>
    <w:p>
      <w:pPr>
        <w:spacing w:after="14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6"/>
              <w:bottom w:val="single" w:color="2E75B6" w:sz="4"/>
              <w:right w:val="single" w:color="2E75B6" w:sz="4"/>
            </w:tcBorders>
            <w:shd w:fill="E7EEF7" w:val="clear"/>
            <w:tcMar>
              <w:top w:type="dxa" w:w="180"/>
              <w:left w:type="dxa" w:w="240"/>
              <w:bottom w:type="dxa" w:w="180"/>
              <w:right w:type="dxa" w:w="240"/>
            </w:tcMar>
          </w:tcPr>
          <w:p>
            <w:pPr>
              <w:spacing w:after="100" w:before="0"/>
            </w:pPr>
            <w:r>
              <w:rPr>
                <w:rFonts w:ascii="Calibri" w:cs="Calibri" w:eastAsia="Calibri" w:hAnsi="Calibri"/>
                <w:b/>
                <w:bCs/>
                <w:color w:val="1F3864"/>
                <w:sz w:val="22"/>
                <w:szCs w:val="22"/>
              </w:rPr>
              <w:t xml:space="preserve">Maturity Signal</w:t>
            </w:r>
          </w:p>
          <w:p>
            <w:pPr>
              <w:spacing w:after="0" w:before="0" w:line="280"/>
            </w:pPr>
            <w:r>
              <w:rPr>
                <w:rFonts w:ascii="Calibri" w:cs="Calibri" w:eastAsia="Calibri" w:hAnsi="Calibri"/>
                <w:color w:val="404040"/>
                <w:sz w:val="20"/>
                <w:szCs w:val="20"/>
              </w:rPr>
              <w:t xml:space="preserve">Mature organizations ship agents — and systems of agents — through a CI/CD pipeline with automated gates at every stage. The same .zil artifact that passes evaluation in staging is cryptographically verified as it deploys to production. Multi-agent topologies are specified declaratively, evaluated as systems, and version-controlled as cohesive units.</w:t>
            </w:r>
          </w:p>
        </w:tc>
      </w:tr>
    </w:tbl>
    <w:p>
      <w:r>
        <w:br w:type="page"/>
      </w:r>
    </w:p>
    <w:p>
      <w:pPr>
        <w:pStyle w:val="Heading1"/>
        <w:spacing w:after="180" w:before="360"/>
      </w:pPr>
      <w:r>
        <w:rPr>
          <w:rFonts w:ascii="Calibri" w:cs="Calibri" w:eastAsia="Calibri" w:hAnsi="Calibri"/>
          <w:b/>
          <w:bCs/>
          <w:color w:val="1F3864"/>
          <w:sz w:val="36"/>
          <w:szCs w:val="36"/>
        </w:rPr>
        <w:t xml:space="preserve">4. Reference Architecture</w:t>
      </w:r>
    </w:p>
    <w:p>
      <w:pPr>
        <w:spacing w:after="120" w:before="80" w:line="300"/>
      </w:pPr>
      <w:r>
        <w:rPr>
          <w:rFonts w:ascii="Calibri" w:cs="Calibri" w:eastAsia="Calibri" w:hAnsi="Calibri"/>
          <w:color w:val="404040"/>
          <w:sz w:val="22"/>
          <w:szCs w:val="22"/>
        </w:rPr>
        <w:t xml:space="preserve">The framework describes what a mature agent operation looks like. The Zil reference architecture defines how to get there. It specifies the concrete artifacts, interfaces, and runtime contracts that realize each of the seven pillars in practice.</w:t>
      </w:r>
    </w:p>
    <w:p>
      <w:pPr>
        <w:spacing w:after="120" w:before="80" w:line="300"/>
      </w:pPr>
      <w:r>
        <w:rPr>
          <w:rFonts w:ascii="Calibri" w:cs="Calibri" w:eastAsia="Calibri" w:hAnsi="Calibri"/>
          <w:color w:val="404040"/>
          <w:sz w:val="22"/>
          <w:szCs w:val="22"/>
        </w:rPr>
        <w:t xml:space="preserve">Zil is deliberately separated into a package specification (what ships) and a runtime specification (how it runs), mirroring the evolution of containers from Docker-monolithic to OCI image-spec plus runtime-spec. The package format is portable across clouds; the runtime is pluggable across vendors.</w:t>
      </w:r>
    </w:p>
    <w:p>
      <w:pPr>
        <w:pStyle w:val="Heading3"/>
        <w:spacing w:after="80" w:before="200"/>
      </w:pPr>
      <w:r>
        <w:rPr>
          <w:rFonts w:ascii="Calibri" w:cs="Calibri" w:eastAsia="Calibri" w:hAnsi="Calibri"/>
          <w:b/>
          <w:bCs/>
          <w:color w:val="2E75B6"/>
          <w:sz w:val="24"/>
          <w:szCs w:val="24"/>
        </w:rPr>
        <w:t xml:space="preserve">The package: .zil</w:t>
      </w:r>
    </w:p>
    <w:p>
      <w:pPr>
        <w:spacing w:after="120" w:before="80" w:line="300"/>
      </w:pPr>
      <w:r>
        <w:rPr>
          <w:rFonts w:ascii="Calibri" w:cs="Calibri" w:eastAsia="Calibri" w:hAnsi="Calibri"/>
          <w:color w:val="404040"/>
          <w:sz w:val="22"/>
          <w:szCs w:val="22"/>
        </w:rPr>
        <w:t xml:space="preserve">A .zil file is a signed tar archive containing the full declarative specification of an agent. It is reproducible, auditable, and deployable to any conformant runtime.</w:t>
      </w:r>
    </w:p>
    <w:p>
      <w:pPr>
        <w:spacing w:after="10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5460"/>
        <w:gridCol w:w="1500"/>
      </w:tblGrid>
      <w:tr>
        <w:trPr>
          <w:tblHeader/>
        </w:trPr>
        <w:tc>
          <w:tcPr>
            <w:tcW w:type="dxa" w:w="240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pPr>
            <w:r>
              <w:rPr>
                <w:rFonts w:ascii="Calibri" w:cs="Calibri" w:eastAsia="Calibri" w:hAnsi="Calibri"/>
                <w:b/>
                <w:bCs/>
                <w:color w:val="FFFFFF"/>
                <w:sz w:val="20"/>
                <w:szCs w:val="20"/>
              </w:rPr>
              <w:t xml:space="preserve">Component</w:t>
            </w:r>
          </w:p>
        </w:tc>
        <w:tc>
          <w:tcPr>
            <w:tcW w:type="dxa" w:w="546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pPr>
            <w:r>
              <w:rPr>
                <w:rFonts w:ascii="Calibri" w:cs="Calibri" w:eastAsia="Calibri" w:hAnsi="Calibri"/>
                <w:b/>
                <w:bCs/>
                <w:color w:val="FFFFFF"/>
                <w:sz w:val="20"/>
                <w:szCs w:val="20"/>
              </w:rPr>
              <w:t xml:space="preserve">Contents</w:t>
            </w:r>
          </w:p>
        </w:tc>
        <w:tc>
          <w:tcPr>
            <w:tcW w:type="dxa" w:w="150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jc w:val="center"/>
            </w:pPr>
            <w:r>
              <w:rPr>
                <w:rFonts w:ascii="Calibri" w:cs="Calibri" w:eastAsia="Calibri" w:hAnsi="Calibri"/>
                <w:b/>
                <w:bCs/>
                <w:color w:val="FFFFFF"/>
                <w:sz w:val="20"/>
                <w:szCs w:val="20"/>
              </w:rPr>
              <w:t xml:space="preserve">Typical Size</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manifest.yaml</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Root descriptor. Version, metadata, references to all other components.</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~10 KB</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adapters/</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Provider configurations for LLM, embedding, and vector store. One-line vendor swap.</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~20 KB</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identity/</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Persona, instructions, and guardrails as plain text and YAML.</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~20 KB</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skills/</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Skill definitions with typed input and output schemas.</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~50 KB</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mcp/</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MCP server configurations referenced by digest, not bundled.</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~10 KB</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memory/</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Memory backend configuration and seed memory file.</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~5 MB</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data/</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Pre-built RAG vector snapshots. The largest component typically.</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~100-500 MB</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code/</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Custom Python or JS skill implementations with pinned dependencies.</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~200 KB</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evals/</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Baseline evaluation suite and test cases.</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~500 KB</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SBOM.json</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Software bill of materials for supply chain verification.</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~10 KB</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PROVENANCE.json</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SLSA provenance attestation from the build system.</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~5 KB</w:t>
            </w:r>
          </w:p>
        </w:tc>
      </w:tr>
      <w:tr>
        <w:tc>
          <w:tcPr>
            <w:tcW w:type="dxa" w:w="2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SIGNATURE</w:t>
            </w:r>
          </w:p>
        </w:tc>
        <w:tc>
          <w:tcPr>
            <w:tcW w:type="dxa" w:w="54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Cosign signature over the archive.</w:t>
            </w:r>
          </w:p>
        </w:tc>
        <w:tc>
          <w:tcPr>
            <w:tcW w:type="dxa" w:w="15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jc w:val="center"/>
            </w:pPr>
            <w:r>
              <w:rPr>
                <w:rFonts w:ascii="Calibri" w:cs="Calibri" w:eastAsia="Calibri" w:hAnsi="Calibri"/>
                <w:color w:val="808080"/>
                <w:sz w:val="20"/>
                <w:szCs w:val="20"/>
              </w:rPr>
              <w:t xml:space="preserve">~1 KB</w:t>
            </w:r>
          </w:p>
        </w:tc>
      </w:tr>
    </w:tbl>
    <w:p>
      <w:pPr>
        <w:spacing w:after="200" w:before="0"/>
      </w:pPr>
      <w:r>
        <w:t xml:space="preserve"/>
      </w:r>
    </w:p>
    <w:p>
      <w:pPr>
        <w:pStyle w:val="Heading3"/>
        <w:spacing w:after="80" w:before="200"/>
      </w:pPr>
      <w:r>
        <w:rPr>
          <w:rFonts w:ascii="Calibri" w:cs="Calibri" w:eastAsia="Calibri" w:hAnsi="Calibri"/>
          <w:b/>
          <w:bCs/>
          <w:color w:val="2E75B6"/>
          <w:sz w:val="24"/>
          <w:szCs w:val="24"/>
        </w:rPr>
        <w:t xml:space="preserve">The runtime conformance contract</w:t>
      </w:r>
    </w:p>
    <w:p>
      <w:pPr>
        <w:spacing w:after="120" w:before="80" w:line="300"/>
      </w:pPr>
      <w:r>
        <w:rPr>
          <w:rFonts w:ascii="Calibri" w:cs="Calibri" w:eastAsia="Calibri" w:hAnsi="Calibri"/>
          <w:color w:val="404040"/>
          <w:sz w:val="22"/>
          <w:szCs w:val="22"/>
        </w:rPr>
        <w:t xml:space="preserve">Any runtime claiming Zil compliance must implement a defined interface for loading packages, starting sessions, executing turns, checkpointing state, restoring from crash, handling human-in-the-loop decisions, and emitting observability data. This is what makes portability real: an agent packaged against the spec runs identically across any conformant runtime, whether managed by a hyperscaler, self-hosted, or deployed to air-gapped environments.</w:t>
      </w:r>
    </w:p>
    <w:p>
      <w:pPr>
        <w:pStyle w:val="Heading3"/>
        <w:spacing w:after="80" w:before="200"/>
      </w:pPr>
      <w:r>
        <w:rPr>
          <w:rFonts w:ascii="Calibri" w:cs="Calibri" w:eastAsia="Calibri" w:hAnsi="Calibri"/>
          <w:b/>
          <w:bCs/>
          <w:color w:val="2E75B6"/>
          <w:sz w:val="24"/>
          <w:szCs w:val="24"/>
        </w:rPr>
        <w:t xml:space="preserve">Adapter pattern for vendor portability</w:t>
      </w:r>
    </w:p>
    <w:p>
      <w:pPr>
        <w:spacing w:after="120" w:before="80" w:line="300"/>
      </w:pPr>
      <w:r>
        <w:rPr>
          <w:rFonts w:ascii="Calibri" w:cs="Calibri" w:eastAsia="Calibri" w:hAnsi="Calibri"/>
          <w:color w:val="404040"/>
          <w:sz w:val="22"/>
          <w:szCs w:val="22"/>
        </w:rPr>
        <w:t xml:space="preserve">Every external dependency — LLM provider, embedding model, vector store, MCP server — is referenced through an adapter configuration. Switching providers is a configuration change, not a code rewrite. An agent running on Claude via Vertex AI can be reconfigured to run on GPT-4 via Azure, or Llama via a self-hosted endpoint, with a single edit to the relevant adapter YAML.</w:t>
      </w:r>
    </w:p>
    <w:p>
      <w:pPr>
        <w:pStyle w:val="Heading3"/>
        <w:spacing w:after="80" w:before="200"/>
      </w:pPr>
      <w:r>
        <w:rPr>
          <w:rFonts w:ascii="Calibri" w:cs="Calibri" w:eastAsia="Calibri" w:hAnsi="Calibri"/>
          <w:b/>
          <w:bCs/>
          <w:color w:val="2E75B6"/>
          <w:sz w:val="24"/>
          <w:szCs w:val="24"/>
        </w:rPr>
        <w:t xml:space="preserve">Integration with open standards</w:t>
      </w:r>
    </w:p>
    <w:p>
      <w:pPr>
        <w:spacing w:after="120" w:before="80" w:line="300"/>
      </w:pPr>
      <w:r>
        <w:rPr>
          <w:rFonts w:ascii="Calibri" w:cs="Calibri" w:eastAsia="Calibri" w:hAnsi="Calibri"/>
          <w:color w:val="404040"/>
          <w:sz w:val="22"/>
          <w:szCs w:val="22"/>
        </w:rPr>
        <w:t xml:space="preserve">Zil does not reinvent what the industry has already standardized. It composes with them. MCP is the tool access layer. A2A is the agent-to-agent communication layer. Zil adds the packaging, runtime, and lifecycle management layer above them. The Agentic AI Foundation at the Linux Foundation — governing MCP and A2A — provides the foundation; Zil sits on top.</w:t>
      </w:r>
    </w:p>
    <w:p>
      <w:pPr>
        <w:spacing w:after="14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6"/>
              <w:bottom w:val="single" w:color="2E75B6" w:sz="4"/>
              <w:right w:val="single" w:color="2E75B6" w:sz="4"/>
            </w:tcBorders>
            <w:shd w:fill="E7EEF7" w:val="clear"/>
            <w:tcMar>
              <w:top w:type="dxa" w:w="180"/>
              <w:left w:type="dxa" w:w="240"/>
              <w:bottom w:type="dxa" w:w="180"/>
              <w:right w:type="dxa" w:w="240"/>
            </w:tcMar>
          </w:tcPr>
          <w:p>
            <w:pPr>
              <w:spacing w:after="100" w:before="0"/>
            </w:pPr>
            <w:r>
              <w:rPr>
                <w:rFonts w:ascii="Calibri" w:cs="Calibri" w:eastAsia="Calibri" w:hAnsi="Calibri"/>
                <w:b/>
                <w:bCs/>
                <w:color w:val="1F3864"/>
                <w:sz w:val="22"/>
                <w:szCs w:val="22"/>
              </w:rPr>
              <w:t xml:space="preserve">Why this matters commercially</w:t>
            </w:r>
          </w:p>
          <w:p>
            <w:pPr>
              <w:spacing w:after="0" w:before="0" w:line="280"/>
            </w:pPr>
            <w:r>
              <w:rPr>
                <w:rFonts w:ascii="Calibri" w:cs="Calibri" w:eastAsia="Calibri" w:hAnsi="Calibri"/>
                <w:color w:val="404040"/>
                <w:sz w:val="20"/>
                <w:szCs w:val="20"/>
              </w:rPr>
              <w:t xml:space="preserve">Enterprises investing in agent infrastructure are increasingly asking procurement questions about lock-in, portability, and sovereignty. An agent packaged as .zil can be deployed to Gemini Enterprise Agent Platform, AWS Bedrock Agents, Azure AI Foundry, or sovereign European infrastructure. The organization retains optionality. That optionality has measurable commercial value: 57% of IT leaders report spending more than $1 million on platform migrations in the last year. Zil is a hedge against becoming one of them.</w:t>
            </w:r>
          </w:p>
        </w:tc>
      </w:tr>
    </w:tbl>
    <w:p>
      <w:r>
        <w:br w:type="page"/>
      </w:r>
    </w:p>
    <w:p>
      <w:pPr>
        <w:pStyle w:val="Heading1"/>
        <w:spacing w:after="180" w:before="360"/>
      </w:pPr>
      <w:r>
        <w:rPr>
          <w:rFonts w:ascii="Calibri" w:cs="Calibri" w:eastAsia="Calibri" w:hAnsi="Calibri"/>
          <w:b/>
          <w:bCs/>
          <w:color w:val="1F3864"/>
          <w:sz w:val="36"/>
          <w:szCs w:val="36"/>
        </w:rPr>
        <w:t xml:space="preserve">5. Maturity Model</w:t>
      </w:r>
    </w:p>
    <w:p>
      <w:pPr>
        <w:spacing w:after="120" w:before="80" w:line="300"/>
      </w:pPr>
      <w:r>
        <w:rPr>
          <w:rFonts w:ascii="Calibri" w:cs="Calibri" w:eastAsia="Calibri" w:hAnsi="Calibri"/>
          <w:color w:val="404040"/>
          <w:sz w:val="22"/>
          <w:szCs w:val="22"/>
        </w:rPr>
        <w:t xml:space="preserve">Each pillar is assessed on a four-level scale. The assessment produces a per-pillar score and an aggregate profile. The maturity model provides a common language for engineering, security, and executive stakeholders to align on priorities and track progress over time.</w:t>
      </w:r>
    </w:p>
    <w:p>
      <w:pPr>
        <w:spacing w:after="120" w:before="80" w:line="300"/>
      </w:pPr>
      <w:r>
        <w:rPr>
          <w:rFonts w:ascii="Calibri" w:cs="Calibri" w:eastAsia="Calibri" w:hAnsi="Calibri"/>
          <w:color w:val="404040"/>
          <w:sz w:val="22"/>
          <w:szCs w:val="22"/>
        </w:rPr>
        <w:t xml:space="preserve">Unlike generic CMMI-style maturity models, each level is described in terms of specific agent capabilities rather than abstract process maturity. This allows the model to provide concrete next-step guidance.</w:t>
      </w:r>
    </w:p>
    <w:p>
      <w:pPr>
        <w:spacing w:after="20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2000"/>
        <w:gridCol w:w="6560"/>
      </w:tblGrid>
      <w:tr>
        <w:trPr>
          <w:tblHeader/>
        </w:trPr>
        <w:tc>
          <w:tcPr>
            <w:tcW w:type="dxa" w:w="80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jc w:val="center"/>
            </w:pPr>
            <w:r>
              <w:rPr>
                <w:rFonts w:ascii="Calibri" w:cs="Calibri" w:eastAsia="Calibri" w:hAnsi="Calibri"/>
                <w:b/>
                <w:bCs/>
                <w:color w:val="FFFFFF"/>
                <w:sz w:val="20"/>
                <w:szCs w:val="20"/>
              </w:rPr>
              <w:t xml:space="preserve">Level</w:t>
            </w:r>
          </w:p>
        </w:tc>
        <w:tc>
          <w:tcPr>
            <w:tcW w:type="dxa" w:w="200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pPr>
            <w:r>
              <w:rPr>
                <w:rFonts w:ascii="Calibri" w:cs="Calibri" w:eastAsia="Calibri" w:hAnsi="Calibri"/>
                <w:b/>
                <w:bCs/>
                <w:color w:val="FFFFFF"/>
                <w:sz w:val="20"/>
                <w:szCs w:val="20"/>
              </w:rPr>
              <w:t xml:space="preserve">Stage</w:t>
            </w:r>
          </w:p>
        </w:tc>
        <w:tc>
          <w:tcPr>
            <w:tcW w:type="dxa" w:w="656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pPr>
            <w:r>
              <w:rPr>
                <w:rFonts w:ascii="Calibri" w:cs="Calibri" w:eastAsia="Calibri" w:hAnsi="Calibri"/>
                <w:b/>
                <w:bCs/>
                <w:color w:val="FFFFFF"/>
                <w:sz w:val="20"/>
                <w:szCs w:val="20"/>
              </w:rPr>
              <w:t xml:space="preserve">Description</w:t>
            </w:r>
          </w:p>
        </w:tc>
      </w:tr>
      <w:tr>
        <w:tc>
          <w:tcPr>
            <w:tcW w:type="dxa" w:w="800"/>
            <w:tcBorders>
              <w:top w:val="single" w:color="BFBFBF" w:sz="4"/>
              <w:left w:val="single" w:color="BFBFBF" w:sz="4"/>
              <w:bottom w:val="single" w:color="BFBFBF" w:sz="4"/>
              <w:right w:val="single" w:color="BFBFBF" w:sz="4"/>
            </w:tcBorders>
            <w:shd w:fill="C00000" w:val="clear"/>
            <w:tcMar>
              <w:top w:type="dxa" w:w="120"/>
              <w:left w:type="dxa" w:w="160"/>
              <w:bottom w:type="dxa" w:w="120"/>
              <w:right w:type="dxa" w:w="160"/>
            </w:tcMar>
          </w:tcPr>
          <w:p>
            <w:pPr>
              <w:spacing w:after="0" w:before="0" w:line="280"/>
              <w:jc w:val="center"/>
            </w:pPr>
            <w:r>
              <w:rPr>
                <w:rFonts w:ascii="Calibri" w:cs="Calibri" w:eastAsia="Calibri" w:hAnsi="Calibri"/>
                <w:b/>
                <w:bCs/>
                <w:color w:val="FFFFFF"/>
                <w:sz w:val="28"/>
                <w:szCs w:val="28"/>
              </w:rPr>
              <w:t xml:space="preserve">1</w:t>
            </w:r>
          </w:p>
        </w:tc>
        <w:tc>
          <w:tcPr>
            <w:tcW w:type="dxa" w:w="20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C00000"/>
                <w:sz w:val="22"/>
                <w:szCs w:val="22"/>
              </w:rPr>
              <w:t xml:space="preserve">Ad Hoc</w:t>
            </w:r>
          </w:p>
        </w:tc>
        <w:tc>
          <w:tcPr>
            <w:tcW w:type="dxa" w:w="65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Single agents, hand-deployed, inconsistent versioning. No formal approval workflow. Evaluation is manual and sporadic. Tool permissions are over-broad. Cost is unmonitored. Crash recovery is absent. Multi-agent coordination is bespoke if it exists. Shadow agents likely exist outside central visibility.</w:t>
            </w:r>
          </w:p>
        </w:tc>
      </w:tr>
      <w:tr>
        <w:tc>
          <w:tcPr>
            <w:tcW w:type="dxa" w:w="800"/>
            <w:tcBorders>
              <w:top w:val="single" w:color="BFBFBF" w:sz="4"/>
              <w:left w:val="single" w:color="BFBFBF" w:sz="4"/>
              <w:bottom w:val="single" w:color="BFBFBF" w:sz="4"/>
              <w:right w:val="single" w:color="BFBFBF" w:sz="4"/>
            </w:tcBorders>
            <w:shd w:fill="ED7D31" w:val="clear"/>
            <w:tcMar>
              <w:top w:type="dxa" w:w="120"/>
              <w:left w:type="dxa" w:w="160"/>
              <w:bottom w:type="dxa" w:w="120"/>
              <w:right w:type="dxa" w:w="160"/>
            </w:tcMar>
          </w:tcPr>
          <w:p>
            <w:pPr>
              <w:spacing w:after="0" w:before="0" w:line="280"/>
              <w:jc w:val="center"/>
            </w:pPr>
            <w:r>
              <w:rPr>
                <w:rFonts w:ascii="Calibri" w:cs="Calibri" w:eastAsia="Calibri" w:hAnsi="Calibri"/>
                <w:b/>
                <w:bCs/>
                <w:color w:val="FFFFFF"/>
                <w:sz w:val="28"/>
                <w:szCs w:val="28"/>
              </w:rPr>
              <w:t xml:space="preserve">2</w:t>
            </w:r>
          </w:p>
        </w:tc>
        <w:tc>
          <w:tcPr>
            <w:tcW w:type="dxa" w:w="20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ED7D31"/>
                <w:sz w:val="22"/>
                <w:szCs w:val="22"/>
              </w:rPr>
              <w:t xml:space="preserve">Managed</w:t>
            </w:r>
          </w:p>
        </w:tc>
        <w:tc>
          <w:tcPr>
            <w:tcW w:type="dxa" w:w="65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Agents deployed from a standard template with basic evals run pre-release. Model registry exists and is mostly current. Security controls cover direct prompt injection. Observability in place for latency and cost at aggregate level. Tool permission boundaries documented but not consistently enforced. Memory retention policies defined on paper.</w:t>
            </w:r>
          </w:p>
        </w:tc>
      </w:tr>
      <w:tr>
        <w:tc>
          <w:tcPr>
            <w:tcW w:type="dxa" w:w="800"/>
            <w:tcBorders>
              <w:top w:val="single" w:color="BFBFBF" w:sz="4"/>
              <w:left w:val="single" w:color="BFBFBF" w:sz="4"/>
              <w:bottom w:val="single" w:color="BFBFBF" w:sz="4"/>
              <w:right w:val="single" w:color="BFBFBF" w:sz="4"/>
            </w:tcBorders>
            <w:shd w:fill="F2C744" w:val="clear"/>
            <w:tcMar>
              <w:top w:type="dxa" w:w="120"/>
              <w:left w:type="dxa" w:w="160"/>
              <w:bottom w:type="dxa" w:w="120"/>
              <w:right w:type="dxa" w:w="160"/>
            </w:tcMar>
          </w:tcPr>
          <w:p>
            <w:pPr>
              <w:spacing w:after="0" w:before="0" w:line="280"/>
              <w:jc w:val="center"/>
            </w:pPr>
            <w:r>
              <w:rPr>
                <w:rFonts w:ascii="Calibri" w:cs="Calibri" w:eastAsia="Calibri" w:hAnsi="Calibri"/>
                <w:b/>
                <w:bCs/>
                <w:color w:val="FFFFFF"/>
                <w:sz w:val="28"/>
                <w:szCs w:val="28"/>
              </w:rPr>
              <w:t xml:space="preserve">3</w:t>
            </w:r>
          </w:p>
        </w:tc>
        <w:tc>
          <w:tcPr>
            <w:tcW w:type="dxa" w:w="20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F2C744"/>
                <w:sz w:val="22"/>
                <w:szCs w:val="22"/>
              </w:rPr>
              <w:t xml:space="preserve">Measured</w:t>
            </w:r>
          </w:p>
        </w:tc>
        <w:tc>
          <w:tcPr>
            <w:tcW w:type="dxa" w:w="65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Signed agent packages with full SBOM and provenance. Automated evaluation gates on every release. Tool permission boundaries enforced at runtime. OpenTelemetry tracing for all agents. Cost attribution granular to feature and team. Red-team exercises run quarterly. Right-to-forget cascade implemented and tested. Crash recovery with checkpointing.</w:t>
            </w:r>
          </w:p>
        </w:tc>
      </w:tr>
      <w:tr>
        <w:tc>
          <w:tcPr>
            <w:tcW w:type="dxa" w:w="800"/>
            <w:tcBorders>
              <w:top w:val="single" w:color="BFBFBF" w:sz="4"/>
              <w:left w:val="single" w:color="BFBFBF" w:sz="4"/>
              <w:bottom w:val="single" w:color="BFBFBF" w:sz="4"/>
              <w:right w:val="single" w:color="BFBFBF" w:sz="4"/>
            </w:tcBorders>
            <w:shd w:fill="548235" w:val="clear"/>
            <w:tcMar>
              <w:top w:type="dxa" w:w="120"/>
              <w:left w:type="dxa" w:w="160"/>
              <w:bottom w:type="dxa" w:w="120"/>
              <w:right w:type="dxa" w:w="160"/>
            </w:tcMar>
          </w:tcPr>
          <w:p>
            <w:pPr>
              <w:spacing w:after="0" w:before="0" w:line="280"/>
              <w:jc w:val="center"/>
            </w:pPr>
            <w:r>
              <w:rPr>
                <w:rFonts w:ascii="Calibri" w:cs="Calibri" w:eastAsia="Calibri" w:hAnsi="Calibri"/>
                <w:b/>
                <w:bCs/>
                <w:color w:val="FFFFFF"/>
                <w:sz w:val="28"/>
                <w:szCs w:val="28"/>
              </w:rPr>
              <w:t xml:space="preserve">4</w:t>
            </w:r>
          </w:p>
        </w:tc>
        <w:tc>
          <w:tcPr>
            <w:tcW w:type="dxa" w:w="20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548235"/>
                <w:sz w:val="22"/>
                <w:szCs w:val="22"/>
              </w:rPr>
              <w:t xml:space="preserve">Optimized</w:t>
            </w:r>
          </w:p>
        </w:tc>
        <w:tc>
          <w:tcPr>
            <w:tcW w:type="dxa" w:w="65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Multi-agent systems with A2A coordination. Continuous eval-in-production with automatic rollback triggers. Cost-routed model selection by task complexity. Full audit trail with replay capability. Agent deprecation and migration fully automated. Production traffic replay gates every release. Threat intelligence feeds update red-team playbook continuously. Portable .zil artifacts deployable across multiple clouds.</w:t>
            </w:r>
          </w:p>
        </w:tc>
      </w:tr>
    </w:tbl>
    <w:p>
      <w:r>
        <w:br w:type="page"/>
      </w:r>
    </w:p>
    <w:p>
      <w:pPr>
        <w:pStyle w:val="Heading1"/>
        <w:spacing w:after="180" w:before="360"/>
      </w:pPr>
      <w:r>
        <w:rPr>
          <w:rFonts w:ascii="Calibri" w:cs="Calibri" w:eastAsia="Calibri" w:hAnsi="Calibri"/>
          <w:b/>
          <w:bCs/>
          <w:color w:val="1F3864"/>
          <w:sz w:val="36"/>
          <w:szCs w:val="36"/>
        </w:rPr>
        <w:t xml:space="preserve">6. Professional Services</w:t>
      </w:r>
    </w:p>
    <w:p>
      <w:pPr>
        <w:spacing w:after="120" w:before="80" w:line="300"/>
      </w:pPr>
      <w:r>
        <w:rPr>
          <w:rFonts w:ascii="Calibri" w:cs="Calibri" w:eastAsia="Calibri" w:hAnsi="Calibri"/>
          <w:color w:val="404040"/>
          <w:sz w:val="22"/>
          <w:szCs w:val="22"/>
        </w:rPr>
        <w:t xml:space="preserve">FluentData's services are structured as a land-and-expand engagement model, with each tier building on the previous. The progression is deliberate: most organizations benefit from a readiness assessment before committing to sprints, and from hardening sprints before entering a managed program. Strategic advisory is available to organizations scaling agents across multiple business units and requiring executive-level guidance.</w:t>
      </w:r>
    </w:p>
    <w:p>
      <w:pPr>
        <w:spacing w:after="120" w:before="80" w:line="300"/>
      </w:pPr>
      <w:r>
        <w:rPr>
          <w:rFonts w:ascii="Calibri" w:cs="Calibri" w:eastAsia="Calibri" w:hAnsi="Calibri"/>
          <w:color w:val="404040"/>
          <w:sz w:val="22"/>
          <w:szCs w:val="22"/>
        </w:rPr>
        <w:t xml:space="preserve">Every engagement is delivered by FluentData forward-deployed engineers using the Zil methodology. This is not generic consulting — it is the application of a repeatable, opinionated delivery framework refined across dozens of agent deployments.</w:t>
      </w:r>
    </w:p>
    <w:p>
      <w:pPr>
        <w:spacing w:after="200" w:before="0"/>
      </w:pPr>
      <w:r>
        <w:t xml:space="preserve"/>
      </w:r>
    </w:p>
    <w:p>
      <w:pPr>
        <w:pStyle w:val="Heading2"/>
        <w:spacing w:after="120" w:before="280"/>
      </w:pPr>
      <w:r>
        <w:rPr>
          <w:rFonts w:ascii="Calibri" w:cs="Calibri" w:eastAsia="Calibri" w:hAnsi="Calibri"/>
          <w:b/>
          <w:bCs/>
          <w:color w:val="1F3864"/>
          <w:sz w:val="28"/>
          <w:szCs w:val="28"/>
        </w:rPr>
        <w:t xml:space="preserve">6.1 Agent Readiness Assessment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Engagement Type</w:t>
            </w:r>
          </w:p>
          <w:p>
            <w:pPr>
              <w:spacing w:after="0" w:before="0"/>
            </w:pPr>
            <w:r>
              <w:rPr>
                <w:rFonts w:ascii="Calibri" w:cs="Calibri" w:eastAsia="Calibri" w:hAnsi="Calibri"/>
                <w:b/>
                <w:bCs/>
                <w:color w:val="1F3864"/>
                <w:sz w:val="22"/>
                <w:szCs w:val="22"/>
              </w:rPr>
              <w:t xml:space="preserve">Land — Foundation</w:t>
            </w:r>
          </w:p>
        </w:tc>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Duration</w:t>
            </w:r>
          </w:p>
          <w:p>
            <w:pPr>
              <w:spacing w:after="0" w:before="0"/>
            </w:pPr>
            <w:r>
              <w:rPr>
                <w:rFonts w:ascii="Calibri" w:cs="Calibri" w:eastAsia="Calibri" w:hAnsi="Calibri"/>
                <w:b/>
                <w:bCs/>
                <w:color w:val="1F3864"/>
                <w:sz w:val="22"/>
                <w:szCs w:val="22"/>
              </w:rPr>
              <w:t xml:space="preserve">2–3 Weeks</w:t>
            </w:r>
          </w:p>
        </w:tc>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Pricing Model</w:t>
            </w:r>
          </w:p>
          <w:p>
            <w:pPr>
              <w:spacing w:after="0" w:before="0"/>
            </w:pPr>
            <w:r>
              <w:rPr>
                <w:rFonts w:ascii="Calibri" w:cs="Calibri" w:eastAsia="Calibri" w:hAnsi="Calibri"/>
                <w:b/>
                <w:bCs/>
                <w:color w:val="1F3864"/>
                <w:sz w:val="22"/>
                <w:szCs w:val="22"/>
              </w:rPr>
              <w:t xml:space="preserve">Fixed scope</w:t>
            </w:r>
          </w:p>
        </w:tc>
      </w:tr>
    </w:tbl>
    <w:p>
      <w:pPr>
        <w:spacing w:after="140" w:before="0"/>
      </w:pPr>
      <w:r>
        <w:t xml:space="preserve"/>
      </w:r>
    </w:p>
    <w:p>
      <w:pPr>
        <w:pStyle w:val="Heading3"/>
        <w:spacing w:after="80" w:before="200"/>
      </w:pPr>
      <w:r>
        <w:rPr>
          <w:rFonts w:ascii="Calibri" w:cs="Calibri" w:eastAsia="Calibri" w:hAnsi="Calibri"/>
          <w:b/>
          <w:bCs/>
          <w:color w:val="2E75B6"/>
          <w:sz w:val="24"/>
          <w:szCs w:val="24"/>
        </w:rPr>
        <w:t xml:space="preserve">Scope</w:t>
      </w:r>
    </w:p>
    <w:p>
      <w:pPr>
        <w:spacing w:after="120" w:before="80" w:line="300"/>
      </w:pPr>
      <w:r>
        <w:rPr>
          <w:rFonts w:ascii="Calibri" w:cs="Calibri" w:eastAsia="Calibri" w:hAnsi="Calibri"/>
          <w:color w:val="404040"/>
          <w:sz w:val="22"/>
          <w:szCs w:val="22"/>
        </w:rPr>
        <w:t xml:space="preserve">A comprehensive evaluation of your agent environment against all seven Zil pillars. FluentData inventories your active agents and workloads, conducts adversarial security testing across the agent attack surface, assesses architectural maturity against the Zil reference architecture, and benchmarks observability, evaluation, and cost governance posture.</w:t>
      </w:r>
    </w:p>
    <w:p>
      <w:pPr>
        <w:spacing w:after="120" w:before="80" w:line="300"/>
      </w:pPr>
      <w:r>
        <w:rPr>
          <w:rFonts w:ascii="Calibri" w:cs="Calibri" w:eastAsia="Calibri" w:hAnsi="Calibri"/>
          <w:color w:val="404040"/>
          <w:sz w:val="22"/>
          <w:szCs w:val="22"/>
        </w:rPr>
        <w:t xml:space="preserve">The assessment is deliberately structured to deliver value independent of any follow-on engagement. Whether or not your organization proceeds to hardening sprints, you will leave with a clear maturity scorecard, a prioritized roadmap, and a set of quick wins that can be executed with internal resources.</w:t>
      </w:r>
    </w:p>
    <w:p>
      <w:pPr>
        <w:pStyle w:val="Heading3"/>
        <w:spacing w:after="80" w:before="200"/>
      </w:pPr>
      <w:r>
        <w:rPr>
          <w:rFonts w:ascii="Calibri" w:cs="Calibri" w:eastAsia="Calibri" w:hAnsi="Calibri"/>
          <w:b/>
          <w:bCs/>
          <w:color w:val="2E75B6"/>
          <w:sz w:val="24"/>
          <w:szCs w:val="24"/>
        </w:rPr>
        <w:t xml:space="preserve">Deliverables</w:t>
      </w:r>
    </w:p>
    <w:p>
      <w:pPr>
        <w:pStyle w:val="ListParagraph"/>
        <w:numPr>
          <w:ilvl w:val="0"/>
          <w:numId w:val="2"/>
        </w:numPr>
        <w:spacing w:after="60" w:before="40" w:line="280"/>
      </w:pPr>
      <w:r>
        <w:rPr>
          <w:rFonts w:ascii="Calibri" w:cs="Calibri" w:eastAsia="Calibri" w:hAnsi="Calibri"/>
          <w:color w:val="404040"/>
          <w:sz w:val="22"/>
          <w:szCs w:val="22"/>
        </w:rPr>
        <w:t xml:space="preserve">Executive-ready Zil Maturity Scorecard with per-pillar ratings and peer benchmarking where available.</w:t>
      </w:r>
    </w:p>
    <w:p>
      <w:pPr>
        <w:pStyle w:val="ListParagraph"/>
        <w:numPr>
          <w:ilvl w:val="0"/>
          <w:numId w:val="2"/>
        </w:numPr>
        <w:spacing w:after="60" w:before="40" w:line="280"/>
      </w:pPr>
      <w:r>
        <w:rPr>
          <w:rFonts w:ascii="Calibri" w:cs="Calibri" w:eastAsia="Calibri" w:hAnsi="Calibri"/>
          <w:color w:val="404040"/>
          <w:sz w:val="22"/>
          <w:szCs w:val="22"/>
        </w:rPr>
        <w:t xml:space="preserve">Detailed findings report with risk-prioritized vulnerabilities and gaps across all seven pillars.</w:t>
      </w:r>
    </w:p>
    <w:p>
      <w:pPr>
        <w:pStyle w:val="ListParagraph"/>
        <w:numPr>
          <w:ilvl w:val="0"/>
          <w:numId w:val="2"/>
        </w:numPr>
        <w:spacing w:after="60" w:before="40" w:line="280"/>
      </w:pPr>
      <w:r>
        <w:rPr>
          <w:rFonts w:ascii="Calibri" w:cs="Calibri" w:eastAsia="Calibri" w:hAnsi="Calibri"/>
          <w:color w:val="404040"/>
          <w:sz w:val="22"/>
          <w:szCs w:val="22"/>
        </w:rPr>
        <w:t xml:space="preserve">90-day hardening roadmap with quick wins identified for immediate internal action.</w:t>
      </w:r>
    </w:p>
    <w:p>
      <w:pPr>
        <w:pStyle w:val="ListParagraph"/>
        <w:numPr>
          <w:ilvl w:val="0"/>
          <w:numId w:val="2"/>
        </w:numPr>
        <w:spacing w:after="60" w:before="40" w:line="280"/>
      </w:pPr>
      <w:r>
        <w:rPr>
          <w:rFonts w:ascii="Calibri" w:cs="Calibri" w:eastAsia="Calibri" w:hAnsi="Calibri"/>
          <w:color w:val="404040"/>
          <w:sz w:val="22"/>
          <w:szCs w:val="22"/>
        </w:rPr>
        <w:t xml:space="preserve">Architecture readiness assessment identifying the gap between current state and the Zil reference architecture.</w:t>
      </w:r>
    </w:p>
    <w:p>
      <w:pPr>
        <w:pStyle w:val="ListParagraph"/>
        <w:numPr>
          <w:ilvl w:val="0"/>
          <w:numId w:val="2"/>
        </w:numPr>
        <w:spacing w:after="60" w:before="40" w:line="280"/>
      </w:pPr>
      <w:r>
        <w:rPr>
          <w:rFonts w:ascii="Calibri" w:cs="Calibri" w:eastAsia="Calibri" w:hAnsi="Calibri"/>
          <w:color w:val="404040"/>
          <w:sz w:val="22"/>
          <w:szCs w:val="22"/>
        </w:rPr>
        <w:t xml:space="preserve">Executive briefing deck suitable for presentation to security, engineering, and business leadership.</w:t>
      </w:r>
    </w:p>
    <w:p>
      <w:pPr>
        <w:spacing w:after="200" w:before="0"/>
      </w:pPr>
      <w:r>
        <w:t xml:space="preserve"/>
      </w:r>
    </w:p>
    <w:p>
      <w:pPr>
        <w:pStyle w:val="Heading2"/>
        <w:spacing w:after="120" w:before="280"/>
      </w:pPr>
      <w:r>
        <w:rPr>
          <w:rFonts w:ascii="Calibri" w:cs="Calibri" w:eastAsia="Calibri" w:hAnsi="Calibri"/>
          <w:b/>
          <w:bCs/>
          <w:color w:val="1F3864"/>
          <w:sz w:val="28"/>
          <w:szCs w:val="28"/>
        </w:rPr>
        <w:t xml:space="preserve">6.2 Hardening Sprints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Engagement Type</w:t>
            </w:r>
          </w:p>
          <w:p>
            <w:pPr>
              <w:spacing w:after="0" w:before="0"/>
            </w:pPr>
            <w:r>
              <w:rPr>
                <w:rFonts w:ascii="Calibri" w:cs="Calibri" w:eastAsia="Calibri" w:hAnsi="Calibri"/>
                <w:b/>
                <w:bCs/>
                <w:color w:val="1F3864"/>
                <w:sz w:val="22"/>
                <w:szCs w:val="22"/>
              </w:rPr>
              <w:t xml:space="preserve">Expand — Tier 1</w:t>
            </w:r>
          </w:p>
        </w:tc>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Duration</w:t>
            </w:r>
          </w:p>
          <w:p>
            <w:pPr>
              <w:spacing w:after="0" w:before="0"/>
            </w:pPr>
            <w:r>
              <w:rPr>
                <w:rFonts w:ascii="Calibri" w:cs="Calibri" w:eastAsia="Calibri" w:hAnsi="Calibri"/>
                <w:b/>
                <w:bCs/>
                <w:color w:val="1F3864"/>
                <w:sz w:val="22"/>
                <w:szCs w:val="22"/>
              </w:rPr>
              <w:t xml:space="preserve">4–8 Weeks per sprint</w:t>
            </w:r>
          </w:p>
        </w:tc>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Pricing Model</w:t>
            </w:r>
          </w:p>
          <w:p>
            <w:pPr>
              <w:spacing w:after="0" w:before="0"/>
            </w:pPr>
            <w:r>
              <w:rPr>
                <w:rFonts w:ascii="Calibri" w:cs="Calibri" w:eastAsia="Calibri" w:hAnsi="Calibri"/>
                <w:b/>
                <w:bCs/>
                <w:color w:val="1F3864"/>
                <w:sz w:val="22"/>
                <w:szCs w:val="22"/>
              </w:rPr>
              <w:t xml:space="preserve">Fixed fee per sprint</w:t>
            </w:r>
          </w:p>
        </w:tc>
      </w:tr>
    </w:tbl>
    <w:p>
      <w:pPr>
        <w:spacing w:after="140" w:before="0"/>
      </w:pPr>
      <w:r>
        <w:t xml:space="preserve"/>
      </w:r>
    </w:p>
    <w:p>
      <w:pPr>
        <w:pStyle w:val="Heading3"/>
        <w:spacing w:after="80" w:before="200"/>
      </w:pPr>
      <w:r>
        <w:rPr>
          <w:rFonts w:ascii="Calibri" w:cs="Calibri" w:eastAsia="Calibri" w:hAnsi="Calibri"/>
          <w:b/>
          <w:bCs/>
          <w:color w:val="2E75B6"/>
          <w:sz w:val="24"/>
          <w:szCs w:val="24"/>
        </w:rPr>
        <w:t xml:space="preserve">Scope</w:t>
      </w:r>
    </w:p>
    <w:p>
      <w:pPr>
        <w:spacing w:after="120" w:before="80" w:line="300"/>
      </w:pPr>
      <w:r>
        <w:rPr>
          <w:rFonts w:ascii="Calibri" w:cs="Calibri" w:eastAsia="Calibri" w:hAnsi="Calibri"/>
          <w:color w:val="404040"/>
          <w:sz w:val="22"/>
          <w:szCs w:val="22"/>
        </w:rPr>
        <w:t xml:space="preserve">Targeted implementation sprints addressing the highest-priority gaps identified in the assessment. Each sprint follows a design → implement → validate → document cadence and is scoped as an independent workstream. Sprints can be engaged sequentially or in parallel depending on organizational capacity.</w:t>
      </w:r>
    </w:p>
    <w:p>
      <w:pPr>
        <w:spacing w:after="120" w:before="80" w:line="300"/>
      </w:pPr>
      <w:r>
        <w:rPr>
          <w:rFonts w:ascii="Calibri" w:cs="Calibri" w:eastAsia="Calibri" w:hAnsi="Calibri"/>
          <w:color w:val="404040"/>
          <w:sz w:val="22"/>
          <w:szCs w:val="22"/>
        </w:rPr>
        <w:t xml:space="preserve">Example sprints include: Prompt Injection Hardening, Tool Permission Boundary Enforcement, RAG Security, Governance Buildout, Observability Buildout, Evaluation Pipeline Implementation, Cost Governance Implementation, and Memory Protection Controls. Sprint scopes are customized to the findings of the readiness assessment.</w:t>
      </w:r>
    </w:p>
    <w:p>
      <w:pPr>
        <w:pStyle w:val="Heading3"/>
        <w:spacing w:after="80" w:before="200"/>
      </w:pPr>
      <w:r>
        <w:rPr>
          <w:rFonts w:ascii="Calibri" w:cs="Calibri" w:eastAsia="Calibri" w:hAnsi="Calibri"/>
          <w:b/>
          <w:bCs/>
          <w:color w:val="2E75B6"/>
          <w:sz w:val="24"/>
          <w:szCs w:val="24"/>
        </w:rPr>
        <w:t xml:space="preserve">Deliverables</w:t>
      </w:r>
    </w:p>
    <w:p>
      <w:pPr>
        <w:pStyle w:val="ListParagraph"/>
        <w:numPr>
          <w:ilvl w:val="0"/>
          <w:numId w:val="2"/>
        </w:numPr>
        <w:spacing w:after="60" w:before="40" w:line="280"/>
      </w:pPr>
      <w:r>
        <w:rPr>
          <w:rFonts w:ascii="Calibri" w:cs="Calibri" w:eastAsia="Calibri" w:hAnsi="Calibri"/>
          <w:color w:val="404040"/>
          <w:sz w:val="22"/>
          <w:szCs w:val="22"/>
        </w:rPr>
        <w:t xml:space="preserve">Implementation artifacts: code, configurations, policies, and infrastructure-as-code.</w:t>
      </w:r>
    </w:p>
    <w:p>
      <w:pPr>
        <w:pStyle w:val="ListParagraph"/>
        <w:numPr>
          <w:ilvl w:val="0"/>
          <w:numId w:val="2"/>
        </w:numPr>
        <w:spacing w:after="60" w:before="40" w:line="280"/>
      </w:pPr>
      <w:r>
        <w:rPr>
          <w:rFonts w:ascii="Calibri" w:cs="Calibri" w:eastAsia="Calibri" w:hAnsi="Calibri"/>
          <w:color w:val="404040"/>
          <w:sz w:val="22"/>
          <w:szCs w:val="22"/>
        </w:rPr>
        <w:t xml:space="preserve">Validation reports with testing evidence, including red-team findings where applicable.</w:t>
      </w:r>
    </w:p>
    <w:p>
      <w:pPr>
        <w:pStyle w:val="ListParagraph"/>
        <w:numPr>
          <w:ilvl w:val="0"/>
          <w:numId w:val="2"/>
        </w:numPr>
        <w:spacing w:after="60" w:before="40" w:line="280"/>
      </w:pPr>
      <w:r>
        <w:rPr>
          <w:rFonts w:ascii="Calibri" w:cs="Calibri" w:eastAsia="Calibri" w:hAnsi="Calibri"/>
          <w:color w:val="404040"/>
          <w:sz w:val="22"/>
          <w:szCs w:val="22"/>
        </w:rPr>
        <w:t xml:space="preserve">Operational runbooks and documentation for ongoing operation by your internal team.</w:t>
      </w:r>
    </w:p>
    <w:p>
      <w:pPr>
        <w:pStyle w:val="ListParagraph"/>
        <w:numPr>
          <w:ilvl w:val="0"/>
          <w:numId w:val="2"/>
        </w:numPr>
        <w:spacing w:after="60" w:before="40" w:line="280"/>
      </w:pPr>
      <w:r>
        <w:rPr>
          <w:rFonts w:ascii="Calibri" w:cs="Calibri" w:eastAsia="Calibri" w:hAnsi="Calibri"/>
          <w:color w:val="404040"/>
          <w:sz w:val="22"/>
          <w:szCs w:val="22"/>
        </w:rPr>
        <w:t xml:space="preserve">Knowledge transfer sessions for the engineering and security teams inheriting the work.</w:t>
      </w:r>
    </w:p>
    <w:p>
      <w:pPr>
        <w:pStyle w:val="ListParagraph"/>
        <w:numPr>
          <w:ilvl w:val="0"/>
          <w:numId w:val="2"/>
        </w:numPr>
        <w:spacing w:after="60" w:before="40" w:line="280"/>
      </w:pPr>
      <w:r>
        <w:rPr>
          <w:rFonts w:ascii="Calibri" w:cs="Calibri" w:eastAsia="Calibri" w:hAnsi="Calibri"/>
          <w:color w:val="404040"/>
          <w:sz w:val="22"/>
          <w:szCs w:val="22"/>
        </w:rPr>
        <w:t xml:space="preserve">Updated maturity scorecard reflecting the improvements delivered by the sprint.</w:t>
      </w:r>
    </w:p>
    <w:p>
      <w:pPr>
        <w:spacing w:after="200" w:before="0"/>
      </w:pPr>
      <w:r>
        <w:t xml:space="preserve"/>
      </w:r>
    </w:p>
    <w:p>
      <w:pPr>
        <w:pStyle w:val="Heading2"/>
        <w:spacing w:after="120" w:before="280"/>
      </w:pPr>
      <w:r>
        <w:rPr>
          <w:rFonts w:ascii="Calibri" w:cs="Calibri" w:eastAsia="Calibri" w:hAnsi="Calibri"/>
          <w:b/>
          <w:bCs/>
          <w:color w:val="1F3864"/>
          <w:sz w:val="28"/>
          <w:szCs w:val="28"/>
        </w:rPr>
        <w:t xml:space="preserve">6.3 Agent Packaging &amp; CI/CD Sprint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Engagement Type</w:t>
            </w:r>
          </w:p>
          <w:p>
            <w:pPr>
              <w:spacing w:after="0" w:before="0"/>
            </w:pPr>
            <w:r>
              <w:rPr>
                <w:rFonts w:ascii="Calibri" w:cs="Calibri" w:eastAsia="Calibri" w:hAnsi="Calibri"/>
                <w:b/>
                <w:bCs/>
                <w:color w:val="1F3864"/>
                <w:sz w:val="22"/>
                <w:szCs w:val="22"/>
              </w:rPr>
              <w:t xml:space="preserve">Expand — Tier 1 (Specialist)</w:t>
            </w:r>
          </w:p>
        </w:tc>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Duration</w:t>
            </w:r>
          </w:p>
          <w:p>
            <w:pPr>
              <w:spacing w:after="0" w:before="0"/>
            </w:pPr>
            <w:r>
              <w:rPr>
                <w:rFonts w:ascii="Calibri" w:cs="Calibri" w:eastAsia="Calibri" w:hAnsi="Calibri"/>
                <w:b/>
                <w:bCs/>
                <w:color w:val="1F3864"/>
                <w:sz w:val="22"/>
                <w:szCs w:val="22"/>
              </w:rPr>
              <w:t xml:space="preserve">6–8 Weeks</w:t>
            </w:r>
          </w:p>
        </w:tc>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Pricing Model</w:t>
            </w:r>
          </w:p>
          <w:p>
            <w:pPr>
              <w:spacing w:after="0" w:before="0"/>
            </w:pPr>
            <w:r>
              <w:rPr>
                <w:rFonts w:ascii="Calibri" w:cs="Calibri" w:eastAsia="Calibri" w:hAnsi="Calibri"/>
                <w:b/>
                <w:bCs/>
                <w:color w:val="1F3864"/>
                <w:sz w:val="22"/>
                <w:szCs w:val="22"/>
              </w:rPr>
              <w:t xml:space="preserve">Fixed fee</w:t>
            </w:r>
          </w:p>
        </w:tc>
      </w:tr>
    </w:tbl>
    <w:p>
      <w:pPr>
        <w:spacing w:after="140" w:before="0"/>
      </w:pPr>
      <w:r>
        <w:t xml:space="preserve"/>
      </w:r>
    </w:p>
    <w:p>
      <w:pPr>
        <w:pStyle w:val="Heading3"/>
        <w:spacing w:after="80" w:before="200"/>
      </w:pPr>
      <w:r>
        <w:rPr>
          <w:rFonts w:ascii="Calibri" w:cs="Calibri" w:eastAsia="Calibri" w:hAnsi="Calibri"/>
          <w:b/>
          <w:bCs/>
          <w:color w:val="2E75B6"/>
          <w:sz w:val="24"/>
          <w:szCs w:val="24"/>
        </w:rPr>
        <w:t xml:space="preserve">Scope</w:t>
      </w:r>
    </w:p>
    <w:p>
      <w:pPr>
        <w:spacing w:after="120" w:before="80" w:line="300"/>
      </w:pPr>
      <w:r>
        <w:rPr>
          <w:rFonts w:ascii="Calibri" w:cs="Calibri" w:eastAsia="Calibri" w:hAnsi="Calibri"/>
          <w:color w:val="404040"/>
          <w:sz w:val="22"/>
          <w:szCs w:val="22"/>
        </w:rPr>
        <w:t xml:space="preserve">A dedicated sprint that stands up your organization's agent packaging and continuous delivery pipeline based on the Zil reference architecture. This is offered as a distinct engagement because it is the single highest-leverage investment most organizations can make in agent operations — it amplifies the value of every subsequent agent deployment.</w:t>
      </w:r>
    </w:p>
    <w:p>
      <w:pPr>
        <w:spacing w:after="120" w:before="80" w:line="300"/>
      </w:pPr>
      <w:r>
        <w:rPr>
          <w:rFonts w:ascii="Calibri" w:cs="Calibri" w:eastAsia="Calibri" w:hAnsi="Calibri"/>
          <w:color w:val="404040"/>
          <w:sz w:val="22"/>
          <w:szCs w:val="22"/>
        </w:rPr>
        <w:t xml:space="preserve">The sprint includes: defining your organization's agent package standard, building or configuring a private agent registry, implementing the build pipeline (including RAG ingestion, evaluation gates, and signing), wiring up signature verification and policy checks at deployment, and delivering the first reference agent through the full pipeline end-to-end.</w:t>
      </w:r>
    </w:p>
    <w:p>
      <w:pPr>
        <w:pStyle w:val="Heading3"/>
        <w:spacing w:after="80" w:before="200"/>
      </w:pPr>
      <w:r>
        <w:rPr>
          <w:rFonts w:ascii="Calibri" w:cs="Calibri" w:eastAsia="Calibri" w:hAnsi="Calibri"/>
          <w:b/>
          <w:bCs/>
          <w:color w:val="2E75B6"/>
          <w:sz w:val="24"/>
          <w:szCs w:val="24"/>
        </w:rPr>
        <w:t xml:space="preserve">Deliverables</w:t>
      </w:r>
    </w:p>
    <w:p>
      <w:pPr>
        <w:pStyle w:val="ListParagraph"/>
        <w:numPr>
          <w:ilvl w:val="0"/>
          <w:numId w:val="2"/>
        </w:numPr>
        <w:spacing w:after="60" w:before="40" w:line="280"/>
      </w:pPr>
      <w:r>
        <w:rPr>
          <w:rFonts w:ascii="Calibri" w:cs="Calibri" w:eastAsia="Calibri" w:hAnsi="Calibri"/>
          <w:color w:val="404040"/>
          <w:sz w:val="22"/>
          <w:szCs w:val="22"/>
        </w:rPr>
        <w:t xml:space="preserve">Working agent packaging and CI/CD pipeline deployed in your environment.</w:t>
      </w:r>
    </w:p>
    <w:p>
      <w:pPr>
        <w:pStyle w:val="ListParagraph"/>
        <w:numPr>
          <w:ilvl w:val="0"/>
          <w:numId w:val="2"/>
        </w:numPr>
        <w:spacing w:after="60" w:before="40" w:line="280"/>
      </w:pPr>
      <w:r>
        <w:rPr>
          <w:rFonts w:ascii="Calibri" w:cs="Calibri" w:eastAsia="Calibri" w:hAnsi="Calibri"/>
          <w:color w:val="404040"/>
          <w:sz w:val="22"/>
          <w:szCs w:val="22"/>
        </w:rPr>
        <w:t xml:space="preserve">Private agent registry with signature verification and access control.</w:t>
      </w:r>
    </w:p>
    <w:p>
      <w:pPr>
        <w:pStyle w:val="ListParagraph"/>
        <w:numPr>
          <w:ilvl w:val="0"/>
          <w:numId w:val="2"/>
        </w:numPr>
        <w:spacing w:after="60" w:before="40" w:line="280"/>
      </w:pPr>
      <w:r>
        <w:rPr>
          <w:rFonts w:ascii="Calibri" w:cs="Calibri" w:eastAsia="Calibri" w:hAnsi="Calibri"/>
          <w:color w:val="404040"/>
          <w:sz w:val="22"/>
          <w:szCs w:val="22"/>
        </w:rPr>
        <w:t xml:space="preserve">Reference agent deployed through the pipeline with full evaluation, signing, and promotion history.</w:t>
      </w:r>
    </w:p>
    <w:p>
      <w:pPr>
        <w:pStyle w:val="ListParagraph"/>
        <w:numPr>
          <w:ilvl w:val="0"/>
          <w:numId w:val="2"/>
        </w:numPr>
        <w:spacing w:after="60" w:before="40" w:line="280"/>
      </w:pPr>
      <w:r>
        <w:rPr>
          <w:rFonts w:ascii="Calibri" w:cs="Calibri" w:eastAsia="Calibri" w:hAnsi="Calibri"/>
          <w:color w:val="404040"/>
          <w:sz w:val="22"/>
          <w:szCs w:val="22"/>
        </w:rPr>
        <w:t xml:space="preserve">Pipeline runbooks, including incident response and rollback procedures.</w:t>
      </w:r>
    </w:p>
    <w:p>
      <w:pPr>
        <w:pStyle w:val="ListParagraph"/>
        <w:numPr>
          <w:ilvl w:val="0"/>
          <w:numId w:val="2"/>
        </w:numPr>
        <w:spacing w:after="60" w:before="40" w:line="280"/>
      </w:pPr>
      <w:r>
        <w:rPr>
          <w:rFonts w:ascii="Calibri" w:cs="Calibri" w:eastAsia="Calibri" w:hAnsi="Calibri"/>
          <w:color w:val="404040"/>
          <w:sz w:val="22"/>
          <w:szCs w:val="22"/>
        </w:rPr>
        <w:t xml:space="preserve">Developer documentation and self-service templates for teams building future agents.</w:t>
      </w:r>
    </w:p>
    <w:p>
      <w:pPr>
        <w:spacing w:after="200" w:before="0"/>
      </w:pPr>
      <w:r>
        <w:t xml:space="preserve"/>
      </w:r>
    </w:p>
    <w:p>
      <w:pPr>
        <w:pStyle w:val="Heading2"/>
        <w:spacing w:after="120" w:before="280"/>
      </w:pPr>
      <w:r>
        <w:rPr>
          <w:rFonts w:ascii="Calibri" w:cs="Calibri" w:eastAsia="Calibri" w:hAnsi="Calibri"/>
          <w:b/>
          <w:bCs/>
          <w:color w:val="1F3864"/>
          <w:sz w:val="28"/>
          <w:szCs w:val="28"/>
        </w:rPr>
        <w:t xml:space="preserve">6.4 Managed Agent Program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Engagement Type</w:t>
            </w:r>
          </w:p>
          <w:p>
            <w:pPr>
              <w:spacing w:after="0" w:before="0"/>
            </w:pPr>
            <w:r>
              <w:rPr>
                <w:rFonts w:ascii="Calibri" w:cs="Calibri" w:eastAsia="Calibri" w:hAnsi="Calibri"/>
                <w:b/>
                <w:bCs/>
                <w:color w:val="1F3864"/>
                <w:sz w:val="22"/>
                <w:szCs w:val="22"/>
              </w:rPr>
              <w:t xml:space="preserve">Expand — Tier 2</w:t>
            </w:r>
          </w:p>
        </w:tc>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Duration</w:t>
            </w:r>
          </w:p>
          <w:p>
            <w:pPr>
              <w:spacing w:after="0" w:before="0"/>
            </w:pPr>
            <w:r>
              <w:rPr>
                <w:rFonts w:ascii="Calibri" w:cs="Calibri" w:eastAsia="Calibri" w:hAnsi="Calibri"/>
                <w:b/>
                <w:bCs/>
                <w:color w:val="1F3864"/>
                <w:sz w:val="22"/>
                <w:szCs w:val="22"/>
              </w:rPr>
              <w:t xml:space="preserve">Ongoing, quarterly cadence</w:t>
            </w:r>
          </w:p>
        </w:tc>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Pricing Model</w:t>
            </w:r>
          </w:p>
          <w:p>
            <w:pPr>
              <w:spacing w:after="0" w:before="0"/>
            </w:pPr>
            <w:r>
              <w:rPr>
                <w:rFonts w:ascii="Calibri" w:cs="Calibri" w:eastAsia="Calibri" w:hAnsi="Calibri"/>
                <w:b/>
                <w:bCs/>
                <w:color w:val="1F3864"/>
                <w:sz w:val="22"/>
                <w:szCs w:val="22"/>
              </w:rPr>
              <w:t xml:space="preserve">Monthly retainer</w:t>
            </w:r>
          </w:p>
        </w:tc>
      </w:tr>
    </w:tbl>
    <w:p>
      <w:pPr>
        <w:spacing w:after="140" w:before="0"/>
      </w:pPr>
      <w:r>
        <w:t xml:space="preserve"/>
      </w:r>
    </w:p>
    <w:p>
      <w:pPr>
        <w:pStyle w:val="Heading3"/>
        <w:spacing w:after="80" w:before="200"/>
      </w:pPr>
      <w:r>
        <w:rPr>
          <w:rFonts w:ascii="Calibri" w:cs="Calibri" w:eastAsia="Calibri" w:hAnsi="Calibri"/>
          <w:b/>
          <w:bCs/>
          <w:color w:val="2E75B6"/>
          <w:sz w:val="24"/>
          <w:szCs w:val="24"/>
        </w:rPr>
        <w:t xml:space="preserve">Scope</w:t>
      </w:r>
    </w:p>
    <w:p>
      <w:pPr>
        <w:spacing w:after="120" w:before="80" w:line="300"/>
      </w:pPr>
      <w:r>
        <w:rPr>
          <w:rFonts w:ascii="Calibri" w:cs="Calibri" w:eastAsia="Calibri" w:hAnsi="Calibri"/>
          <w:color w:val="404040"/>
          <w:sz w:val="22"/>
          <w:szCs w:val="22"/>
        </w:rPr>
        <w:t xml:space="preserve">A continuous security, quality, and operational assurance engagement that keeps pace with your expanding agent portfolio and the evolving threat landscape. The program is designed for organizations operating five or more production agents, or operating in regulated industries where continuous assurance is a compliance requirement.</w:t>
      </w:r>
    </w:p>
    <w:p>
      <w:pPr>
        <w:spacing w:after="120" w:before="80" w:line="300"/>
      </w:pPr>
      <w:r>
        <w:rPr>
          <w:rFonts w:ascii="Calibri" w:cs="Calibri" w:eastAsia="Calibri" w:hAnsi="Calibri"/>
          <w:color w:val="404040"/>
          <w:sz w:val="22"/>
          <w:szCs w:val="22"/>
        </w:rPr>
        <w:t xml:space="preserve">Program components include: quarterly red-team exercises against production agents updated for newly disclosed attack vectors; maturity reassessments tracking progress across all seven pillars; pre-release change reviews for new agents, prompt updates, and RAG index rebuilds; incident response support for agent-specific incidents including jailbreaks, data exposure, and behavior anomalies; and curated threat intelligence briefings relevant to your agent stack.</w:t>
      </w:r>
    </w:p>
    <w:p>
      <w:pPr>
        <w:pStyle w:val="Heading3"/>
        <w:spacing w:after="80" w:before="200"/>
      </w:pPr>
      <w:r>
        <w:rPr>
          <w:rFonts w:ascii="Calibri" w:cs="Calibri" w:eastAsia="Calibri" w:hAnsi="Calibri"/>
          <w:b/>
          <w:bCs/>
          <w:color w:val="2E75B6"/>
          <w:sz w:val="24"/>
          <w:szCs w:val="24"/>
        </w:rPr>
        <w:t xml:space="preserve">Deliverables</w:t>
      </w:r>
    </w:p>
    <w:p>
      <w:pPr>
        <w:pStyle w:val="ListParagraph"/>
        <w:numPr>
          <w:ilvl w:val="0"/>
          <w:numId w:val="2"/>
        </w:numPr>
        <w:spacing w:after="60" w:before="40" w:line="280"/>
      </w:pPr>
      <w:r>
        <w:rPr>
          <w:rFonts w:ascii="Calibri" w:cs="Calibri" w:eastAsia="Calibri" w:hAnsi="Calibri"/>
          <w:color w:val="404040"/>
          <w:sz w:val="22"/>
          <w:szCs w:val="22"/>
        </w:rPr>
        <w:t xml:space="preserve">Quarterly red-team exercise reports with findings and regression tests.</w:t>
      </w:r>
    </w:p>
    <w:p>
      <w:pPr>
        <w:pStyle w:val="ListParagraph"/>
        <w:numPr>
          <w:ilvl w:val="0"/>
          <w:numId w:val="2"/>
        </w:numPr>
        <w:spacing w:after="60" w:before="40" w:line="280"/>
      </w:pPr>
      <w:r>
        <w:rPr>
          <w:rFonts w:ascii="Calibri" w:cs="Calibri" w:eastAsia="Calibri" w:hAnsi="Calibri"/>
          <w:color w:val="404040"/>
          <w:sz w:val="22"/>
          <w:szCs w:val="22"/>
        </w:rPr>
        <w:t xml:space="preserve">Quarterly maturity reassessment with trend analysis and adjusted roadmap.</w:t>
      </w:r>
    </w:p>
    <w:p>
      <w:pPr>
        <w:pStyle w:val="ListParagraph"/>
        <w:numPr>
          <w:ilvl w:val="0"/>
          <w:numId w:val="2"/>
        </w:numPr>
        <w:spacing w:after="60" w:before="40" w:line="280"/>
      </w:pPr>
      <w:r>
        <w:rPr>
          <w:rFonts w:ascii="Calibri" w:cs="Calibri" w:eastAsia="Calibri" w:hAnsi="Calibri"/>
          <w:color w:val="404040"/>
          <w:sz w:val="22"/>
          <w:szCs w:val="22"/>
        </w:rPr>
        <w:t xml:space="preserve">Change review documentation for every pre-release submission.</w:t>
      </w:r>
    </w:p>
    <w:p>
      <w:pPr>
        <w:pStyle w:val="ListParagraph"/>
        <w:numPr>
          <w:ilvl w:val="0"/>
          <w:numId w:val="2"/>
        </w:numPr>
        <w:spacing w:after="60" w:before="40" w:line="280"/>
      </w:pPr>
      <w:r>
        <w:rPr>
          <w:rFonts w:ascii="Calibri" w:cs="Calibri" w:eastAsia="Calibri" w:hAnsi="Calibri"/>
          <w:color w:val="404040"/>
          <w:sz w:val="22"/>
          <w:szCs w:val="22"/>
        </w:rPr>
        <w:t xml:space="preserve">Monthly threat intelligence briefing.</w:t>
      </w:r>
    </w:p>
    <w:p>
      <w:pPr>
        <w:pStyle w:val="ListParagraph"/>
        <w:numPr>
          <w:ilvl w:val="0"/>
          <w:numId w:val="2"/>
        </w:numPr>
        <w:spacing w:after="60" w:before="40" w:line="280"/>
      </w:pPr>
      <w:r>
        <w:rPr>
          <w:rFonts w:ascii="Calibri" w:cs="Calibri" w:eastAsia="Calibri" w:hAnsi="Calibri"/>
          <w:color w:val="404040"/>
          <w:sz w:val="22"/>
          <w:szCs w:val="22"/>
        </w:rPr>
        <w:t xml:space="preserve">On-call access to FluentData engineering for agent-specific incidents.</w:t>
      </w:r>
    </w:p>
    <w:p>
      <w:pPr>
        <w:pStyle w:val="ListParagraph"/>
        <w:numPr>
          <w:ilvl w:val="0"/>
          <w:numId w:val="2"/>
        </w:numPr>
        <w:spacing w:after="60" w:before="40" w:line="280"/>
      </w:pPr>
      <w:r>
        <w:rPr>
          <w:rFonts w:ascii="Calibri" w:cs="Calibri" w:eastAsia="Calibri" w:hAnsi="Calibri"/>
          <w:color w:val="404040"/>
          <w:sz w:val="22"/>
          <w:szCs w:val="22"/>
        </w:rPr>
        <w:t xml:space="preserve">Annual executive review summarizing program outcomes and strategic recommendations.</w:t>
      </w:r>
    </w:p>
    <w:p>
      <w:pPr>
        <w:spacing w:after="200" w:before="0"/>
      </w:pPr>
      <w:r>
        <w:t xml:space="preserve"/>
      </w:r>
    </w:p>
    <w:p>
      <w:pPr>
        <w:pStyle w:val="Heading2"/>
        <w:spacing w:after="120" w:before="280"/>
      </w:pPr>
      <w:r>
        <w:rPr>
          <w:rFonts w:ascii="Calibri" w:cs="Calibri" w:eastAsia="Calibri" w:hAnsi="Calibri"/>
          <w:b/>
          <w:bCs/>
          <w:color w:val="1F3864"/>
          <w:sz w:val="28"/>
          <w:szCs w:val="28"/>
        </w:rPr>
        <w:t xml:space="preserve">6.5 Strategic Advisory &amp; Enablement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Engagement Type</w:t>
            </w:r>
          </w:p>
          <w:p>
            <w:pPr>
              <w:spacing w:after="0" w:before="0"/>
            </w:pPr>
            <w:r>
              <w:rPr>
                <w:rFonts w:ascii="Calibri" w:cs="Calibri" w:eastAsia="Calibri" w:hAnsi="Calibri"/>
                <w:b/>
                <w:bCs/>
                <w:color w:val="1F3864"/>
                <w:sz w:val="22"/>
                <w:szCs w:val="22"/>
              </w:rPr>
              <w:t xml:space="preserve">Expand — Tier 3</w:t>
            </w:r>
          </w:p>
        </w:tc>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Duration</w:t>
            </w:r>
          </w:p>
          <w:p>
            <w:pPr>
              <w:spacing w:after="0" w:before="0"/>
            </w:pPr>
            <w:r>
              <w:rPr>
                <w:rFonts w:ascii="Calibri" w:cs="Calibri" w:eastAsia="Calibri" w:hAnsi="Calibri"/>
                <w:b/>
                <w:bCs/>
                <w:color w:val="1F3864"/>
                <w:sz w:val="22"/>
                <w:szCs w:val="22"/>
              </w:rPr>
              <w:t xml:space="preserve">Engagement-based, variable</w:t>
            </w:r>
          </w:p>
        </w:tc>
        <w:tc>
          <w:tcPr>
            <w:tcW w:type="dxa" w:w="3120"/>
            <w:tcBorders>
              <w:top w:val="single" w:color="BFBFBF" w:sz="4"/>
              <w:left w:val="single" w:color="BFBFBF" w:sz="4"/>
              <w:bottom w:val="single" w:color="BFBFBF" w:sz="4"/>
              <w:right w:val="single" w:color="BFBFBF" w:sz="4"/>
            </w:tcBorders>
            <w:shd w:fill="F2F2F2" w:val="clear"/>
            <w:tcMar>
              <w:top w:type="dxa" w:w="120"/>
              <w:left w:type="dxa" w:w="160"/>
              <w:bottom w:type="dxa" w:w="120"/>
              <w:right w:type="dxa" w:w="160"/>
            </w:tcMar>
          </w:tcPr>
          <w:p>
            <w:pPr>
              <w:spacing w:after="40" w:before="0"/>
            </w:pPr>
            <w:r>
              <w:rPr>
                <w:rFonts w:ascii="Calibri" w:cs="Calibri" w:eastAsia="Calibri" w:hAnsi="Calibri"/>
                <w:color w:val="808080"/>
                <w:sz w:val="18"/>
                <w:szCs w:val="18"/>
              </w:rPr>
              <w:t xml:space="preserve">Pricing Model</w:t>
            </w:r>
          </w:p>
          <w:p>
            <w:pPr>
              <w:spacing w:after="0" w:before="0"/>
            </w:pPr>
            <w:r>
              <w:rPr>
                <w:rFonts w:ascii="Calibri" w:cs="Calibri" w:eastAsia="Calibri" w:hAnsi="Calibri"/>
                <w:b/>
                <w:bCs/>
                <w:color w:val="1F3864"/>
                <w:sz w:val="22"/>
                <w:szCs w:val="22"/>
              </w:rPr>
              <w:t xml:space="preserve">Scoped per engagement</w:t>
            </w:r>
          </w:p>
        </w:tc>
      </w:tr>
    </w:tbl>
    <w:p>
      <w:pPr>
        <w:spacing w:after="140" w:before="0"/>
      </w:pPr>
      <w:r>
        <w:t xml:space="preserve"/>
      </w:r>
    </w:p>
    <w:p>
      <w:pPr>
        <w:pStyle w:val="Heading3"/>
        <w:spacing w:after="80" w:before="200"/>
      </w:pPr>
      <w:r>
        <w:rPr>
          <w:rFonts w:ascii="Calibri" w:cs="Calibri" w:eastAsia="Calibri" w:hAnsi="Calibri"/>
          <w:b/>
          <w:bCs/>
          <w:color w:val="2E75B6"/>
          <w:sz w:val="24"/>
          <w:szCs w:val="24"/>
        </w:rPr>
        <w:t xml:space="preserve">Scope</w:t>
      </w:r>
    </w:p>
    <w:p>
      <w:pPr>
        <w:spacing w:after="120" w:before="80" w:line="300"/>
      </w:pPr>
      <w:r>
        <w:rPr>
          <w:rFonts w:ascii="Calibri" w:cs="Calibri" w:eastAsia="Calibri" w:hAnsi="Calibri"/>
          <w:color w:val="404040"/>
          <w:sz w:val="22"/>
          <w:szCs w:val="22"/>
        </w:rPr>
        <w:t xml:space="preserve">For organizations scaling agents across multiple business units, FluentData provides executive-level advisory to build lasting internal capability. Engagements are shaped to the specific organizational challenge and typically involve FluentData principals working directly with CIO, CTO, CISO, or Chief AI Officer teams.</w:t>
      </w:r>
    </w:p>
    <w:p>
      <w:pPr>
        <w:spacing w:after="120" w:before="80" w:line="300"/>
      </w:pPr>
      <w:r>
        <w:rPr>
          <w:rFonts w:ascii="Calibri" w:cs="Calibri" w:eastAsia="Calibri" w:hAnsi="Calibri"/>
          <w:color w:val="404040"/>
          <w:sz w:val="22"/>
          <w:szCs w:val="22"/>
        </w:rPr>
        <w:t xml:space="preserve">Common engagement areas include: Agent Center of Excellence design (organizational structure, team composition, operating model); enterprise policy and standards development (acceptable use, responsible AI guidelines, vendor evaluation); regulatory readiness (EU AI Act, NIST AI RMF, sector-specific frameworks); and training programs for engineering and security teams on agent-specific practices.</w:t>
      </w:r>
    </w:p>
    <w:p>
      <w:pPr>
        <w:pStyle w:val="Heading3"/>
        <w:spacing w:after="80" w:before="200"/>
      </w:pPr>
      <w:r>
        <w:rPr>
          <w:rFonts w:ascii="Calibri" w:cs="Calibri" w:eastAsia="Calibri" w:hAnsi="Calibri"/>
          <w:b/>
          <w:bCs/>
          <w:color w:val="2E75B6"/>
          <w:sz w:val="24"/>
          <w:szCs w:val="24"/>
        </w:rPr>
        <w:t xml:space="preserve">Deliverables</w:t>
      </w:r>
    </w:p>
    <w:p>
      <w:pPr>
        <w:pStyle w:val="ListParagraph"/>
        <w:numPr>
          <w:ilvl w:val="0"/>
          <w:numId w:val="2"/>
        </w:numPr>
        <w:spacing w:after="60" w:before="40" w:line="280"/>
      </w:pPr>
      <w:r>
        <w:rPr>
          <w:rFonts w:ascii="Calibri" w:cs="Calibri" w:eastAsia="Calibri" w:hAnsi="Calibri"/>
          <w:color w:val="404040"/>
          <w:sz w:val="22"/>
          <w:szCs w:val="22"/>
        </w:rPr>
        <w:t xml:space="preserve">Target operating model documentation for agent delivery at scale.</w:t>
      </w:r>
    </w:p>
    <w:p>
      <w:pPr>
        <w:pStyle w:val="ListParagraph"/>
        <w:numPr>
          <w:ilvl w:val="0"/>
          <w:numId w:val="2"/>
        </w:numPr>
        <w:spacing w:after="60" w:before="40" w:line="280"/>
      </w:pPr>
      <w:r>
        <w:rPr>
          <w:rFonts w:ascii="Calibri" w:cs="Calibri" w:eastAsia="Calibri" w:hAnsi="Calibri"/>
          <w:color w:val="404040"/>
          <w:sz w:val="22"/>
          <w:szCs w:val="22"/>
        </w:rPr>
        <w:t xml:space="preserve">Enterprise policy artifacts suitable for executive approval and publication.</w:t>
      </w:r>
    </w:p>
    <w:p>
      <w:pPr>
        <w:pStyle w:val="ListParagraph"/>
        <w:numPr>
          <w:ilvl w:val="0"/>
          <w:numId w:val="2"/>
        </w:numPr>
        <w:spacing w:after="60" w:before="40" w:line="280"/>
      </w:pPr>
      <w:r>
        <w:rPr>
          <w:rFonts w:ascii="Calibri" w:cs="Calibri" w:eastAsia="Calibri" w:hAnsi="Calibri"/>
          <w:color w:val="404040"/>
          <w:sz w:val="22"/>
          <w:szCs w:val="22"/>
        </w:rPr>
        <w:t xml:space="preserve">Regulatory gap analysis and remediation plan aligned to applicable frameworks.</w:t>
      </w:r>
    </w:p>
    <w:p>
      <w:pPr>
        <w:pStyle w:val="ListParagraph"/>
        <w:numPr>
          <w:ilvl w:val="0"/>
          <w:numId w:val="2"/>
        </w:numPr>
        <w:spacing w:after="60" w:before="40" w:line="280"/>
      </w:pPr>
      <w:r>
        <w:rPr>
          <w:rFonts w:ascii="Calibri" w:cs="Calibri" w:eastAsia="Calibri" w:hAnsi="Calibri"/>
          <w:color w:val="404040"/>
          <w:sz w:val="22"/>
          <w:szCs w:val="22"/>
        </w:rPr>
        <w:t xml:space="preserve">Training curriculum and facilitator delivery for engineering and security teams.</w:t>
      </w:r>
    </w:p>
    <w:p>
      <w:pPr>
        <w:pStyle w:val="ListParagraph"/>
        <w:numPr>
          <w:ilvl w:val="0"/>
          <w:numId w:val="2"/>
        </w:numPr>
        <w:spacing w:after="60" w:before="40" w:line="280"/>
      </w:pPr>
      <w:r>
        <w:rPr>
          <w:rFonts w:ascii="Calibri" w:cs="Calibri" w:eastAsia="Calibri" w:hAnsi="Calibri"/>
          <w:color w:val="404040"/>
          <w:sz w:val="22"/>
          <w:szCs w:val="22"/>
        </w:rPr>
        <w:t xml:space="preserve">Executive-level strategic recommendations and ongoing advisory access.</w:t>
      </w:r>
    </w:p>
    <w:p>
      <w:pPr>
        <w:spacing w:after="200" w:before="0"/>
      </w:pPr>
      <w:r>
        <w:t xml:space="preserve"/>
      </w:r>
    </w:p>
    <w:p>
      <w:r>
        <w:br w:type="page"/>
      </w:r>
    </w:p>
    <w:p>
      <w:pPr>
        <w:pStyle w:val="Heading1"/>
        <w:spacing w:after="180" w:before="360"/>
      </w:pPr>
      <w:r>
        <w:rPr>
          <w:rFonts w:ascii="Calibri" w:cs="Calibri" w:eastAsia="Calibri" w:hAnsi="Calibri"/>
          <w:b/>
          <w:bCs/>
          <w:color w:val="1F3864"/>
          <w:sz w:val="36"/>
          <w:szCs w:val="36"/>
        </w:rPr>
        <w:t xml:space="preserve">7. Engagement Summary &amp; Next Steps</w:t>
      </w:r>
    </w:p>
    <w:p>
      <w:pPr>
        <w:spacing w:after="120" w:before="80" w:line="300"/>
      </w:pPr>
      <w:r>
        <w:rPr>
          <w:rFonts w:ascii="Calibri" w:cs="Calibri" w:eastAsia="Calibri" w:hAnsi="Calibri"/>
          <w:color w:val="404040"/>
          <w:sz w:val="22"/>
          <w:szCs w:val="22"/>
        </w:rPr>
        <w:t xml:space="preserve">The following table summarizes FluentData's service tiers and their relationship to Zil adoption. Most organizations begin with the Agent Readiness Assessment, expand into targeted sprints based on assessment findings, and enter the Managed Agent Program once multiple agents are in production.</w:t>
      </w:r>
    </w:p>
    <w:p>
      <w:pPr>
        <w:spacing w:after="200" w:before="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00"/>
        <w:gridCol w:w="3560"/>
        <w:gridCol w:w="1800"/>
        <w:gridCol w:w="1400"/>
        <w:gridCol w:w="1200"/>
      </w:tblGrid>
      <w:tr>
        <w:trPr>
          <w:tblHeader/>
        </w:trPr>
        <w:tc>
          <w:tcPr>
            <w:tcW w:type="dxa" w:w="140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pPr>
            <w:r>
              <w:rPr>
                <w:rFonts w:ascii="Calibri" w:cs="Calibri" w:eastAsia="Calibri" w:hAnsi="Calibri"/>
                <w:b/>
                <w:bCs/>
                <w:color w:val="FFFFFF"/>
                <w:sz w:val="20"/>
                <w:szCs w:val="20"/>
              </w:rPr>
              <w:t xml:space="preserve">Tier</w:t>
            </w:r>
          </w:p>
        </w:tc>
        <w:tc>
          <w:tcPr>
            <w:tcW w:type="dxa" w:w="356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pPr>
            <w:r>
              <w:rPr>
                <w:rFonts w:ascii="Calibri" w:cs="Calibri" w:eastAsia="Calibri" w:hAnsi="Calibri"/>
                <w:b/>
                <w:bCs/>
                <w:color w:val="FFFFFF"/>
                <w:sz w:val="20"/>
                <w:szCs w:val="20"/>
              </w:rPr>
              <w:t xml:space="preserve">Service</w:t>
            </w:r>
          </w:p>
        </w:tc>
        <w:tc>
          <w:tcPr>
            <w:tcW w:type="dxa" w:w="180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pPr>
            <w:r>
              <w:rPr>
                <w:rFonts w:ascii="Calibri" w:cs="Calibri" w:eastAsia="Calibri" w:hAnsi="Calibri"/>
                <w:b/>
                <w:bCs/>
                <w:color w:val="FFFFFF"/>
                <w:sz w:val="20"/>
                <w:szCs w:val="20"/>
              </w:rPr>
              <w:t xml:space="preserve">Duration</w:t>
            </w:r>
          </w:p>
        </w:tc>
        <w:tc>
          <w:tcPr>
            <w:tcW w:type="dxa" w:w="140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pPr>
            <w:r>
              <w:rPr>
                <w:rFonts w:ascii="Calibri" w:cs="Calibri" w:eastAsia="Calibri" w:hAnsi="Calibri"/>
                <w:b/>
                <w:bCs/>
                <w:color w:val="FFFFFF"/>
                <w:sz w:val="20"/>
                <w:szCs w:val="20"/>
              </w:rPr>
              <w:t xml:space="preserve">Cadence</w:t>
            </w:r>
          </w:p>
        </w:tc>
        <w:tc>
          <w:tcPr>
            <w:tcW w:type="dxa" w:w="1200"/>
            <w:tcBorders>
              <w:top w:val="single" w:color="BFBFBF" w:sz="4"/>
              <w:left w:val="single" w:color="BFBFBF" w:sz="4"/>
              <w:bottom w:val="single" w:color="BFBFBF" w:sz="4"/>
              <w:right w:val="single" w:color="BFBFBF" w:sz="4"/>
            </w:tcBorders>
            <w:shd w:fill="1F3864" w:val="clear"/>
            <w:tcMar>
              <w:top w:type="dxa" w:w="120"/>
              <w:left w:type="dxa" w:w="160"/>
              <w:bottom w:type="dxa" w:w="120"/>
              <w:right w:type="dxa" w:w="160"/>
            </w:tcMar>
          </w:tcPr>
          <w:p>
            <w:pPr>
              <w:spacing w:after="0" w:before="0" w:line="280"/>
            </w:pPr>
            <w:r>
              <w:rPr>
                <w:rFonts w:ascii="Calibri" w:cs="Calibri" w:eastAsia="Calibri" w:hAnsi="Calibri"/>
                <w:b/>
                <w:bCs/>
                <w:color w:val="FFFFFF"/>
                <w:sz w:val="20"/>
                <w:szCs w:val="20"/>
              </w:rPr>
              <w:t xml:space="preserve">Model</w:t>
            </w:r>
          </w:p>
        </w:tc>
      </w:tr>
      <w:tr>
        <w:tc>
          <w:tcPr>
            <w:tcW w:type="dxa" w:w="1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Land</w:t>
            </w:r>
          </w:p>
        </w:tc>
        <w:tc>
          <w:tcPr>
            <w:tcW w:type="dxa" w:w="35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Agent Readiness Assessment</w:t>
            </w:r>
          </w:p>
        </w:tc>
        <w:tc>
          <w:tcPr>
            <w:tcW w:type="dxa" w:w="18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2–3 weeks</w:t>
            </w:r>
          </w:p>
        </w:tc>
        <w:tc>
          <w:tcPr>
            <w:tcW w:type="dxa" w:w="1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One-time</w:t>
            </w:r>
          </w:p>
        </w:tc>
        <w:tc>
          <w:tcPr>
            <w:tcW w:type="dxa" w:w="12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Fixed fee</w:t>
            </w:r>
          </w:p>
        </w:tc>
      </w:tr>
      <w:tr>
        <w:tc>
          <w:tcPr>
            <w:tcW w:type="dxa" w:w="1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Expand 1</w:t>
            </w:r>
          </w:p>
        </w:tc>
        <w:tc>
          <w:tcPr>
            <w:tcW w:type="dxa" w:w="35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Hardening Sprints</w:t>
            </w:r>
          </w:p>
        </w:tc>
        <w:tc>
          <w:tcPr>
            <w:tcW w:type="dxa" w:w="18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4–8 weeks</w:t>
            </w:r>
          </w:p>
        </w:tc>
        <w:tc>
          <w:tcPr>
            <w:tcW w:type="dxa" w:w="1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As needed</w:t>
            </w:r>
          </w:p>
        </w:tc>
        <w:tc>
          <w:tcPr>
            <w:tcW w:type="dxa" w:w="12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Per sprint</w:t>
            </w:r>
          </w:p>
        </w:tc>
      </w:tr>
      <w:tr>
        <w:tc>
          <w:tcPr>
            <w:tcW w:type="dxa" w:w="1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Expand 1.5</w:t>
            </w:r>
          </w:p>
        </w:tc>
        <w:tc>
          <w:tcPr>
            <w:tcW w:type="dxa" w:w="35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Agent Packaging &amp; CI/CD Sprint</w:t>
            </w:r>
          </w:p>
        </w:tc>
        <w:tc>
          <w:tcPr>
            <w:tcW w:type="dxa" w:w="18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6–8 weeks</w:t>
            </w:r>
          </w:p>
        </w:tc>
        <w:tc>
          <w:tcPr>
            <w:tcW w:type="dxa" w:w="1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One-time</w:t>
            </w:r>
          </w:p>
        </w:tc>
        <w:tc>
          <w:tcPr>
            <w:tcW w:type="dxa" w:w="12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Fixed fee</w:t>
            </w:r>
          </w:p>
        </w:tc>
      </w:tr>
      <w:tr>
        <w:tc>
          <w:tcPr>
            <w:tcW w:type="dxa" w:w="1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Expand 2</w:t>
            </w:r>
          </w:p>
        </w:tc>
        <w:tc>
          <w:tcPr>
            <w:tcW w:type="dxa" w:w="35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Managed Agent Program</w:t>
            </w:r>
          </w:p>
        </w:tc>
        <w:tc>
          <w:tcPr>
            <w:tcW w:type="dxa" w:w="18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Ongoing</w:t>
            </w:r>
          </w:p>
        </w:tc>
        <w:tc>
          <w:tcPr>
            <w:tcW w:type="dxa" w:w="1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Quarterly</w:t>
            </w:r>
          </w:p>
        </w:tc>
        <w:tc>
          <w:tcPr>
            <w:tcW w:type="dxa" w:w="12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Retainer</w:t>
            </w:r>
          </w:p>
        </w:tc>
      </w:tr>
      <w:tr>
        <w:tc>
          <w:tcPr>
            <w:tcW w:type="dxa" w:w="1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b/>
                <w:bCs/>
                <w:color w:val="2E75B6"/>
                <w:sz w:val="20"/>
                <w:szCs w:val="20"/>
              </w:rPr>
              <w:t xml:space="preserve">Expand 3</w:t>
            </w:r>
          </w:p>
        </w:tc>
        <w:tc>
          <w:tcPr>
            <w:tcW w:type="dxa" w:w="356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404040"/>
                <w:sz w:val="20"/>
                <w:szCs w:val="20"/>
              </w:rPr>
              <w:t xml:space="preserve">Strategic Advisory</w:t>
            </w:r>
          </w:p>
        </w:tc>
        <w:tc>
          <w:tcPr>
            <w:tcW w:type="dxa" w:w="18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Variable</w:t>
            </w:r>
          </w:p>
        </w:tc>
        <w:tc>
          <w:tcPr>
            <w:tcW w:type="dxa" w:w="14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As needed</w:t>
            </w:r>
          </w:p>
        </w:tc>
        <w:tc>
          <w:tcPr>
            <w:tcW w:type="dxa" w:w="1200"/>
            <w:tcBorders>
              <w:top w:val="single" w:color="BFBFBF" w:sz="4"/>
              <w:left w:val="single" w:color="BFBFBF" w:sz="4"/>
              <w:bottom w:val="single" w:color="BFBFBF" w:sz="4"/>
              <w:right w:val="single" w:color="BFBFBF" w:sz="4"/>
            </w:tcBorders>
            <w:tcMar>
              <w:top w:type="dxa" w:w="120"/>
              <w:left w:type="dxa" w:w="160"/>
              <w:bottom w:type="dxa" w:w="120"/>
              <w:right w:type="dxa" w:w="160"/>
            </w:tcMar>
          </w:tcPr>
          <w:p>
            <w:pPr>
              <w:spacing w:after="0" w:before="0" w:line="280"/>
            </w:pPr>
            <w:r>
              <w:rPr>
                <w:rFonts w:ascii="Calibri" w:cs="Calibri" w:eastAsia="Calibri" w:hAnsi="Calibri"/>
                <w:color w:val="808080"/>
                <w:sz w:val="20"/>
                <w:szCs w:val="20"/>
              </w:rPr>
              <w:t xml:space="preserve">Per engagement</w:t>
            </w:r>
          </w:p>
        </w:tc>
      </w:tr>
    </w:tbl>
    <w:p>
      <w:pPr>
        <w:spacing w:after="240" w:before="0"/>
      </w:pPr>
      <w:r>
        <w:t xml:space="preserve"/>
      </w:r>
    </w:p>
    <w:p>
      <w:pPr>
        <w:pStyle w:val="Heading3"/>
        <w:spacing w:after="80" w:before="200"/>
      </w:pPr>
      <w:r>
        <w:rPr>
          <w:rFonts w:ascii="Calibri" w:cs="Calibri" w:eastAsia="Calibri" w:hAnsi="Calibri"/>
          <w:b/>
          <w:bCs/>
          <w:color w:val="2E75B6"/>
          <w:sz w:val="24"/>
          <w:szCs w:val="24"/>
        </w:rPr>
        <w:t xml:space="preserve">Recommended Engagement Path</w:t>
      </w:r>
    </w:p>
    <w:p>
      <w:pPr>
        <w:spacing w:after="120" w:before="80" w:line="300"/>
      </w:pPr>
      <w:r>
        <w:rPr>
          <w:rFonts w:ascii="Calibri" w:cs="Calibri" w:eastAsia="Calibri" w:hAnsi="Calibri"/>
          <w:color w:val="404040"/>
          <w:sz w:val="22"/>
          <w:szCs w:val="22"/>
        </w:rPr>
        <w:t xml:space="preserve">For most organizations, FluentData recommends the following progression:</w:t>
      </w:r>
    </w:p>
    <w:p>
      <w:pPr>
        <w:pStyle w:val="ListParagraph"/>
        <w:numPr>
          <w:ilvl w:val="0"/>
          <w:numId w:val="2"/>
        </w:numPr>
        <w:spacing w:after="60" w:before="40" w:line="280"/>
      </w:pPr>
      <w:r>
        <w:rPr>
          <w:rFonts w:ascii="Calibri" w:cs="Calibri" w:eastAsia="Calibri" w:hAnsi="Calibri"/>
          <w:b/>
          <w:bCs/>
          <w:color w:val="404040"/>
          <w:sz w:val="22"/>
          <w:szCs w:val="22"/>
        </w:rPr>
        <w:t xml:space="preserve">Begin with the Agent Readiness Assessment. </w:t>
      </w:r>
      <w:r>
        <w:rPr>
          <w:rFonts w:ascii="Calibri" w:cs="Calibri" w:eastAsia="Calibri" w:hAnsi="Calibri"/>
          <w:color w:val="404040"/>
          <w:sz w:val="22"/>
          <w:szCs w:val="22"/>
        </w:rPr>
        <w:t xml:space="preserve">Establish a baseline maturity score and identify the highest-impact workstreams for your environment.</w:t>
      </w:r>
    </w:p>
    <w:p>
      <w:pPr>
        <w:pStyle w:val="ListParagraph"/>
        <w:numPr>
          <w:ilvl w:val="0"/>
          <w:numId w:val="2"/>
        </w:numPr>
        <w:spacing w:after="60" w:before="40" w:line="280"/>
      </w:pPr>
      <w:r>
        <w:rPr>
          <w:rFonts w:ascii="Calibri" w:cs="Calibri" w:eastAsia="Calibri" w:hAnsi="Calibri"/>
          <w:b/>
          <w:bCs/>
          <w:color w:val="404040"/>
          <w:sz w:val="22"/>
          <w:szCs w:val="22"/>
        </w:rPr>
        <w:t xml:space="preserve">Execute priority Hardening Sprints. </w:t>
      </w:r>
      <w:r>
        <w:rPr>
          <w:rFonts w:ascii="Calibri" w:cs="Calibri" w:eastAsia="Calibri" w:hAnsi="Calibri"/>
          <w:color w:val="404040"/>
          <w:sz w:val="22"/>
          <w:szCs w:val="22"/>
        </w:rPr>
        <w:t xml:space="preserve">Address the top two or three gaps identified in the assessment. For most organizations, this includes packaging and CI/CD, security hardening, and evaluation pipeline.</w:t>
      </w:r>
    </w:p>
    <w:p>
      <w:pPr>
        <w:pStyle w:val="ListParagraph"/>
        <w:numPr>
          <w:ilvl w:val="0"/>
          <w:numId w:val="2"/>
        </w:numPr>
        <w:spacing w:after="60" w:before="40" w:line="280"/>
      </w:pPr>
      <w:r>
        <w:rPr>
          <w:rFonts w:ascii="Calibri" w:cs="Calibri" w:eastAsia="Calibri" w:hAnsi="Calibri"/>
          <w:b/>
          <w:bCs/>
          <w:color w:val="404040"/>
          <w:sz w:val="22"/>
          <w:szCs w:val="22"/>
        </w:rPr>
        <w:t xml:space="preserve">Stand up the Packaging &amp; CI/CD Sprint. </w:t>
      </w:r>
      <w:r>
        <w:rPr>
          <w:rFonts w:ascii="Calibri" w:cs="Calibri" w:eastAsia="Calibri" w:hAnsi="Calibri"/>
          <w:color w:val="404040"/>
          <w:sz w:val="22"/>
          <w:szCs w:val="22"/>
        </w:rPr>
        <w:t xml:space="preserve">Once packaging and CI/CD are in place, subsequent agent deployments are significantly accelerated by the pipeline. This is typically the highest-ROI investment.</w:t>
      </w:r>
    </w:p>
    <w:p>
      <w:pPr>
        <w:pStyle w:val="ListParagraph"/>
        <w:numPr>
          <w:ilvl w:val="0"/>
          <w:numId w:val="2"/>
        </w:numPr>
        <w:spacing w:after="60" w:before="40" w:line="280"/>
      </w:pPr>
      <w:r>
        <w:rPr>
          <w:rFonts w:ascii="Calibri" w:cs="Calibri" w:eastAsia="Calibri" w:hAnsi="Calibri"/>
          <w:b/>
          <w:bCs/>
          <w:color w:val="404040"/>
          <w:sz w:val="22"/>
          <w:szCs w:val="22"/>
        </w:rPr>
        <w:t xml:space="preserve">Enter ongoing assurance. </w:t>
      </w:r>
      <w:r>
        <w:rPr>
          <w:rFonts w:ascii="Calibri" w:cs="Calibri" w:eastAsia="Calibri" w:hAnsi="Calibri"/>
          <w:color w:val="404040"/>
          <w:sz w:val="22"/>
          <w:szCs w:val="22"/>
        </w:rPr>
        <w:t xml:space="preserve">Enter the Managed Agent Program when five or more agents are in production, or immediately upon entering regulated operation.</w:t>
      </w:r>
    </w:p>
    <w:p>
      <w:pPr>
        <w:pStyle w:val="ListParagraph"/>
        <w:numPr>
          <w:ilvl w:val="0"/>
          <w:numId w:val="2"/>
        </w:numPr>
        <w:spacing w:after="60" w:before="40" w:line="280"/>
      </w:pPr>
      <w:r>
        <w:rPr>
          <w:rFonts w:ascii="Calibri" w:cs="Calibri" w:eastAsia="Calibri" w:hAnsi="Calibri"/>
          <w:b/>
          <w:bCs/>
          <w:color w:val="404040"/>
          <w:sz w:val="22"/>
          <w:szCs w:val="22"/>
        </w:rPr>
        <w:t xml:space="preserve">Scale across the organization. </w:t>
      </w:r>
      <w:r>
        <w:rPr>
          <w:rFonts w:ascii="Calibri" w:cs="Calibri" w:eastAsia="Calibri" w:hAnsi="Calibri"/>
          <w:color w:val="404040"/>
          <w:sz w:val="22"/>
          <w:szCs w:val="22"/>
        </w:rPr>
        <w:t xml:space="preserve">Engage Strategic Advisory to formalize operating models, policies, and enablement programs.</w:t>
      </w:r>
    </w:p>
    <w:p>
      <w:pPr>
        <w:spacing w:after="300" w:before="0"/>
      </w:pPr>
      <w:r>
        <w:t xml:space="preserve"/>
      </w:r>
    </w:p>
    <w:p>
      <w:pPr>
        <w:pBdr>
          <w:bottom w:val="single" w:color="2E75B6" w:sz="6" w:space="1"/>
        </w:pBdr>
        <w:spacing w:after="120" w:before="80"/>
      </w:pPr>
      <w:r>
        <w:t xml:space="preserve"/>
      </w:r>
    </w:p>
    <w:p>
      <w:pPr>
        <w:spacing w:after="200" w:before="0"/>
      </w:pPr>
      <w:r>
        <w:t xml:space="preserve"/>
      </w:r>
    </w:p>
    <w:p>
      <w:pPr>
        <w:pStyle w:val="Heading3"/>
        <w:spacing w:after="80" w:before="200"/>
      </w:pPr>
      <w:r>
        <w:rPr>
          <w:rFonts w:ascii="Calibri" w:cs="Calibri" w:eastAsia="Calibri" w:hAnsi="Calibri"/>
          <w:b/>
          <w:bCs/>
          <w:color w:val="2E75B6"/>
          <w:sz w:val="24"/>
          <w:szCs w:val="24"/>
        </w:rPr>
        <w:t xml:space="preserve">Next Steps</w:t>
      </w:r>
    </w:p>
    <w:p>
      <w:pPr>
        <w:spacing w:after="120" w:before="80" w:line="300"/>
      </w:pPr>
      <w:r>
        <w:rPr>
          <w:rFonts w:ascii="Calibri" w:cs="Calibri" w:eastAsia="Calibri" w:hAnsi="Calibri"/>
          <w:color w:val="404040"/>
          <w:sz w:val="22"/>
          <w:szCs w:val="22"/>
        </w:rPr>
        <w:t xml:space="preserve">To schedule a scoping conversation or request a statement of work, contact your FluentData engagement lead.</w:t>
      </w:r>
    </w:p>
    <w:p>
      <w:pPr>
        <w:spacing w:after="300" w:before="0"/>
      </w:pPr>
      <w:r>
        <w:t xml:space="preserve"/>
      </w:r>
    </w:p>
    <w:p>
      <w:pPr>
        <w:spacing w:after="120" w:before="80" w:line="300"/>
      </w:pPr>
      <w:r>
        <w:rPr>
          <w:rFonts w:ascii="Calibri" w:cs="Calibri" w:eastAsia="Calibri" w:hAnsi="Calibri"/>
          <w:b/>
          <w:bCs/>
          <w:color w:val="1F3864"/>
          <w:sz w:val="24"/>
          <w:szCs w:val="24"/>
        </w:rPr>
        <w:t xml:space="preserve">[Contact Name]</w:t>
      </w:r>
    </w:p>
    <w:p>
      <w:pPr>
        <w:spacing w:after="120" w:before="80" w:line="300"/>
      </w:pPr>
      <w:r>
        <w:rPr>
          <w:rFonts w:ascii="Calibri" w:cs="Calibri" w:eastAsia="Calibri" w:hAnsi="Calibri"/>
          <w:color w:val="404040"/>
          <w:sz w:val="22"/>
          <w:szCs w:val="22"/>
        </w:rPr>
        <w:t xml:space="preserve">[Title]</w:t>
      </w:r>
      <w:r>
        <w:rPr>
          <w:rFonts w:ascii="Calibri" w:cs="Calibri" w:eastAsia="Calibri" w:hAnsi="Calibri"/>
          <w:color w:val="808080"/>
          <w:sz w:val="22"/>
          <w:szCs w:val="22"/>
        </w:rPr>
        <w:t xml:space="preserve"> | FluentData</w:t>
      </w:r>
    </w:p>
    <w:p>
      <w:pPr>
        <w:spacing w:after="120" w:before="80" w:line="300"/>
      </w:pPr>
      <w:r>
        <w:rPr>
          <w:rFonts w:ascii="Calibri" w:cs="Calibri" w:eastAsia="Calibri" w:hAnsi="Calibri"/>
          <w:color w:val="2E75B6"/>
          <w:sz w:val="22"/>
          <w:szCs w:val="22"/>
        </w:rPr>
        <w:t xml:space="preserve">[email@fluentdata.com]</w:t>
      </w:r>
      <w:r>
        <w:rPr>
          <w:rFonts w:ascii="Calibri" w:cs="Calibri" w:eastAsia="Calibri" w:hAnsi="Calibri"/>
          <w:color w:val="D9D9D9"/>
          <w:sz w:val="22"/>
          <w:szCs w:val="22"/>
        </w:rPr>
        <w:t xml:space="preserve">  |  </w:t>
      </w:r>
      <w:r>
        <w:rPr>
          <w:rFonts w:ascii="Calibri" w:cs="Calibri" w:eastAsia="Calibri" w:hAnsi="Calibri"/>
          <w:color w:val="404040"/>
          <w:sz w:val="22"/>
          <w:szCs w:val="22"/>
        </w:rPr>
        <w:t xml:space="preserve">[phone]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9D9D9" w:sz="4" w:space="8"/>
      </w:pBdr>
      <w:jc w:val="center"/>
    </w:pPr>
    <w:r>
      <w:rPr>
        <w:rFonts w:ascii="Calibri" w:cs="Calibri" w:eastAsia="Calibri" w:hAnsi="Calibri"/>
        <w:color w:val="808080"/>
        <w:sz w:val="18"/>
        <w:szCs w:val="18"/>
      </w:rPr>
      <w:t xml:space="preserve">Confidential  |  Zil — The FluentData Framework  |  Page </w:t>
    </w:r>
    <w:r>
      <w:rPr>
        <w:rFonts w:ascii="Calibri" w:cs="Calibri" w:eastAsia="Calibri" w:hAnsi="Calibri"/>
        <w:color w:val="808080"/>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27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Calibri" w:cs="Calibri" w:eastAsia="Calibri" w:hAnsi="Calibri"/>
      <w:b/>
      <w:bCs/>
      <w:color w:val="1F3864"/>
      <w:sz w:val="36"/>
      <w:szCs w:val="36"/>
    </w:rPr>
  </w:style>
  <w:style w:type="paragraph" w:styleId="Heading2">
    <w:name w:val="Heading 2"/>
    <w:basedOn w:val="Normal"/>
    <w:next w:val="Normal"/>
    <w:qFormat/>
    <w:pPr>
      <w:spacing w:after="120" w:before="280"/>
      <w:outlineLvl w:val="1"/>
    </w:pPr>
    <w:rPr>
      <w:rFonts w:ascii="Calibri" w:cs="Calibri" w:eastAsia="Calibri" w:hAnsi="Calibri"/>
      <w:b/>
      <w:bCs/>
      <w:color w:val="1F3864"/>
      <w:sz w:val="28"/>
      <w:szCs w:val="28"/>
    </w:rPr>
  </w:style>
  <w:style w:type="paragraph" w:styleId="Heading3">
    <w:name w:val="Heading 3"/>
    <w:basedOn w:val="Normal"/>
    <w:next w:val="Normal"/>
    <w:qFormat/>
    <w:pPr>
      <w:spacing w:after="80" w:before="200"/>
      <w:outlineLvl w:val="2"/>
    </w:pPr>
    <w:rPr>
      <w:rFonts w:ascii="Calibri" w:cs="Calibri" w:eastAsia="Calibri" w:hAnsi="Calibri"/>
      <w:b/>
      <w:bCs/>
      <w:color w:val="2E75B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Zil — The FluentData Framework</dc:title>
  <dc:creator>FluentData</dc:creator>
  <dc:description>A practitioner methodology for deploying production AI agents</dc:description>
  <cp:lastModifiedBy>Un-named</cp:lastModifiedBy>
  <cp:revision>1</cp:revision>
  <dcterms:created xsi:type="dcterms:W3CDTF">2026-04-27T14:08:36.663Z</dcterms:created>
  <dcterms:modified xsi:type="dcterms:W3CDTF">2026-04-27T14:08:36.664Z</dcterms:modified>
</cp:coreProperties>
</file>

<file path=docProps/custom.xml><?xml version="1.0" encoding="utf-8"?>
<Properties xmlns="http://schemas.openxmlformats.org/officeDocument/2006/custom-properties" xmlns:vt="http://schemas.openxmlformats.org/officeDocument/2006/docPropsVTypes"/>
</file>