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17AEA" w14:textId="311302F4" w:rsidR="00195F03" w:rsidRPr="008C7239" w:rsidRDefault="00195F03" w:rsidP="008C7239">
      <w:pPr>
        <w:rPr>
          <w:rFonts w:eastAsiaTheme="minorEastAsia"/>
          <w:b/>
          <w:bCs/>
          <w:sz w:val="28"/>
          <w:szCs w:val="28"/>
          <w:lang w:eastAsia="ja-JP"/>
        </w:rPr>
      </w:pPr>
      <w:r w:rsidRPr="008C7239">
        <w:rPr>
          <w:rFonts w:eastAsiaTheme="minorEastAsia"/>
          <w:b/>
          <w:bCs/>
          <w:sz w:val="28"/>
          <w:szCs w:val="28"/>
          <w:lang w:eastAsia="ja-JP"/>
        </w:rPr>
        <w:t>Supplementary Material</w:t>
      </w:r>
    </w:p>
    <w:p w14:paraId="57B902DF" w14:textId="6C701E8B" w:rsidR="00195F03" w:rsidRDefault="00195F03" w:rsidP="00195F03">
      <w:pPr>
        <w:rPr>
          <w:rFonts w:eastAsiaTheme="minorEastAsia"/>
          <w:lang w:eastAsia="ja-JP"/>
        </w:rPr>
      </w:pPr>
      <w:r w:rsidRPr="00195F03">
        <w:rPr>
          <w:rFonts w:eastAsiaTheme="minorEastAsia"/>
          <w:lang w:eastAsia="ja-JP"/>
        </w:rPr>
        <w:t>Madoka Mori-Yoshimura, et al. Efficacy and safety of avalglucosidase alfa in Japanese patients with late-onset and infantile-onset Pompe diseases: a case series from clinical trials. Molecular Genetics and Metabolism.</w:t>
      </w:r>
    </w:p>
    <w:sdt>
      <w:sdtPr>
        <w:rPr>
          <w:rFonts w:eastAsia="Times New Roman"/>
          <w:b w:val="0"/>
          <w:sz w:val="22"/>
          <w:szCs w:val="22"/>
          <w:lang w:eastAsia="en-US"/>
        </w:rPr>
        <w:id w:val="-1441532626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0E421634" w14:textId="3F1382BD" w:rsidR="008C7239" w:rsidRPr="00B27930" w:rsidRDefault="008C7239" w:rsidP="008C7239">
          <w:pPr>
            <w:pStyle w:val="TOCHeading"/>
            <w:rPr>
              <w:sz w:val="28"/>
              <w:szCs w:val="28"/>
            </w:rPr>
          </w:pPr>
          <w:r w:rsidRPr="00B27930">
            <w:rPr>
              <w:sz w:val="28"/>
              <w:szCs w:val="28"/>
            </w:rPr>
            <w:t>Contents</w:t>
          </w:r>
        </w:p>
        <w:p w14:paraId="07222395" w14:textId="6C7465E1" w:rsidR="008C7239" w:rsidRDefault="008C723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r w:rsidRPr="008C7239">
            <w:fldChar w:fldCharType="begin"/>
          </w:r>
          <w:r w:rsidRPr="008C7239">
            <w:instrText xml:space="preserve"> TOC \o "1-3" \h \z \u </w:instrText>
          </w:r>
          <w:r w:rsidRPr="008C7239">
            <w:fldChar w:fldCharType="separate"/>
          </w:r>
          <w:hyperlink w:anchor="_Toc175130953" w:history="1">
            <w:r w:rsidRPr="004B6520">
              <w:rPr>
                <w:rStyle w:val="Hyperlink"/>
                <w:noProof/>
              </w:rPr>
              <w:t>Supplementary Table 1.</w:t>
            </w:r>
            <w:r w:rsidRPr="004B6520">
              <w:rPr>
                <w:rStyle w:val="Hyperlink"/>
                <w:bCs/>
                <w:noProof/>
              </w:rPr>
              <w:t xml:space="preserve"> Baseline / change in efficacy parameters (primary and secondary endpoints) from baseline to week 49 in a Japanese patient and overall population from the COMET trial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_Toc175130953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BBBF5B" w14:textId="6746DDEC" w:rsidR="008C7239" w:rsidRDefault="008C723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75130954" w:history="1">
            <w:r w:rsidRPr="004B6520">
              <w:rPr>
                <w:rStyle w:val="Hyperlink"/>
                <w:noProof/>
              </w:rPr>
              <w:t>Supplementary Table 2.</w:t>
            </w:r>
            <w:r w:rsidRPr="004B6520">
              <w:rPr>
                <w:rStyle w:val="Hyperlink"/>
                <w:bCs/>
                <w:noProof/>
              </w:rPr>
              <w:t xml:space="preserve"> Baseline / changes in efficacy parameters (secondary endpoints) from baseline to week 25 in Japanese patients and overall population from the Mini-COMET trial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_Toc175130954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A8D0B1" w14:textId="6382AC67" w:rsidR="008C7239" w:rsidRDefault="008C723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75130955" w:history="1">
            <w:r w:rsidRPr="004B6520">
              <w:rPr>
                <w:rStyle w:val="Hyperlink"/>
                <w:bCs/>
                <w:noProof/>
              </w:rPr>
              <w:t>Supplementary Fig. 1.</w:t>
            </w:r>
            <w:r w:rsidRPr="004B6520">
              <w:rPr>
                <w:rStyle w:val="Hyperlink"/>
                <w:noProof/>
              </w:rPr>
              <w:t xml:space="preserve"> </w:t>
            </w:r>
            <w:r w:rsidRPr="004B6520">
              <w:rPr>
                <w:rStyle w:val="Hyperlink"/>
                <w:bCs/>
                <w:noProof/>
              </w:rPr>
              <w:t>Course of ADA titer in Patient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_Toc175130955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5AC67B" w14:textId="6C028E04" w:rsidR="008C7239" w:rsidRDefault="008C723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75130956" w:history="1">
            <w:r w:rsidRPr="004B6520">
              <w:rPr>
                <w:rStyle w:val="Hyperlink"/>
                <w:noProof/>
              </w:rPr>
              <w:t>Supplementary Fig. 2.</w:t>
            </w:r>
            <w:r w:rsidRPr="004B6520">
              <w:rPr>
                <w:rStyle w:val="Hyperlink"/>
                <w:bCs/>
                <w:noProof/>
              </w:rPr>
              <w:t xml:space="preserve"> GMFM-88 total percent score and QMFT total score in (A) Patient 2 (B) Patient 3 (</w:t>
            </w:r>
            <w:r w:rsidRPr="004B6520">
              <w:rPr>
                <w:rStyle w:val="Hyperlink"/>
                <w:rFonts w:ascii="Wingdings" w:hAnsi="Wingdings" w:cs="Wingdings"/>
                <w:bCs/>
                <w:noProof/>
              </w:rPr>
              <w:t></w:t>
            </w:r>
            <w:r w:rsidRPr="004B6520">
              <w:rPr>
                <w:rStyle w:val="Hyperlink"/>
                <w:bCs/>
                <w:noProof/>
              </w:rPr>
              <w:t>) and the mean (SD) in the overall population in each cohort (</w:t>
            </w:r>
            <w:r w:rsidRPr="004B6520">
              <w:rPr>
                <w:rStyle w:val="Hyperlink"/>
                <w:rFonts w:ascii="Wingdings" w:hAnsi="Wingdings" w:cs="Wingdings"/>
                <w:bCs/>
                <w:noProof/>
              </w:rPr>
              <w:t></w:t>
            </w:r>
            <w:r w:rsidRPr="004B6520">
              <w:rPr>
                <w:rStyle w:val="Hyperlink"/>
                <w:bCs/>
                <w:noProof/>
              </w:rPr>
              <w:t>) from the Mini-COMET trial.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_Toc175130956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5A849C" w14:textId="547D2EA7" w:rsidR="008C7239" w:rsidRDefault="008C7239">
          <w:r w:rsidRPr="008C7239">
            <w:rPr>
              <w:noProof/>
            </w:rPr>
            <w:fldChar w:fldCharType="end"/>
          </w:r>
        </w:p>
      </w:sdtContent>
    </w:sdt>
    <w:p w14:paraId="24B04A7A" w14:textId="77777777" w:rsidR="008C7239" w:rsidRDefault="008C7239" w:rsidP="00195F03">
      <w:pPr>
        <w:rPr>
          <w:rFonts w:eastAsiaTheme="minorEastAsia"/>
          <w:lang w:eastAsia="ja-JP"/>
        </w:rPr>
      </w:pPr>
    </w:p>
    <w:p w14:paraId="46008ED4" w14:textId="77777777" w:rsidR="00195F03" w:rsidRPr="00195F03" w:rsidRDefault="00195F03" w:rsidP="00195F03">
      <w:pPr>
        <w:rPr>
          <w:rFonts w:eastAsiaTheme="minorEastAsia"/>
          <w:lang w:eastAsia="ja-JP"/>
        </w:rPr>
      </w:pPr>
    </w:p>
    <w:p w14:paraId="6BF9DD45" w14:textId="77777777" w:rsidR="00195F03" w:rsidRDefault="00195F03">
      <w:pPr>
        <w:widowControl/>
        <w:autoSpaceDE/>
        <w:autoSpaceDN/>
        <w:adjustRightInd/>
        <w:spacing w:before="0" w:beforeAutospacing="0" w:after="160" w:afterAutospacing="0" w:line="278" w:lineRule="auto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br w:type="page"/>
      </w:r>
    </w:p>
    <w:p w14:paraId="182A3613" w14:textId="40936F6F" w:rsidR="00195F03" w:rsidRPr="00195F03" w:rsidRDefault="00195F03" w:rsidP="008C7239">
      <w:pPr>
        <w:pStyle w:val="Heading1"/>
      </w:pPr>
      <w:bookmarkStart w:id="0" w:name="_Toc175130953"/>
      <w:r w:rsidRPr="00195F03">
        <w:lastRenderedPageBreak/>
        <w:t>Supplementary Table 1.</w:t>
      </w:r>
      <w:r w:rsidRPr="00195F03">
        <w:rPr>
          <w:bCs/>
        </w:rPr>
        <w:t xml:space="preserve"> </w:t>
      </w:r>
      <w:r w:rsidRPr="008C7239">
        <w:rPr>
          <w:rFonts w:hint="eastAsia"/>
          <w:b w:val="0"/>
          <w:bCs/>
        </w:rPr>
        <w:t>Baseline / c</w:t>
      </w:r>
      <w:r w:rsidRPr="008C7239">
        <w:rPr>
          <w:b w:val="0"/>
          <w:bCs/>
        </w:rPr>
        <w:t>hange in efficacy parameters (primary and secondary endpoints) from baseline to week 49 in a Japanese patient and overall population from the COMET trial</w:t>
      </w:r>
      <w:bookmarkEnd w:id="0"/>
      <w:r w:rsidRPr="008C7239">
        <w:rPr>
          <w:b w:val="0"/>
          <w:bCs/>
        </w:rPr>
        <w:t xml:space="preserve"> 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31"/>
        <w:gridCol w:w="2543"/>
        <w:gridCol w:w="2557"/>
      </w:tblGrid>
      <w:tr w:rsidR="00195F03" w:rsidRPr="00195F03" w14:paraId="3CC93209" w14:textId="77777777" w:rsidTr="00190E7F">
        <w:trPr>
          <w:trHeight w:val="617"/>
        </w:trPr>
        <w:tc>
          <w:tcPr>
            <w:tcW w:w="38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3C1180" w14:textId="77777777" w:rsidR="00195F03" w:rsidRPr="00195F03" w:rsidRDefault="00195F03" w:rsidP="00190E7F">
            <w:pPr>
              <w:spacing w:line="360" w:lineRule="auto"/>
              <w:rPr>
                <w:rFonts w:eastAsiaTheme="minorEastAsia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5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785C74" w14:textId="47EF034E" w:rsidR="00195F03" w:rsidRPr="00195F03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lang w:eastAsia="ja-JP"/>
              </w:rPr>
            </w:pPr>
            <w:r w:rsidRPr="00195F03">
              <w:rPr>
                <w:rFonts w:eastAsiaTheme="minorEastAsia"/>
                <w:b/>
                <w:bCs/>
                <w:sz w:val="20"/>
                <w:szCs w:val="20"/>
                <w:lang w:eastAsia="ja-JP"/>
              </w:rPr>
              <w:t>Patient 1</w:t>
            </w:r>
            <w:r w:rsidR="007274E5">
              <w:rPr>
                <w:rFonts w:eastAsiaTheme="minorEastAsia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Pr="00195F03">
              <w:rPr>
                <w:rFonts w:eastAsiaTheme="minorEastAsia"/>
                <w:b/>
                <w:bCs/>
                <w:sz w:val="20"/>
                <w:szCs w:val="20"/>
                <w:lang w:eastAsia="ja-JP"/>
              </w:rPr>
              <w:t>(Japanese)</w:t>
            </w:r>
            <w:r w:rsidRPr="00195F03">
              <w:rPr>
                <w:rFonts w:eastAsiaTheme="minorEastAsia"/>
                <w:b/>
                <w:bCs/>
                <w:sz w:val="20"/>
                <w:szCs w:val="20"/>
                <w:lang w:eastAsia="ja-JP"/>
              </w:rPr>
              <w:br/>
              <w:t>(n=1)</w:t>
            </w:r>
          </w:p>
        </w:tc>
        <w:tc>
          <w:tcPr>
            <w:tcW w:w="25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1773FB" w14:textId="036C66B6" w:rsidR="00195F03" w:rsidRPr="00195F03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lang w:eastAsia="ja-JP"/>
              </w:rPr>
            </w:pPr>
            <w:r w:rsidRPr="00195F03">
              <w:rPr>
                <w:b/>
                <w:sz w:val="20"/>
                <w:szCs w:val="20"/>
              </w:rPr>
              <w:t>Avalglucosidase alfa</w:t>
            </w:r>
            <w:r w:rsidRPr="00195F03">
              <w:rPr>
                <w:rFonts w:eastAsiaTheme="minorEastAsia"/>
                <w:b/>
                <w:bCs/>
                <w:sz w:val="20"/>
                <w:szCs w:val="20"/>
                <w:lang w:eastAsia="ja-JP"/>
              </w:rPr>
              <w:t>-arm</w:t>
            </w:r>
            <w:r w:rsidR="007274E5">
              <w:rPr>
                <w:rFonts w:eastAsiaTheme="minorEastAsia"/>
                <w:b/>
                <w:bCs/>
                <w:sz w:val="20"/>
                <w:szCs w:val="20"/>
                <w:lang w:eastAsia="ja-JP"/>
              </w:rPr>
              <w:br/>
            </w:r>
            <w:r w:rsidRPr="00195F03">
              <w:rPr>
                <w:rFonts w:eastAsiaTheme="minorEastAsia"/>
                <w:b/>
                <w:bCs/>
                <w:sz w:val="20"/>
                <w:szCs w:val="20"/>
                <w:lang w:eastAsia="ja-JP"/>
              </w:rPr>
              <w:t xml:space="preserve"> (n=51)</w:t>
            </w:r>
          </w:p>
        </w:tc>
      </w:tr>
      <w:tr w:rsidR="00195F03" w:rsidRPr="00195F03" w14:paraId="5B60F787" w14:textId="77777777" w:rsidTr="00190E7F">
        <w:trPr>
          <w:trHeight w:val="502"/>
        </w:trPr>
        <w:tc>
          <w:tcPr>
            <w:tcW w:w="383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187F15" w14:textId="5A2AA60D" w:rsidR="00195F03" w:rsidRPr="00195F03" w:rsidRDefault="00195F03" w:rsidP="00190E7F">
            <w:pPr>
              <w:spacing w:line="360" w:lineRule="auto"/>
              <w:ind w:left="286" w:hanging="286"/>
              <w:rPr>
                <w:rFonts w:eastAsiaTheme="minorEastAsia"/>
                <w:sz w:val="20"/>
                <w:szCs w:val="20"/>
                <w:lang w:eastAsia="ja-JP"/>
              </w:rPr>
            </w:pP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Upright FVC%, predicted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ean baseline (SD)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ean change from baseline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 xml:space="preserve"> (SE)</w:t>
            </w:r>
          </w:p>
        </w:tc>
        <w:tc>
          <w:tcPr>
            <w:tcW w:w="254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D00147" w14:textId="3131168E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48.04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0.43</w:t>
            </w:r>
          </w:p>
        </w:tc>
        <w:tc>
          <w:tcPr>
            <w:tcW w:w="255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CDC08E" w14:textId="433B0EDE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62.50 (</w:t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14.4</w:t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)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2.89 (0.88)</w:t>
            </w:r>
          </w:p>
        </w:tc>
      </w:tr>
      <w:tr w:rsidR="00195F03" w:rsidRPr="00195F03" w14:paraId="6E88AC2F" w14:textId="77777777" w:rsidTr="00190E7F">
        <w:trPr>
          <w:trHeight w:val="365"/>
        </w:trPr>
        <w:tc>
          <w:tcPr>
            <w:tcW w:w="383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CA0A33" w14:textId="0EFA5699" w:rsidR="00195F03" w:rsidRPr="00195F03" w:rsidRDefault="00195F03" w:rsidP="00190E7F">
            <w:pPr>
              <w:spacing w:line="360" w:lineRule="auto"/>
              <w:ind w:left="286" w:hanging="286"/>
              <w:rPr>
                <w:rFonts w:eastAsiaTheme="minorEastAsia"/>
                <w:sz w:val="20"/>
                <w:szCs w:val="20"/>
                <w:lang w:eastAsia="ja-JP"/>
              </w:rPr>
            </w:pP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6MWT, m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(SE)</w:t>
            </w:r>
          </w:p>
        </w:tc>
        <w:tc>
          <w:tcPr>
            <w:tcW w:w="254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F6368D" w14:textId="34D8D35F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365.00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55.00</w:t>
            </w:r>
          </w:p>
        </w:tc>
        <w:tc>
          <w:tcPr>
            <w:tcW w:w="255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97619D" w14:textId="7D31A84B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399.30 (</w:t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110.9</w:t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)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32.21 (9.93)</w:t>
            </w:r>
          </w:p>
        </w:tc>
      </w:tr>
      <w:tr w:rsidR="00195F03" w:rsidRPr="00195F03" w14:paraId="48E64731" w14:textId="77777777" w:rsidTr="00190E7F">
        <w:trPr>
          <w:trHeight w:val="365"/>
        </w:trPr>
        <w:tc>
          <w:tcPr>
            <w:tcW w:w="383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55A2AE" w14:textId="51F5A2B5" w:rsidR="00195F03" w:rsidRPr="00195F03" w:rsidRDefault="00195F03" w:rsidP="00190E7F">
            <w:pPr>
              <w:spacing w:line="360" w:lineRule="auto"/>
              <w:ind w:left="286" w:hanging="286"/>
              <w:rPr>
                <w:rFonts w:eastAsiaTheme="minorEastAsia"/>
                <w:sz w:val="20"/>
                <w:szCs w:val="20"/>
                <w:lang w:eastAsia="ja-JP"/>
              </w:rPr>
            </w:pP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6MWT%, predicted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(SE)</w:t>
            </w:r>
          </w:p>
        </w:tc>
        <w:tc>
          <w:tcPr>
            <w:tcW w:w="254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4EDB5B" w14:textId="576FE234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53.13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8.26</w:t>
            </w:r>
          </w:p>
        </w:tc>
        <w:tc>
          <w:tcPr>
            <w:tcW w:w="255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420C7F" w14:textId="7A45C6AB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57.30 (15.00)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5.02 (1.54)</w:t>
            </w:r>
          </w:p>
        </w:tc>
      </w:tr>
      <w:tr w:rsidR="00195F03" w:rsidRPr="00195F03" w14:paraId="531512F1" w14:textId="77777777" w:rsidTr="00190E7F">
        <w:trPr>
          <w:trHeight w:val="365"/>
        </w:trPr>
        <w:tc>
          <w:tcPr>
            <w:tcW w:w="383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B7A8B7" w14:textId="35E5FCD0" w:rsidR="00195F03" w:rsidRPr="00195F03" w:rsidRDefault="00195F03" w:rsidP="00190E7F">
            <w:pPr>
              <w:spacing w:line="360" w:lineRule="auto"/>
              <w:ind w:left="286" w:hanging="286"/>
              <w:rPr>
                <w:rFonts w:eastAsiaTheme="minorEastAsia"/>
                <w:sz w:val="20"/>
                <w:szCs w:val="20"/>
                <w:lang w:eastAsia="ja-JP"/>
              </w:rPr>
            </w:pP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MIP%, predicted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(SE)</w:t>
            </w:r>
          </w:p>
        </w:tc>
        <w:tc>
          <w:tcPr>
            <w:tcW w:w="254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D04A6D" w14:textId="532081BE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28.40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0.12</w:t>
            </w:r>
          </w:p>
        </w:tc>
        <w:tc>
          <w:tcPr>
            <w:tcW w:w="255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C3F830" w14:textId="211E291F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51.74</w:t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(</w:t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24.85</w:t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)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8.70 (2.09)*</w:t>
            </w:r>
          </w:p>
        </w:tc>
      </w:tr>
      <w:tr w:rsidR="00195F03" w:rsidRPr="00195F03" w14:paraId="280887E0" w14:textId="77777777" w:rsidTr="00190E7F">
        <w:trPr>
          <w:trHeight w:val="365"/>
        </w:trPr>
        <w:tc>
          <w:tcPr>
            <w:tcW w:w="383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7B7E74" w14:textId="62B70B05" w:rsidR="00195F03" w:rsidRPr="00195F03" w:rsidRDefault="00195F03" w:rsidP="00190E7F">
            <w:pPr>
              <w:spacing w:line="360" w:lineRule="auto"/>
              <w:ind w:left="286" w:hanging="286"/>
              <w:rPr>
                <w:rFonts w:eastAsiaTheme="minorEastAsia"/>
                <w:sz w:val="20"/>
                <w:szCs w:val="20"/>
                <w:lang w:eastAsia="ja-JP"/>
              </w:rPr>
            </w:pP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MEP%, predicted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(SE)</w:t>
            </w:r>
          </w:p>
        </w:tc>
        <w:tc>
          <w:tcPr>
            <w:tcW w:w="254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AF17C9" w14:textId="232EB6EE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54.23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15.01</w:t>
            </w:r>
          </w:p>
        </w:tc>
        <w:tc>
          <w:tcPr>
            <w:tcW w:w="255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304660" w14:textId="522C8274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59.17</w:t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(</w:t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21.60</w:t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)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10.89 (2.84)*</w:t>
            </w:r>
          </w:p>
        </w:tc>
      </w:tr>
      <w:tr w:rsidR="00195F03" w:rsidRPr="00195F03" w14:paraId="4862DCED" w14:textId="77777777" w:rsidTr="00190E7F">
        <w:trPr>
          <w:trHeight w:val="365"/>
        </w:trPr>
        <w:tc>
          <w:tcPr>
            <w:tcW w:w="383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4E5A66" w14:textId="636FAF0D" w:rsidR="00195F03" w:rsidRPr="00195F03" w:rsidRDefault="00195F03" w:rsidP="00190E7F">
            <w:pPr>
              <w:spacing w:line="360" w:lineRule="auto"/>
              <w:ind w:left="286" w:hanging="286"/>
              <w:rPr>
                <w:rFonts w:eastAsiaTheme="minorEastAsia"/>
                <w:sz w:val="20"/>
                <w:szCs w:val="20"/>
                <w:lang w:eastAsia="ja-JP"/>
              </w:rPr>
            </w:pP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HHD, lower extremity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(SE)</w:t>
            </w:r>
          </w:p>
        </w:tc>
        <w:tc>
          <w:tcPr>
            <w:tcW w:w="254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EEDAE4" w14:textId="4E9B701F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1140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–91.00</w:t>
            </w:r>
          </w:p>
        </w:tc>
        <w:tc>
          <w:tcPr>
            <w:tcW w:w="255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01C85" w14:textId="3C292C67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1330.45 (625.44)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260.69 (46.07)</w:t>
            </w:r>
          </w:p>
        </w:tc>
      </w:tr>
      <w:tr w:rsidR="00195F03" w:rsidRPr="00195F03" w14:paraId="7BA05909" w14:textId="77777777" w:rsidTr="00190E7F">
        <w:trPr>
          <w:trHeight w:val="365"/>
        </w:trPr>
        <w:tc>
          <w:tcPr>
            <w:tcW w:w="383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5B8E2D" w14:textId="3D5E3F72" w:rsidR="00195F03" w:rsidRPr="00195F03" w:rsidRDefault="00195F03" w:rsidP="00190E7F">
            <w:pPr>
              <w:spacing w:line="360" w:lineRule="auto"/>
              <w:ind w:left="286" w:hanging="286"/>
              <w:rPr>
                <w:rFonts w:eastAsiaTheme="minorEastAsia"/>
                <w:sz w:val="20"/>
                <w:szCs w:val="20"/>
                <w:lang w:eastAsia="ja-JP"/>
              </w:rPr>
            </w:pP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QMFT total score / mean (SE)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(SE)</w:t>
            </w:r>
          </w:p>
        </w:tc>
        <w:tc>
          <w:tcPr>
            <w:tcW w:w="254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6A2186" w14:textId="63B4BC39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35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4.00</w:t>
            </w:r>
          </w:p>
        </w:tc>
        <w:tc>
          <w:tcPr>
            <w:tcW w:w="255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94EEF7" w14:textId="27A5BF4F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41.29 (10.15)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3.98 (0.63)</w:t>
            </w:r>
          </w:p>
        </w:tc>
      </w:tr>
      <w:tr w:rsidR="00195F03" w:rsidRPr="00195F03" w14:paraId="15D9EF8B" w14:textId="77777777" w:rsidTr="00190E7F">
        <w:trPr>
          <w:trHeight w:val="365"/>
        </w:trPr>
        <w:tc>
          <w:tcPr>
            <w:tcW w:w="383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6B2699" w14:textId="0140B330" w:rsidR="00195F03" w:rsidRPr="00195F03" w:rsidRDefault="00195F03" w:rsidP="00190E7F">
            <w:pPr>
              <w:spacing w:line="360" w:lineRule="auto"/>
              <w:ind w:left="286" w:hanging="286"/>
              <w:rPr>
                <w:rFonts w:eastAsiaTheme="minorEastAsia"/>
                <w:sz w:val="20"/>
                <w:szCs w:val="20"/>
                <w:lang w:eastAsia="ja-JP"/>
              </w:rPr>
            </w:pP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SF-12 PCS score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(SE)</w:t>
            </w:r>
          </w:p>
        </w:tc>
        <w:tc>
          <w:tcPr>
            <w:tcW w:w="254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B4AC20" w14:textId="2A26E459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48.4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4.68</w:t>
            </w:r>
          </w:p>
        </w:tc>
        <w:tc>
          <w:tcPr>
            <w:tcW w:w="255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3C1AB8" w14:textId="3112EEBE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35.95 (7.82)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2.37 (0.99)</w:t>
            </w:r>
          </w:p>
        </w:tc>
      </w:tr>
      <w:tr w:rsidR="00195F03" w:rsidRPr="00195F03" w14:paraId="036A6EF8" w14:textId="77777777" w:rsidTr="00190E7F">
        <w:trPr>
          <w:trHeight w:val="365"/>
        </w:trPr>
        <w:tc>
          <w:tcPr>
            <w:tcW w:w="383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BFA8AD" w14:textId="1344BA96" w:rsidR="00195F03" w:rsidRPr="00195F03" w:rsidRDefault="00195F03" w:rsidP="00190E7F">
            <w:pPr>
              <w:spacing w:line="360" w:lineRule="auto"/>
              <w:ind w:left="286" w:hanging="286"/>
              <w:rPr>
                <w:rFonts w:eastAsiaTheme="minorEastAsia"/>
                <w:sz w:val="20"/>
                <w:szCs w:val="20"/>
                <w:lang w:eastAsia="ja-JP"/>
              </w:rPr>
            </w:pP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SF-12 MCS score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A36EA3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195F03">
              <w:rPr>
                <w:rFonts w:eastAsiaTheme="minorEastAsia"/>
                <w:sz w:val="20"/>
                <w:szCs w:val="20"/>
                <w:lang w:eastAsia="ja-JP"/>
              </w:rPr>
              <w:t>(SE)</w:t>
            </w:r>
          </w:p>
        </w:tc>
        <w:tc>
          <w:tcPr>
            <w:tcW w:w="254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B6CAA5" w14:textId="4EB6CA9B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56.2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0.70</w:t>
            </w:r>
          </w:p>
        </w:tc>
        <w:tc>
          <w:tcPr>
            <w:tcW w:w="255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88CE99" w14:textId="55878C66" w:rsidR="00195F03" w:rsidRPr="00195F03" w:rsidRDefault="00A36EA3" w:rsidP="00190E7F">
            <w:pPr>
              <w:spacing w:line="360" w:lineRule="auto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 w:hint="eastAsia"/>
                <w:sz w:val="20"/>
                <w:szCs w:val="20"/>
                <w:lang w:eastAsia="ja-JP"/>
              </w:rPr>
              <w:t>48.31 (10.11)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="00195F03" w:rsidRPr="00195F03">
              <w:rPr>
                <w:rFonts w:eastAsiaTheme="minorEastAsia"/>
                <w:sz w:val="20"/>
                <w:szCs w:val="20"/>
                <w:lang w:eastAsia="ja-JP"/>
              </w:rPr>
              <w:t>2.88 (1.22)</w:t>
            </w:r>
          </w:p>
        </w:tc>
      </w:tr>
    </w:tbl>
    <w:p w14:paraId="287A7486" w14:textId="6D09E5A9" w:rsidR="00A36EA3" w:rsidRPr="00190E7F" w:rsidRDefault="00A36EA3" w:rsidP="00190E7F">
      <w:pPr>
        <w:spacing w:line="240" w:lineRule="auto"/>
        <w:rPr>
          <w:rFonts w:eastAsiaTheme="minorEastAsia"/>
          <w:sz w:val="20"/>
          <w:szCs w:val="20"/>
          <w:lang w:eastAsia="ja-JP"/>
        </w:rPr>
      </w:pPr>
      <w:r w:rsidRPr="00190E7F">
        <w:rPr>
          <w:rFonts w:eastAsiaTheme="minorEastAsia"/>
          <w:sz w:val="20"/>
          <w:szCs w:val="20"/>
          <w:lang w:eastAsia="ja-JP"/>
        </w:rPr>
        <w:lastRenderedPageBreak/>
        <w:t>Abbreviations: 6MWT, 6-min walking test; FVC, forced vital capacity; HHD, hand-held dynamometry; IU, international unit; MCS, mental component summary; MEP, maximal expiratory pressure; MIP, maximal inspiratory pressure; PCS, physical component summary; QMFT, quick motor function test;</w:t>
      </w:r>
      <w:r w:rsidR="007274E5" w:rsidRPr="00190E7F">
        <w:rPr>
          <w:rFonts w:eastAsiaTheme="minorEastAsia"/>
          <w:sz w:val="20"/>
          <w:szCs w:val="20"/>
          <w:lang w:eastAsia="ja-JP"/>
        </w:rPr>
        <w:t xml:space="preserve"> </w:t>
      </w:r>
      <w:r w:rsidRPr="00190E7F">
        <w:rPr>
          <w:rFonts w:eastAsiaTheme="minorEastAsia"/>
          <w:sz w:val="20"/>
          <w:szCs w:val="20"/>
          <w:lang w:eastAsia="ja-JP"/>
        </w:rPr>
        <w:t xml:space="preserve">SD, standard deviation; </w:t>
      </w:r>
      <w:r w:rsidR="007274E5" w:rsidRPr="00190E7F">
        <w:rPr>
          <w:rFonts w:eastAsiaTheme="minorEastAsia"/>
          <w:sz w:val="20"/>
          <w:szCs w:val="20"/>
          <w:lang w:eastAsia="ja-JP"/>
        </w:rPr>
        <w:t xml:space="preserve">SE, standard error; </w:t>
      </w:r>
      <w:r w:rsidRPr="00190E7F">
        <w:rPr>
          <w:rFonts w:eastAsiaTheme="minorEastAsia"/>
          <w:sz w:val="20"/>
          <w:szCs w:val="20"/>
          <w:lang w:eastAsia="ja-JP"/>
        </w:rPr>
        <w:t>SF-12, 12-item short-fo</w:t>
      </w:r>
      <w:r w:rsidR="007274E5" w:rsidRPr="00190E7F">
        <w:rPr>
          <w:rFonts w:eastAsiaTheme="minorEastAsia"/>
          <w:sz w:val="20"/>
          <w:szCs w:val="20"/>
          <w:lang w:eastAsia="ja-JP"/>
        </w:rPr>
        <w:t>rm h</w:t>
      </w:r>
      <w:r w:rsidRPr="00190E7F">
        <w:rPr>
          <w:rFonts w:eastAsiaTheme="minorEastAsia"/>
          <w:sz w:val="20"/>
          <w:szCs w:val="20"/>
          <w:lang w:eastAsia="ja-JP"/>
        </w:rPr>
        <w:t>ealth survey.</w:t>
      </w:r>
    </w:p>
    <w:p w14:paraId="37CE6E76" w14:textId="6A24FFE9" w:rsidR="00195F03" w:rsidRPr="00190E7F" w:rsidRDefault="00195F03" w:rsidP="00190E7F">
      <w:pPr>
        <w:spacing w:line="240" w:lineRule="auto"/>
        <w:rPr>
          <w:rFonts w:eastAsiaTheme="minorEastAsia"/>
          <w:sz w:val="20"/>
          <w:szCs w:val="20"/>
          <w:lang w:eastAsia="ja-JP"/>
        </w:rPr>
      </w:pPr>
      <w:r w:rsidRPr="00190E7F">
        <w:rPr>
          <w:rFonts w:eastAsiaTheme="minorEastAsia"/>
          <w:sz w:val="20"/>
          <w:szCs w:val="20"/>
          <w:lang w:eastAsia="ja-JP"/>
        </w:rPr>
        <w:t>Note: mean (SD or SE) relate to avalglucosidase alfa-arm (Patient 1 values are actual)</w:t>
      </w:r>
    </w:p>
    <w:p w14:paraId="05707100" w14:textId="77777777" w:rsidR="00195F03" w:rsidRPr="00190E7F" w:rsidRDefault="00195F03" w:rsidP="00190E7F">
      <w:pPr>
        <w:spacing w:line="240" w:lineRule="auto"/>
        <w:rPr>
          <w:rFonts w:eastAsiaTheme="minorEastAsia"/>
          <w:sz w:val="20"/>
          <w:szCs w:val="20"/>
          <w:lang w:eastAsia="ja-JP"/>
        </w:rPr>
      </w:pPr>
      <w:r w:rsidRPr="00190E7F">
        <w:rPr>
          <w:rFonts w:eastAsiaTheme="minorEastAsia"/>
          <w:sz w:val="20"/>
          <w:szCs w:val="20"/>
          <w:lang w:eastAsia="ja-JP"/>
        </w:rPr>
        <w:t>*Two participants with implausibly high MIP% predicted and MEP% predicted values at baseline were excluded from all MIP and MIP analyses.</w:t>
      </w:r>
    </w:p>
    <w:p w14:paraId="5DF4A9FD" w14:textId="77777777" w:rsidR="00195F03" w:rsidRDefault="00195F03">
      <w:pPr>
        <w:widowControl/>
        <w:autoSpaceDE/>
        <w:autoSpaceDN/>
        <w:adjustRightInd/>
        <w:spacing w:before="0" w:beforeAutospacing="0" w:after="160" w:afterAutospacing="0" w:line="278" w:lineRule="auto"/>
        <w:rPr>
          <w:rFonts w:eastAsiaTheme="minorEastAsia"/>
          <w:bCs/>
          <w:color w:val="0F4761" w:themeColor="accent1" w:themeShade="BF"/>
          <w:lang w:eastAsia="ja-JP"/>
        </w:rPr>
      </w:pPr>
      <w:r>
        <w:rPr>
          <w:rFonts w:eastAsiaTheme="minorEastAsia"/>
          <w:bCs/>
          <w:lang w:eastAsia="ja-JP"/>
        </w:rPr>
        <w:br w:type="page"/>
      </w:r>
    </w:p>
    <w:p w14:paraId="1E043289" w14:textId="7326B948" w:rsidR="00195F03" w:rsidRPr="008C7239" w:rsidRDefault="00195F03" w:rsidP="008C7239">
      <w:pPr>
        <w:pStyle w:val="Heading1"/>
        <w:rPr>
          <w:bCs/>
        </w:rPr>
      </w:pPr>
      <w:bookmarkStart w:id="1" w:name="_Toc175130954"/>
      <w:r w:rsidRPr="008C7239">
        <w:lastRenderedPageBreak/>
        <w:t>Supplementary Table 2.</w:t>
      </w:r>
      <w:r w:rsidRPr="008C7239">
        <w:rPr>
          <w:bCs/>
        </w:rPr>
        <w:t xml:space="preserve"> </w:t>
      </w:r>
      <w:r w:rsidRPr="008C7239">
        <w:rPr>
          <w:rFonts w:hint="eastAsia"/>
          <w:b w:val="0"/>
          <w:bCs/>
        </w:rPr>
        <w:t>Baseline / c</w:t>
      </w:r>
      <w:r w:rsidRPr="008C7239">
        <w:rPr>
          <w:b w:val="0"/>
          <w:bCs/>
        </w:rPr>
        <w:t>hanges in efficacy parameters (secondary endpoints) from baseline to week 25 in Japanese patients and overall population from the Mini-COMET trial</w:t>
      </w:r>
      <w:bookmarkEnd w:id="1"/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44"/>
        <w:gridCol w:w="1665"/>
        <w:gridCol w:w="1666"/>
        <w:gridCol w:w="1665"/>
        <w:gridCol w:w="1666"/>
      </w:tblGrid>
      <w:tr w:rsidR="00195F03" w:rsidRPr="00550749" w14:paraId="2EAF34F4" w14:textId="77777777" w:rsidTr="00190E7F">
        <w:trPr>
          <w:trHeight w:val="265"/>
        </w:trPr>
        <w:tc>
          <w:tcPr>
            <w:tcW w:w="3544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DC94CE" w14:textId="77777777" w:rsidR="00195F03" w:rsidRPr="00550749" w:rsidRDefault="00195F03" w:rsidP="00190E7F">
            <w:pPr>
              <w:spacing w:line="360" w:lineRule="auto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33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45A4C3" w14:textId="77777777" w:rsidR="00195F03" w:rsidRPr="00550749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t>Cohort 1 (20 mg/kg)</w:t>
            </w:r>
          </w:p>
        </w:tc>
        <w:tc>
          <w:tcPr>
            <w:tcW w:w="333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CEA57B" w14:textId="77777777" w:rsidR="00195F03" w:rsidRPr="00550749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t>Cohort 2 (40 mg/kg)</w:t>
            </w:r>
          </w:p>
        </w:tc>
      </w:tr>
      <w:tr w:rsidR="007274E5" w:rsidRPr="00550749" w14:paraId="5EB64950" w14:textId="77777777" w:rsidTr="007274E5">
        <w:trPr>
          <w:trHeight w:val="265"/>
        </w:trPr>
        <w:tc>
          <w:tcPr>
            <w:tcW w:w="3544" w:type="dxa"/>
            <w:vMerge/>
            <w:shd w:val="clear" w:color="auto" w:fill="auto"/>
            <w:vAlign w:val="center"/>
            <w:hideMark/>
          </w:tcPr>
          <w:p w14:paraId="128F433E" w14:textId="77777777" w:rsidR="00195F03" w:rsidRPr="00550749" w:rsidRDefault="00195F03" w:rsidP="00190E7F">
            <w:pPr>
              <w:spacing w:line="360" w:lineRule="auto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6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1369C2" w14:textId="77777777" w:rsidR="00195F03" w:rsidRPr="00550749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t>Patient 2</w:t>
            </w: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br/>
              <w:t>(Japanese)</w:t>
            </w: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br/>
              <w:t>(n=1)</w:t>
            </w:r>
          </w:p>
        </w:tc>
        <w:tc>
          <w:tcPr>
            <w:tcW w:w="1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CCEEDA" w14:textId="77777777" w:rsidR="00195F03" w:rsidRPr="00550749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t xml:space="preserve">Overall </w:t>
            </w:r>
          </w:p>
          <w:p w14:paraId="2CF3DD97" w14:textId="77777777" w:rsidR="00195F03" w:rsidRPr="00550749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t>Population</w:t>
            </w:r>
          </w:p>
          <w:p w14:paraId="2288ACC5" w14:textId="77777777" w:rsidR="00195F03" w:rsidRPr="00550749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t>(n=6)</w:t>
            </w:r>
          </w:p>
        </w:tc>
        <w:tc>
          <w:tcPr>
            <w:tcW w:w="16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8BCE8" w14:textId="77777777" w:rsidR="00195F03" w:rsidRPr="00550749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t>Patient 3</w:t>
            </w: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br/>
              <w:t>(Japanese)</w:t>
            </w: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br/>
              <w:t>(n=1)</w:t>
            </w:r>
          </w:p>
        </w:tc>
        <w:tc>
          <w:tcPr>
            <w:tcW w:w="1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540B17" w14:textId="77777777" w:rsidR="00195F03" w:rsidRPr="00550749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t xml:space="preserve">Overall </w:t>
            </w:r>
          </w:p>
          <w:p w14:paraId="0E3A401C" w14:textId="77777777" w:rsidR="00195F03" w:rsidRPr="00550749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t>Population</w:t>
            </w:r>
          </w:p>
          <w:p w14:paraId="6BBA21F9" w14:textId="77777777" w:rsidR="00195F03" w:rsidRPr="00550749" w:rsidRDefault="00195F03" w:rsidP="00190E7F">
            <w:pPr>
              <w:spacing w:line="360" w:lineRule="auto"/>
              <w:jc w:val="center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/>
                <w:sz w:val="20"/>
                <w:szCs w:val="20"/>
                <w:lang w:eastAsia="ja-JP"/>
              </w:rPr>
              <w:t>(n=5)</w:t>
            </w:r>
          </w:p>
        </w:tc>
      </w:tr>
      <w:tr w:rsidR="007274E5" w:rsidRPr="00550749" w14:paraId="3FE345E2" w14:textId="77777777" w:rsidTr="00190E7F">
        <w:trPr>
          <w:trHeight w:val="265"/>
        </w:trPr>
        <w:tc>
          <w:tcPr>
            <w:tcW w:w="3544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732DC8" w14:textId="78FFDD65" w:rsidR="00195F03" w:rsidRPr="00550749" w:rsidRDefault="00195F03" w:rsidP="00190E7F">
            <w:pPr>
              <w:spacing w:line="360" w:lineRule="auto"/>
              <w:ind w:left="286" w:hanging="286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GMFM-88 total percent score</w:t>
            </w:r>
            <w:r w:rsidR="007274E5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7274E5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(S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>D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1665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B00608" w14:textId="0ADD5FD5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 w:hint="eastAsia"/>
                <w:bCs/>
                <w:sz w:val="20"/>
                <w:szCs w:val="20"/>
                <w:lang w:eastAsia="ja-JP"/>
              </w:rPr>
              <w:t xml:space="preserve">57.56 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2.96</w:t>
            </w:r>
          </w:p>
        </w:tc>
        <w:tc>
          <w:tcPr>
            <w:tcW w:w="1666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E43979" w14:textId="69B236D5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 w:hint="eastAsia"/>
                <w:bCs/>
                <w:sz w:val="20"/>
                <w:szCs w:val="20"/>
                <w:lang w:eastAsia="ja-JP"/>
              </w:rPr>
              <w:t>54.81 (31.44)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2.62 (9.33)</w:t>
            </w:r>
          </w:p>
        </w:tc>
        <w:tc>
          <w:tcPr>
            <w:tcW w:w="1665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7DA542" w14:textId="74EE7C04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 w:hint="eastAsia"/>
                <w:bCs/>
                <w:sz w:val="20"/>
                <w:szCs w:val="20"/>
                <w:lang w:eastAsia="ja-JP"/>
              </w:rPr>
              <w:t>96.29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0.83</w:t>
            </w:r>
          </w:p>
        </w:tc>
        <w:tc>
          <w:tcPr>
            <w:tcW w:w="1666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39A7B2" w14:textId="7C18A235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 w:hint="eastAsia"/>
                <w:bCs/>
                <w:sz w:val="20"/>
                <w:szCs w:val="20"/>
                <w:lang w:eastAsia="ja-JP"/>
              </w:rPr>
              <w:t>67.43 (33.84)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3.54 (5.46)</w:t>
            </w:r>
          </w:p>
        </w:tc>
      </w:tr>
      <w:tr w:rsidR="007274E5" w:rsidRPr="00550749" w14:paraId="5916873A" w14:textId="77777777" w:rsidTr="00190E7F">
        <w:trPr>
          <w:trHeight w:val="265"/>
        </w:trPr>
        <w:tc>
          <w:tcPr>
            <w:tcW w:w="3544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D50A4A" w14:textId="2191D36A" w:rsidR="00195F03" w:rsidRPr="00550749" w:rsidRDefault="00195F03" w:rsidP="00190E7F">
            <w:pPr>
              <w:spacing w:line="360" w:lineRule="auto"/>
              <w:ind w:left="286" w:hanging="286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QMFT total score</w:t>
            </w:r>
            <w:r w:rsidR="007274E5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7274E5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(S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>D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1665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F89C29" w14:textId="726848D2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 w:hint="eastAsia"/>
                <w:bCs/>
                <w:sz w:val="20"/>
                <w:szCs w:val="20"/>
                <w:lang w:eastAsia="ja-JP"/>
              </w:rPr>
              <w:t>19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–2</w:t>
            </w:r>
          </w:p>
        </w:tc>
        <w:tc>
          <w:tcPr>
            <w:tcW w:w="1666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8BC495" w14:textId="25BE8CCA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 w:hint="eastAsia"/>
                <w:bCs/>
                <w:sz w:val="20"/>
                <w:szCs w:val="20"/>
                <w:lang w:eastAsia="ja-JP"/>
              </w:rPr>
              <w:t>23.33 (14.76)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−0.17 (4.45)</w:t>
            </w:r>
          </w:p>
        </w:tc>
        <w:tc>
          <w:tcPr>
            <w:tcW w:w="1665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501735A" w14:textId="1A2BD576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 w:hint="eastAsia"/>
                <w:bCs/>
                <w:sz w:val="20"/>
                <w:szCs w:val="20"/>
                <w:lang w:eastAsia="ja-JP"/>
              </w:rPr>
              <w:t>52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666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3B31AC4" w14:textId="1EA8CC90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 w:hint="eastAsia"/>
                <w:bCs/>
                <w:sz w:val="20"/>
                <w:szCs w:val="20"/>
                <w:lang w:eastAsia="ja-JP"/>
              </w:rPr>
              <w:t>31.20 (19.98)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3.20 (4.55)</w:t>
            </w:r>
          </w:p>
        </w:tc>
      </w:tr>
      <w:tr w:rsidR="007274E5" w:rsidRPr="00550749" w14:paraId="4F685978" w14:textId="77777777" w:rsidTr="00190E7F">
        <w:trPr>
          <w:trHeight w:val="265"/>
        </w:trPr>
        <w:tc>
          <w:tcPr>
            <w:tcW w:w="3544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A33FC5" w14:textId="160272EA" w:rsidR="00195F03" w:rsidRPr="00550749" w:rsidRDefault="00195F03" w:rsidP="00190E7F">
            <w:pPr>
              <w:spacing w:line="360" w:lineRule="auto"/>
              <w:ind w:left="286" w:hanging="286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 xml:space="preserve">Pompe-PEDI </w:t>
            </w:r>
            <w:r w:rsidRPr="00550749">
              <w:rPr>
                <w:sz w:val="20"/>
                <w:szCs w:val="20"/>
              </w:rPr>
              <w:t>functional skills scale: mobility domain</w:t>
            </w:r>
            <w:r w:rsidR="007274E5">
              <w:rPr>
                <w:sz w:val="20"/>
                <w:szCs w:val="20"/>
              </w:rPr>
              <w:br/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7274E5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(S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>D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1665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ED269E5" w14:textId="76FF3899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49.83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0.3</w:t>
            </w:r>
          </w:p>
        </w:tc>
        <w:tc>
          <w:tcPr>
            <w:tcW w:w="1666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9353D74" w14:textId="6B276F8C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66.33 (39.46)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8.50 (13.75)</w:t>
            </w:r>
          </w:p>
        </w:tc>
        <w:tc>
          <w:tcPr>
            <w:tcW w:w="1665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A8334A6" w14:textId="62EF2F44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37.01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 w:hint="eastAsia"/>
                <w:bCs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666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87B645" w14:textId="333EA660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87.20 (48.32)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5.80 (10.87)</w:t>
            </w:r>
          </w:p>
        </w:tc>
      </w:tr>
      <w:tr w:rsidR="007274E5" w:rsidRPr="00550749" w14:paraId="0EBC2B56" w14:textId="77777777" w:rsidTr="00190E7F">
        <w:trPr>
          <w:trHeight w:val="265"/>
        </w:trPr>
        <w:tc>
          <w:tcPr>
            <w:tcW w:w="3544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DC1B9D" w14:textId="667DE552" w:rsidR="00195F03" w:rsidRPr="00550749" w:rsidRDefault="00195F03" w:rsidP="00190E7F">
            <w:pPr>
              <w:spacing w:line="360" w:lineRule="auto"/>
              <w:ind w:left="286" w:hanging="286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LVM Z-score</w:t>
            </w:r>
            <w:r w:rsidR="007274E5">
              <w:rPr>
                <w:rFonts w:eastAsiaTheme="minorEastAsia"/>
                <w:sz w:val="20"/>
                <w:szCs w:val="20"/>
                <w:lang w:eastAsia="ja-JP"/>
              </w:rPr>
              <w:br/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>M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ean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baseline (SD)</w:t>
            </w:r>
            <w:r w:rsidR="007274E5">
              <w:rPr>
                <w:rFonts w:eastAsiaTheme="minorEastAsia"/>
                <w:sz w:val="20"/>
                <w:szCs w:val="20"/>
                <w:lang w:eastAsia="ja-JP"/>
              </w:rPr>
              <w:br/>
              <w:t>M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ean change from baseline 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(S</w:t>
            </w:r>
            <w:r w:rsidRPr="00550749">
              <w:rPr>
                <w:rFonts w:eastAsiaTheme="minorEastAsia" w:hint="eastAsia"/>
                <w:sz w:val="20"/>
                <w:szCs w:val="20"/>
                <w:lang w:eastAsia="ja-JP"/>
              </w:rPr>
              <w:t>D</w:t>
            </w:r>
            <w:r w:rsidRPr="00550749">
              <w:rPr>
                <w:rFonts w:eastAsiaTheme="minorEastAsia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1665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B1C32E0" w14:textId="78228AF6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–</w:t>
            </w:r>
            <w:r w:rsidR="00195F03" w:rsidRPr="00550749">
              <w:rPr>
                <w:rFonts w:eastAsiaTheme="minorEastAsia" w:hint="eastAsia"/>
                <w:bCs/>
                <w:sz w:val="20"/>
                <w:szCs w:val="20"/>
                <w:lang w:eastAsia="ja-JP"/>
              </w:rPr>
              <w:t>1.4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0.6</w:t>
            </w:r>
          </w:p>
        </w:tc>
        <w:tc>
          <w:tcPr>
            <w:tcW w:w="1666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D870E0" w14:textId="5C650A41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–</w:t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1.10 (1.07)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–0.60 (2.16)</w:t>
            </w:r>
            <w:r w:rsidR="00195F03" w:rsidRPr="00550749">
              <w:rPr>
                <w:rFonts w:eastAsiaTheme="minorEastAsia"/>
                <w:bCs/>
                <w:sz w:val="20"/>
                <w:szCs w:val="20"/>
                <w:vertAlign w:val="superscript"/>
                <w:lang w:eastAsia="ja-JP"/>
              </w:rPr>
              <w:t>a</w:t>
            </w:r>
          </w:p>
        </w:tc>
        <w:tc>
          <w:tcPr>
            <w:tcW w:w="1665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16F0F60" w14:textId="2B473EB3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–0.</w:t>
            </w:r>
            <w:r w:rsidR="00195F03" w:rsidRPr="00550749">
              <w:rPr>
                <w:rFonts w:eastAsiaTheme="minorEastAsia" w:hint="eastAsia"/>
                <w:bCs/>
                <w:sz w:val="20"/>
                <w:szCs w:val="20"/>
                <w:lang w:eastAsia="ja-JP"/>
              </w:rPr>
              <w:t>6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–0.1</w:t>
            </w:r>
          </w:p>
        </w:tc>
        <w:tc>
          <w:tcPr>
            <w:tcW w:w="1666" w:type="dxa"/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ADB316" w14:textId="2EF8414D" w:rsidR="00195F03" w:rsidRPr="00550749" w:rsidRDefault="007274E5" w:rsidP="00190E7F">
            <w:pPr>
              <w:spacing w:line="360" w:lineRule="auto"/>
              <w:jc w:val="center"/>
              <w:rPr>
                <w:rFonts w:eastAsiaTheme="minorEastAsia"/>
                <w:bCs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0.13 (2.39)</w:t>
            </w:r>
            <w:r>
              <w:rPr>
                <w:rFonts w:eastAsiaTheme="minorEastAsia"/>
                <w:bCs/>
                <w:sz w:val="20"/>
                <w:szCs w:val="20"/>
                <w:lang w:eastAsia="ja-JP"/>
              </w:rPr>
              <w:br/>
            </w:r>
            <w:r w:rsidR="00195F03" w:rsidRPr="00550749">
              <w:rPr>
                <w:rFonts w:eastAsiaTheme="minorEastAsia"/>
                <w:bCs/>
                <w:sz w:val="20"/>
                <w:szCs w:val="20"/>
                <w:lang w:eastAsia="ja-JP"/>
              </w:rPr>
              <w:t>–0.60 (0.71)</w:t>
            </w:r>
            <w:r w:rsidR="00195F03" w:rsidRPr="00550749">
              <w:rPr>
                <w:rFonts w:eastAsiaTheme="minorEastAsia"/>
                <w:bCs/>
                <w:sz w:val="20"/>
                <w:szCs w:val="20"/>
                <w:vertAlign w:val="superscript"/>
                <w:lang w:eastAsia="ja-JP"/>
              </w:rPr>
              <w:t>b</w:t>
            </w:r>
          </w:p>
        </w:tc>
      </w:tr>
    </w:tbl>
    <w:p w14:paraId="44592B7C" w14:textId="2B10FFBD" w:rsidR="00477552" w:rsidRPr="0060014D" w:rsidRDefault="00195F03" w:rsidP="00195F03">
      <w:pPr>
        <w:spacing w:line="276" w:lineRule="auto"/>
        <w:rPr>
          <w:rFonts w:eastAsiaTheme="minorEastAsia"/>
          <w:sz w:val="20"/>
          <w:szCs w:val="20"/>
          <w:lang w:eastAsia="ja-JP"/>
        </w:rPr>
      </w:pPr>
      <w:r w:rsidRPr="00F8316E">
        <w:rPr>
          <w:rFonts w:eastAsiaTheme="minorEastAsia"/>
          <w:sz w:val="20"/>
          <w:szCs w:val="20"/>
          <w:lang w:eastAsia="ja-JP"/>
        </w:rPr>
        <w:t xml:space="preserve">Abbreviations: </w:t>
      </w:r>
      <w:r w:rsidRPr="00F8316E">
        <w:rPr>
          <w:bCs/>
          <w:sz w:val="20"/>
          <w:szCs w:val="20"/>
        </w:rPr>
        <w:t xml:space="preserve">GMFM-88, gross motor function measure-88; LVM, </w:t>
      </w:r>
      <w:r w:rsidRPr="00F8316E">
        <w:rPr>
          <w:sz w:val="20"/>
          <w:szCs w:val="20"/>
        </w:rPr>
        <w:t>left ventricular mass</w:t>
      </w:r>
      <w:r w:rsidRPr="00F8316E">
        <w:rPr>
          <w:rFonts w:eastAsiaTheme="minorEastAsia"/>
          <w:sz w:val="20"/>
          <w:szCs w:val="20"/>
          <w:lang w:eastAsia="ja-JP"/>
        </w:rPr>
        <w:t xml:space="preserve">; </w:t>
      </w:r>
      <w:r w:rsidR="00477552">
        <w:rPr>
          <w:rFonts w:eastAsiaTheme="minorEastAsia" w:hint="eastAsia"/>
          <w:sz w:val="20"/>
          <w:szCs w:val="20"/>
          <w:lang w:eastAsia="ja-JP"/>
        </w:rPr>
        <w:t>Pompe-</w:t>
      </w:r>
      <w:r w:rsidRPr="00F8316E">
        <w:rPr>
          <w:rFonts w:eastAsiaTheme="minorEastAsia"/>
          <w:sz w:val="20"/>
          <w:szCs w:val="20"/>
          <w:lang w:eastAsia="ja-JP"/>
        </w:rPr>
        <w:t xml:space="preserve">PEDI, </w:t>
      </w:r>
      <w:r w:rsidR="00477552">
        <w:rPr>
          <w:rFonts w:eastAsiaTheme="minorEastAsia" w:hint="eastAsia"/>
          <w:sz w:val="20"/>
          <w:szCs w:val="20"/>
          <w:lang w:eastAsia="ja-JP"/>
        </w:rPr>
        <w:t>Pompe-</w:t>
      </w:r>
      <w:r w:rsidRPr="00F8316E">
        <w:rPr>
          <w:sz w:val="20"/>
          <w:szCs w:val="20"/>
        </w:rPr>
        <w:t>pediatric evaluation of disability inventory;</w:t>
      </w:r>
      <w:r w:rsidRPr="00F8316E">
        <w:rPr>
          <w:rFonts w:eastAsiaTheme="minorEastAsia"/>
          <w:sz w:val="20"/>
          <w:szCs w:val="20"/>
          <w:lang w:eastAsia="ja-JP"/>
        </w:rPr>
        <w:t xml:space="preserve"> QMFT, </w:t>
      </w:r>
      <w:r w:rsidRPr="00F8316E">
        <w:rPr>
          <w:sz w:val="20"/>
          <w:szCs w:val="20"/>
        </w:rPr>
        <w:t>quick motor function test</w:t>
      </w:r>
      <w:r w:rsidR="00477552">
        <w:rPr>
          <w:rFonts w:eastAsiaTheme="minorEastAsia" w:hint="eastAsia"/>
          <w:sz w:val="20"/>
          <w:szCs w:val="20"/>
          <w:lang w:eastAsia="ja-JP"/>
        </w:rPr>
        <w:t>; SD, standard deviation</w:t>
      </w:r>
    </w:p>
    <w:p w14:paraId="50793FB4" w14:textId="77777777" w:rsidR="00195F03" w:rsidRPr="00F8316E" w:rsidRDefault="00195F03" w:rsidP="00195F03">
      <w:pPr>
        <w:rPr>
          <w:rFonts w:eastAsiaTheme="minorEastAsia"/>
          <w:bCs/>
          <w:sz w:val="20"/>
          <w:szCs w:val="20"/>
          <w:lang w:eastAsia="ja-JP"/>
        </w:rPr>
      </w:pPr>
      <w:r w:rsidRPr="00F8316E">
        <w:rPr>
          <w:rFonts w:eastAsiaTheme="minorEastAsia"/>
          <w:bCs/>
          <w:sz w:val="20"/>
          <w:szCs w:val="20"/>
          <w:lang w:eastAsia="ja-JP"/>
        </w:rPr>
        <w:t>Note:</w:t>
      </w:r>
      <w:r w:rsidRPr="00F8316E">
        <w:rPr>
          <w:rFonts w:eastAsiaTheme="minorEastAsia"/>
          <w:bCs/>
          <w:sz w:val="20"/>
          <w:szCs w:val="20"/>
          <w:vertAlign w:val="superscript"/>
          <w:lang w:eastAsia="ja-JP"/>
        </w:rPr>
        <w:t xml:space="preserve"> a</w:t>
      </w:r>
      <w:r w:rsidRPr="00F8316E">
        <w:rPr>
          <w:rFonts w:eastAsiaTheme="minorEastAsia"/>
          <w:bCs/>
          <w:sz w:val="20"/>
          <w:szCs w:val="20"/>
          <w:lang w:eastAsia="ja-JP"/>
        </w:rPr>
        <w:t>n=5,</w:t>
      </w:r>
      <w:r w:rsidRPr="00F8316E" w:rsidDel="00AD13CC">
        <w:rPr>
          <w:rFonts w:eastAsiaTheme="minorEastAsia"/>
          <w:bCs/>
          <w:sz w:val="20"/>
          <w:szCs w:val="20"/>
          <w:lang w:eastAsia="ja-JP"/>
        </w:rPr>
        <w:t xml:space="preserve"> </w:t>
      </w:r>
      <w:r w:rsidRPr="00F8316E">
        <w:rPr>
          <w:rFonts w:eastAsiaTheme="minorEastAsia"/>
          <w:bCs/>
          <w:sz w:val="20"/>
          <w:szCs w:val="20"/>
          <w:vertAlign w:val="superscript"/>
          <w:lang w:eastAsia="ja-JP"/>
        </w:rPr>
        <w:t>b</w:t>
      </w:r>
      <w:r w:rsidRPr="00F8316E">
        <w:rPr>
          <w:rFonts w:eastAsiaTheme="minorEastAsia"/>
          <w:bCs/>
          <w:sz w:val="20"/>
          <w:szCs w:val="20"/>
          <w:lang w:eastAsia="ja-JP"/>
        </w:rPr>
        <w:t xml:space="preserve">n=2; </w:t>
      </w:r>
      <w:r w:rsidRPr="00690137">
        <w:rPr>
          <w:bCs/>
          <w:sz w:val="20"/>
          <w:szCs w:val="20"/>
        </w:rPr>
        <w:t>mean (S</w:t>
      </w:r>
      <w:r w:rsidRPr="00690137">
        <w:rPr>
          <w:rFonts w:eastAsiaTheme="minorEastAsia"/>
          <w:bCs/>
          <w:sz w:val="20"/>
          <w:szCs w:val="20"/>
          <w:lang w:eastAsia="ja-JP"/>
        </w:rPr>
        <w:t>D</w:t>
      </w:r>
      <w:r w:rsidRPr="00690137">
        <w:rPr>
          <w:bCs/>
          <w:sz w:val="20"/>
          <w:szCs w:val="20"/>
        </w:rPr>
        <w:t>) relate to the overall populations (Patient 2 and 3 values are actual)</w:t>
      </w:r>
    </w:p>
    <w:p w14:paraId="1ACE4292" w14:textId="77777777" w:rsidR="00195F03" w:rsidRDefault="00195F03">
      <w:pPr>
        <w:widowControl/>
        <w:autoSpaceDE/>
        <w:autoSpaceDN/>
        <w:adjustRightInd/>
        <w:spacing w:before="0" w:beforeAutospacing="0" w:after="160" w:afterAutospacing="0" w:line="278" w:lineRule="auto"/>
        <w:rPr>
          <w:rFonts w:eastAsiaTheme="minorEastAsia"/>
          <w:b/>
          <w:bCs/>
          <w:lang w:eastAsia="ja-JP"/>
        </w:rPr>
      </w:pPr>
    </w:p>
    <w:p w14:paraId="3BFD94E7" w14:textId="77777777" w:rsidR="008C7239" w:rsidRDefault="008C7239">
      <w:pPr>
        <w:widowControl/>
        <w:autoSpaceDE/>
        <w:autoSpaceDN/>
        <w:adjustRightInd/>
        <w:spacing w:before="0" w:beforeAutospacing="0" w:after="160" w:afterAutospacing="0" w:line="278" w:lineRule="auto"/>
        <w:rPr>
          <w:rFonts w:eastAsiaTheme="minorEastAsia"/>
          <w:b/>
          <w:bCs/>
          <w:lang w:eastAsia="ja-JP"/>
        </w:rPr>
      </w:pPr>
      <w:r>
        <w:rPr>
          <w:rFonts w:eastAsiaTheme="minorEastAsia"/>
          <w:b/>
          <w:bCs/>
          <w:lang w:eastAsia="ja-JP"/>
        </w:rPr>
        <w:br w:type="page"/>
      </w:r>
    </w:p>
    <w:p w14:paraId="3D479578" w14:textId="3B6C120F" w:rsidR="00195F03" w:rsidRPr="009B7A76" w:rsidRDefault="00195F03" w:rsidP="008C7239">
      <w:pPr>
        <w:pStyle w:val="Heading1"/>
      </w:pPr>
      <w:bookmarkStart w:id="2" w:name="_Toc175130955"/>
      <w:r w:rsidRPr="009B7A76">
        <w:rPr>
          <w:rFonts w:hint="eastAsia"/>
          <w:bCs/>
        </w:rPr>
        <w:lastRenderedPageBreak/>
        <w:t>Supplementary Fig. 1.</w:t>
      </w:r>
      <w:r>
        <w:rPr>
          <w:rFonts w:hint="eastAsia"/>
        </w:rPr>
        <w:t xml:space="preserve"> </w:t>
      </w:r>
      <w:r w:rsidRPr="008C7239">
        <w:rPr>
          <w:rFonts w:hint="eastAsia"/>
          <w:b w:val="0"/>
          <w:bCs/>
        </w:rPr>
        <w:t xml:space="preserve">Course of ADA titer in </w:t>
      </w:r>
      <w:r w:rsidRPr="008C7239">
        <w:rPr>
          <w:b w:val="0"/>
          <w:bCs/>
        </w:rPr>
        <w:t>Patient</w:t>
      </w:r>
      <w:r w:rsidRPr="008C7239">
        <w:rPr>
          <w:rFonts w:hint="eastAsia"/>
          <w:b w:val="0"/>
          <w:bCs/>
        </w:rPr>
        <w:t xml:space="preserve"> 1</w:t>
      </w:r>
      <w:bookmarkEnd w:id="2"/>
    </w:p>
    <w:p w14:paraId="3A69F68A" w14:textId="48FDCCE5" w:rsidR="00195F03" w:rsidRDefault="00195F03">
      <w:r w:rsidRPr="00FF0278">
        <w:rPr>
          <w:rFonts w:eastAsiaTheme="minorEastAsia"/>
          <w:noProof/>
          <w:lang w:eastAsia="ja-JP"/>
        </w:rPr>
        <w:drawing>
          <wp:inline distT="0" distB="0" distL="0" distR="0" wp14:anchorId="4BAA4E39" wp14:editId="0A3D47A8">
            <wp:extent cx="4414945" cy="2948025"/>
            <wp:effectExtent l="0" t="0" r="5080" b="5080"/>
            <wp:docPr id="2131874451" name="Picture 1" descr="A line graph with numbers and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874451" name="Picture 1" descr="A line graph with numbers and a li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25991" cy="295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88A07" w14:textId="77777777" w:rsidR="00195F03" w:rsidRDefault="00195F03">
      <w:pPr>
        <w:widowControl/>
        <w:autoSpaceDE/>
        <w:autoSpaceDN/>
        <w:adjustRightInd/>
        <w:spacing w:before="0" w:beforeAutospacing="0" w:after="160" w:afterAutospacing="0" w:line="278" w:lineRule="auto"/>
      </w:pPr>
    </w:p>
    <w:p w14:paraId="6BB942E1" w14:textId="77777777" w:rsidR="00195F03" w:rsidRDefault="00195F03">
      <w:pPr>
        <w:widowControl/>
        <w:autoSpaceDE/>
        <w:autoSpaceDN/>
        <w:adjustRightInd/>
        <w:spacing w:before="0" w:beforeAutospacing="0" w:after="160" w:afterAutospacing="0" w:line="278" w:lineRule="auto"/>
      </w:pPr>
    </w:p>
    <w:p w14:paraId="2D5B0265" w14:textId="77B48205" w:rsidR="00195F03" w:rsidRDefault="00195F03" w:rsidP="008C7239">
      <w:pPr>
        <w:pStyle w:val="Heading1"/>
        <w:rPr>
          <w:noProof/>
        </w:rPr>
      </w:pPr>
      <w:r>
        <w:br w:type="page"/>
      </w:r>
      <w:bookmarkStart w:id="3" w:name="_Toc175130956"/>
      <w:r w:rsidRPr="008C7239">
        <w:lastRenderedPageBreak/>
        <w:t xml:space="preserve">Supplementary Fig. </w:t>
      </w:r>
      <w:r w:rsidRPr="008C7239">
        <w:rPr>
          <w:rFonts w:hint="eastAsia"/>
        </w:rPr>
        <w:t>2</w:t>
      </w:r>
      <w:r w:rsidRPr="008C7239">
        <w:t>.</w:t>
      </w:r>
      <w:r w:rsidRPr="008C7239">
        <w:rPr>
          <w:b w:val="0"/>
          <w:bCs/>
        </w:rPr>
        <w:t xml:space="preserve"> </w:t>
      </w:r>
      <w:bookmarkStart w:id="4" w:name="_Hlk171515750"/>
      <w:r w:rsidRPr="008C7239">
        <w:rPr>
          <w:b w:val="0"/>
          <w:bCs/>
        </w:rPr>
        <w:t xml:space="preserve">GMFM-88 total percent score and QMFT total score </w:t>
      </w:r>
      <w:bookmarkEnd w:id="4"/>
      <w:r w:rsidRPr="008C7239">
        <w:rPr>
          <w:b w:val="0"/>
          <w:bCs/>
        </w:rPr>
        <w:t>in (A) Patient 2 (B) Patient 3 (</w:t>
      </w:r>
      <w:r w:rsidRPr="008C7239">
        <w:rPr>
          <w:rFonts w:ascii="Wingdings" w:hAnsi="Wingdings" w:cs="Wingdings"/>
          <w:b w:val="0"/>
          <w:bCs/>
        </w:rPr>
        <w:t>¡</w:t>
      </w:r>
      <w:r w:rsidRPr="008C7239">
        <w:rPr>
          <w:b w:val="0"/>
          <w:bCs/>
        </w:rPr>
        <w:t>) and the mean (SD) in the overall population in each cohort (</w:t>
      </w:r>
      <w:r w:rsidRPr="008C7239">
        <w:rPr>
          <w:rFonts w:ascii="Wingdings" w:hAnsi="Wingdings" w:cs="Wingdings"/>
          <w:b w:val="0"/>
          <w:bCs/>
        </w:rPr>
        <w:t>l</w:t>
      </w:r>
      <w:r w:rsidRPr="008C7239">
        <w:rPr>
          <w:b w:val="0"/>
          <w:bCs/>
        </w:rPr>
        <w:t>) from the Mini-COMET trial.</w:t>
      </w:r>
      <w:bookmarkEnd w:id="3"/>
      <w:r w:rsidRPr="008C7239">
        <w:rPr>
          <w:rFonts w:hint="eastAsia"/>
          <w:noProof/>
        </w:rPr>
        <w:t xml:space="preserve"> </w:t>
      </w:r>
    </w:p>
    <w:p w14:paraId="0E40612F" w14:textId="1777BA5B" w:rsidR="00195F03" w:rsidRDefault="00195F03" w:rsidP="00195F03"/>
    <w:p w14:paraId="56DD0284" w14:textId="77777777" w:rsidR="00195F03" w:rsidRDefault="00195F03" w:rsidP="00195F03">
      <w:r>
        <w:rPr>
          <w:noProof/>
        </w:rPr>
        <w:drawing>
          <wp:inline distT="0" distB="0" distL="0" distR="0" wp14:anchorId="50F4705C" wp14:editId="4C8764DE">
            <wp:extent cx="5731510" cy="4175125"/>
            <wp:effectExtent l="0" t="0" r="2540" b="0"/>
            <wp:docPr id="20154098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40981" name="Picture 20154098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7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9F7DC" w14:textId="2DD49F6A" w:rsidR="00195F03" w:rsidRDefault="00195F03">
      <w:pPr>
        <w:widowControl/>
        <w:autoSpaceDE/>
        <w:autoSpaceDN/>
        <w:adjustRightInd/>
        <w:spacing w:before="0" w:beforeAutospacing="0" w:after="160" w:afterAutospacing="0" w:line="278" w:lineRule="auto"/>
      </w:pPr>
    </w:p>
    <w:p w14:paraId="565B5130" w14:textId="6DBDDD83" w:rsidR="00195F03" w:rsidRDefault="00195F03" w:rsidP="00195F03">
      <w:pPr>
        <w:pStyle w:val="Bullet1"/>
        <w:numPr>
          <w:ilvl w:val="0"/>
          <w:numId w:val="0"/>
        </w:numPr>
        <w:ind w:leftChars="82" w:left="180"/>
        <w:rPr>
          <w:rFonts w:eastAsiaTheme="minorEastAsia"/>
          <w:lang w:eastAsia="ja-JP"/>
        </w:rPr>
      </w:pPr>
    </w:p>
    <w:p w14:paraId="381D47E1" w14:textId="77777777" w:rsidR="00195F03" w:rsidRPr="00195F03" w:rsidRDefault="00195F03"/>
    <w:sectPr w:rsidR="00195F03" w:rsidRPr="00195F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836FB"/>
    <w:multiLevelType w:val="hybridMultilevel"/>
    <w:tmpl w:val="BD10B74C"/>
    <w:lvl w:ilvl="0" w:tplc="70422A6E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5262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F03"/>
    <w:rsid w:val="00013A0C"/>
    <w:rsid w:val="000A35D0"/>
    <w:rsid w:val="00190E7F"/>
    <w:rsid w:val="00195F03"/>
    <w:rsid w:val="002264D0"/>
    <w:rsid w:val="003004CF"/>
    <w:rsid w:val="00477552"/>
    <w:rsid w:val="004D600F"/>
    <w:rsid w:val="005A3E57"/>
    <w:rsid w:val="0060014D"/>
    <w:rsid w:val="007274E5"/>
    <w:rsid w:val="008C7239"/>
    <w:rsid w:val="008D7ADD"/>
    <w:rsid w:val="009B6FBE"/>
    <w:rsid w:val="00A36EA3"/>
    <w:rsid w:val="00AC22FD"/>
    <w:rsid w:val="00AC6025"/>
    <w:rsid w:val="00AC6E93"/>
    <w:rsid w:val="00B27930"/>
    <w:rsid w:val="00B72789"/>
    <w:rsid w:val="00DA650D"/>
    <w:rsid w:val="00E13C64"/>
    <w:rsid w:val="00E96B45"/>
    <w:rsid w:val="00F0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FB5D463"/>
  <w15:chartTrackingRefBased/>
  <w15:docId w15:val="{8085C710-4D81-44C6-878E-CB040AF5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F03"/>
    <w:pPr>
      <w:widowControl w:val="0"/>
      <w:autoSpaceDE w:val="0"/>
      <w:autoSpaceDN w:val="0"/>
      <w:adjustRightInd w:val="0"/>
      <w:spacing w:before="100" w:beforeAutospacing="1" w:after="100" w:afterAutospacing="1" w:line="480" w:lineRule="auto"/>
    </w:pPr>
    <w:rPr>
      <w:rFonts w:ascii="Times New Roman" w:eastAsia="Times New Roman" w:hAnsi="Times New Roman" w:cs="Times New Roman"/>
      <w:kern w:val="0"/>
      <w:sz w:val="22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C7239"/>
    <w:pPr>
      <w:keepNext/>
      <w:keepLines/>
      <w:spacing w:before="360" w:after="80"/>
      <w:outlineLvl w:val="0"/>
    </w:pPr>
    <w:rPr>
      <w:rFonts w:eastAsiaTheme="minorEastAsia"/>
      <w:b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5F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5F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5F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5F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5F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5F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5F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5F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7239"/>
    <w:rPr>
      <w:rFonts w:ascii="Times New Roman" w:hAnsi="Times New Roman" w:cs="Times New Roman"/>
      <w:b/>
      <w:kern w:val="0"/>
      <w:sz w:val="22"/>
      <w:szCs w:val="2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5F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5F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5F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5F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5F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5F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5F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5F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5F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5F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5F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5F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5F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5F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5F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5F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F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5F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5F03"/>
    <w:rPr>
      <w:b/>
      <w:bCs/>
      <w:smallCaps/>
      <w:color w:val="0F4761" w:themeColor="accent1" w:themeShade="BF"/>
      <w:spacing w:val="5"/>
    </w:rPr>
  </w:style>
  <w:style w:type="paragraph" w:customStyle="1" w:styleId="Bullet1">
    <w:name w:val="Bullet 1"/>
    <w:basedOn w:val="ListParagraph"/>
    <w:link w:val="Bullet1Char"/>
    <w:qFormat/>
    <w:rsid w:val="00195F03"/>
    <w:pPr>
      <w:numPr>
        <w:numId w:val="1"/>
      </w:numPr>
      <w:spacing w:after="0"/>
    </w:pPr>
  </w:style>
  <w:style w:type="character" w:customStyle="1" w:styleId="Bullet1Char">
    <w:name w:val="Bullet 1 Char"/>
    <w:basedOn w:val="DefaultParagraphFont"/>
    <w:link w:val="Bullet1"/>
    <w:rsid w:val="00195F03"/>
    <w:rPr>
      <w:rFonts w:eastAsia="Times New Roman" w:cs="Times New Roman"/>
      <w:kern w:val="0"/>
      <w:sz w:val="22"/>
      <w:szCs w:val="22"/>
      <w:lang w:eastAsia="en-US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8C7239"/>
    <w:pPr>
      <w:widowControl/>
      <w:autoSpaceDE/>
      <w:autoSpaceDN/>
      <w:adjustRightInd/>
      <w:spacing w:before="240" w:beforeAutospacing="0" w:after="0" w:afterAutospacing="0" w:line="259" w:lineRule="auto"/>
      <w:outlineLvl w:val="9"/>
    </w:pPr>
    <w:rPr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8C7239"/>
  </w:style>
  <w:style w:type="character" w:styleId="Hyperlink">
    <w:name w:val="Hyperlink"/>
    <w:basedOn w:val="DefaultParagraphFont"/>
    <w:uiPriority w:val="99"/>
    <w:unhideWhenUsed/>
    <w:rsid w:val="008C7239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D600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D600F"/>
  </w:style>
  <w:style w:type="character" w:customStyle="1" w:styleId="CommentTextChar">
    <w:name w:val="Comment Text Char"/>
    <w:basedOn w:val="DefaultParagraphFont"/>
    <w:link w:val="CommentText"/>
    <w:uiPriority w:val="99"/>
    <w:rsid w:val="004D600F"/>
    <w:rPr>
      <w:rFonts w:ascii="Times New Roman" w:eastAsia="Times New Roman" w:hAnsi="Times New Roman" w:cs="Times New Roman"/>
      <w:kern w:val="0"/>
      <w:sz w:val="22"/>
      <w:szCs w:val="22"/>
      <w:lang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0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00F"/>
    <w:rPr>
      <w:rFonts w:ascii="Times New Roman" w:eastAsia="Times New Roman" w:hAnsi="Times New Roman" w:cs="Times New Roman"/>
      <w:b/>
      <w:bCs/>
      <w:kern w:val="0"/>
      <w:sz w:val="22"/>
      <w:szCs w:val="22"/>
      <w:lang w:eastAsia="en-US"/>
      <w14:ligatures w14:val="none"/>
    </w:rPr>
  </w:style>
  <w:style w:type="paragraph" w:styleId="Revision">
    <w:name w:val="Revision"/>
    <w:hidden/>
    <w:uiPriority w:val="99"/>
    <w:semiHidden/>
    <w:rsid w:val="00477552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tiff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52212-8955-4162-b9ac-4e0eed2e472c">
      <Terms xmlns="http://schemas.microsoft.com/office/infopath/2007/PartnerControls"/>
    </lcf76f155ced4ddcb4097134ff3c332f>
    <_Flow_SignoffStatus xmlns="cc552212-8955-4162-b9ac-4e0eed2e472c" xsi:nil="true"/>
    <TaxCatchAll xmlns="d743b863-bd27-49ec-acc5-a080b37abde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BA6EBAA3523EE4EB973734A0FBC1593" ma:contentTypeVersion="14" ma:contentTypeDescription="新しいドキュメントを作成します。" ma:contentTypeScope="" ma:versionID="b2f7ac143186085101651728b797b7c0">
  <xsd:schema xmlns:xsd="http://www.w3.org/2001/XMLSchema" xmlns:xs="http://www.w3.org/2001/XMLSchema" xmlns:p="http://schemas.microsoft.com/office/2006/metadata/properties" xmlns:ns2="cc552212-8955-4162-b9ac-4e0eed2e472c" xmlns:ns3="d743b863-bd27-49ec-acc5-a080b37abde3" targetNamespace="http://schemas.microsoft.com/office/2006/metadata/properties" ma:root="true" ma:fieldsID="5ec8702c09c65a4a118eeccf3bfab2eb" ns2:_="" ns3:_="">
    <xsd:import namespace="cc552212-8955-4162-b9ac-4e0eed2e472c"/>
    <xsd:import namespace="d743b863-bd27-49ec-acc5-a080b37ab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52212-8955-4162-b9ac-4e0eed2e4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3b863-bd27-49ec-acc5-a080b37abde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301c288-df94-4354-904e-f7d8d91962dc}" ma:internalName="TaxCatchAll" ma:showField="CatchAllData" ma:web="d743b863-bd27-49ec-acc5-a080b37ab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2A4B74-D07F-47CC-A86D-DD167520FE2E}">
  <ds:schemaRefs>
    <ds:schemaRef ds:uri="http://schemas.microsoft.com/office/2006/metadata/properties"/>
    <ds:schemaRef ds:uri="http://schemas.microsoft.com/office/infopath/2007/PartnerControls"/>
    <ds:schemaRef ds:uri="cc552212-8955-4162-b9ac-4e0eed2e472c"/>
    <ds:schemaRef ds:uri="d743b863-bd27-49ec-acc5-a080b37abde3"/>
  </ds:schemaRefs>
</ds:datastoreItem>
</file>

<file path=customXml/itemProps2.xml><?xml version="1.0" encoding="utf-8"?>
<ds:datastoreItem xmlns:ds="http://schemas.openxmlformats.org/officeDocument/2006/customXml" ds:itemID="{BB0B5687-5013-49BC-A1CA-3AECFDEA7B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B4DEC9-4E9C-4C0F-BE0D-A517BC8B74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2D57DB-0C93-4D7E-B698-D59C134B1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52212-8955-4162-b9ac-4e0eed2e472c"/>
    <ds:schemaRef ds:uri="d743b863-bd27-49ec-acc5-a080b37ab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Springer Healthcare</dc:creator>
  <cp:keywords/>
  <dc:description/>
  <cp:lastModifiedBy>Springer Healthcare</cp:lastModifiedBy>
  <cp:revision>2</cp:revision>
  <dcterms:created xsi:type="dcterms:W3CDTF">2024-11-22T03:58:00Z</dcterms:created>
  <dcterms:modified xsi:type="dcterms:W3CDTF">2024-11-22T03:58:00Z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0x010100BBA6EBAA3523EE4EB973734A0FBC1593</vt:lpwstr>
  </property>
  <property fmtid="{D5CDD505-2E9C-101B-9397-08002B2CF9AE}" pid="3" name="MSIP_Label_d9088468-0951-4aef-9cc3-0a346e475ddc_Enabled">
    <vt:lpwstr>true</vt:lpwstr>
  </property>
  <property fmtid="{D5CDD505-2E9C-101B-9397-08002B2CF9AE}" pid="4" name="MSIP_Label_d9088468-0951-4aef-9cc3-0a346e475ddc_SetDate">
    <vt:lpwstr>2024-11-21T23:26:44Z</vt:lpwstr>
  </property>
  <property fmtid="{D5CDD505-2E9C-101B-9397-08002B2CF9AE}" pid="5" name="MSIP_Label_d9088468-0951-4aef-9cc3-0a346e475ddc_Method">
    <vt:lpwstr>Privileged</vt:lpwstr>
  </property>
  <property fmtid="{D5CDD505-2E9C-101B-9397-08002B2CF9AE}" pid="6" name="MSIP_Label_d9088468-0951-4aef-9cc3-0a346e475ddc_Name">
    <vt:lpwstr>Public</vt:lpwstr>
  </property>
  <property fmtid="{D5CDD505-2E9C-101B-9397-08002B2CF9AE}" pid="7" name="MSIP_Label_d9088468-0951-4aef-9cc3-0a346e475ddc_SiteId">
    <vt:lpwstr>aca3c8d6-aa71-4e1a-a10e-03572fc58c0b</vt:lpwstr>
  </property>
  <property fmtid="{D5CDD505-2E9C-101B-9397-08002B2CF9AE}" pid="8" name="MSIP_Label_d9088468-0951-4aef-9cc3-0a346e475ddc_ActionId">
    <vt:lpwstr>b6275131-febe-4186-a74d-68c0f080ebb2</vt:lpwstr>
  </property>
  <property fmtid="{D5CDD505-2E9C-101B-9397-08002B2CF9AE}" pid="9" name="MSIP_Label_d9088468-0951-4aef-9cc3-0a346e475ddc_ContentBits">
    <vt:lpwstr>0</vt:lpwstr>
  </property>
  <property fmtid="{D5CDD505-2E9C-101B-9397-08002B2CF9AE}" pid="10" name="MediaServiceImageTags">
    <vt:lpwstr/>
  </property>
</Properties>
</file>