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ef39760b850e07158dec36107eaa1989432e3e4"/>
    <w:p>
      <w:pPr>
        <w:pStyle w:val="Heading1"/>
      </w:pPr>
      <w:r>
        <w:t xml:space="preserve">TurboQuant Pro v0.5: Autotune, FAISS, and vLLM KV Cache Compression — All Open Source</w:t>
      </w:r>
    </w:p>
    <w:p>
      <w:pPr>
        <w:pStyle w:val="FirstParagraph"/>
      </w:pPr>
      <w:r>
        <w:rPr>
          <w:i/>
          <w:iCs/>
        </w:rPr>
        <w:t xml:space="preserve">Andrew H. Bond | San Jose State University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Three updates to TurboQuant Pro since the initial release. All MIT-licensed, all on PyPI.</w:t>
      </w:r>
    </w:p>
    <w:bookmarkStart w:id="9" w:name="Xdf7295809d5cbd12938dd2ffb43452970479a30"/>
    <w:p>
      <w:pPr>
        <w:pStyle w:val="Heading2"/>
      </w:pPr>
      <w:r>
        <w:t xml:space="preserve">1. Autotune: One Command to Find Your Optimal Compression</w:t>
      </w:r>
    </w:p>
    <w:p>
      <w:pPr>
        <w:pStyle w:val="FirstParagraph"/>
      </w:pPr>
      <w:r>
        <w:t xml:space="preserve">The number-one question we got after release:</w:t>
      </w:r>
      <w:r>
        <w:t xml:space="preserve"> </w:t>
      </w:r>
      <w:r>
        <w:t xml:space="preserve">“Which configuration should I use?”</w:t>
      </w:r>
      <w:r>
        <w:t xml:space="preserve"> </w:t>
      </w:r>
      <w:r>
        <w:t xml:space="preserve">Every corpus is different — the eigenvalue spectrum of your embeddings determines the quality/compression tradeoff.</w:t>
      </w:r>
    </w:p>
    <w:p>
      <w:pPr>
        <w:pStyle w:val="BodyText"/>
      </w:pPr>
      <w:r>
        <w:t xml:space="preserve">Autotune answers this in 10 seconds:</w:t>
      </w:r>
    </w:p>
    <w:p>
      <w:pPr>
        <w:pStyle w:val="SourceCode"/>
      </w:pPr>
      <w:r>
        <w:rPr>
          <w:rStyle w:val="ExtensionTok"/>
        </w:rPr>
        <w:t xml:space="preserve">pip</w:t>
      </w:r>
      <w:r>
        <w:rPr>
          <w:rStyle w:val="NormalTok"/>
        </w:rPr>
        <w:t xml:space="preserve"> install turboquant-pro</w:t>
      </w:r>
      <w:r>
        <w:rPr>
          <w:rStyle w:val="PreprocessorTok"/>
        </w:rPr>
        <w:t xml:space="preserve">[</w:t>
      </w:r>
      <w:r>
        <w:rPr>
          <w:rStyle w:val="SpecialStringTok"/>
        </w:rPr>
        <w:t xml:space="preserve">pgvector</w:t>
      </w:r>
      <w:r>
        <w:rPr>
          <w:rStyle w:val="PreprocessorTok"/>
        </w:rPr>
        <w:t xml:space="preserve">]</w:t>
      </w:r>
      <w:r>
        <w:br/>
      </w:r>
      <w:r>
        <w:rPr>
          <w:rStyle w:val="ExtensionTok"/>
        </w:rPr>
        <w:t xml:space="preserve">turboquant-pro</w:t>
      </w:r>
      <w:r>
        <w:rPr>
          <w:rStyle w:val="NormalTok"/>
        </w:rPr>
        <w:t xml:space="preserve"> autotune </w:t>
      </w:r>
      <w:r>
        <w:rPr>
          <w:rStyle w:val="AttributeTok"/>
        </w:rPr>
        <w:t xml:space="preserve">--source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"dbname=mydb user=me"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--min-recall</w:t>
      </w:r>
      <w:r>
        <w:rPr>
          <w:rStyle w:val="NormalTok"/>
        </w:rPr>
        <w:t xml:space="preserve"> 0.95</w:t>
      </w:r>
    </w:p>
    <w:p>
      <w:pPr>
        <w:pStyle w:val="FirstParagraph"/>
      </w:pPr>
      <w:r>
        <w:t xml:space="preserve">It connects to your PostgreSQL database, samples embeddings, sweeps 12 configurations (4 PCA dimensions x 3 bit widths), and recommends the highest compression that meets your recall threshold.</w:t>
      </w:r>
    </w:p>
    <w:p>
      <w:pPr>
        <w:pStyle w:val="BodyText"/>
      </w:pPr>
      <w:r>
        <w:t xml:space="preserve">We ran it on a production RAG system with 194K BGE-M3 embeddings: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Configuration</w:t>
            </w:r>
          </w:p>
        </w:tc>
        <w:tc>
          <w:tcPr/>
          <w:p>
            <w:pPr>
              <w:pStyle w:val="Compact"/>
            </w:pPr>
            <w:r>
              <w:t xml:space="preserve">Compression</w:t>
            </w:r>
          </w:p>
        </w:tc>
        <w:tc>
          <w:tcPr/>
          <w:p>
            <w:pPr>
              <w:pStyle w:val="Compact"/>
            </w:pPr>
            <w:r>
              <w:t xml:space="preserve">Cosine Sim</w:t>
            </w:r>
          </w:p>
        </w:tc>
        <w:tc>
          <w:tcPr/>
          <w:p>
            <w:pPr>
              <w:pStyle w:val="Compact"/>
            </w:pPr>
            <w:r>
              <w:t xml:space="preserve">Recall@10</w:t>
            </w:r>
          </w:p>
        </w:tc>
      </w:tr>
      <w:tr>
        <w:tc>
          <w:tcPr/>
          <w:p>
            <w:pPr>
              <w:pStyle w:val="Compact"/>
            </w:pPr>
            <w:r>
              <w:t xml:space="preserve">PCA-512 + 4-bit</w:t>
            </w:r>
          </w:p>
        </w:tc>
        <w:tc>
          <w:tcPr/>
          <w:p>
            <w:pPr>
              <w:pStyle w:val="Compact"/>
            </w:pPr>
            <w:r>
              <w:t xml:space="preserve">15.8x</w:t>
            </w:r>
          </w:p>
        </w:tc>
        <w:tc>
          <w:tcPr/>
          <w:p>
            <w:pPr>
              <w:pStyle w:val="Compact"/>
            </w:pPr>
            <w:r>
              <w:t xml:space="preserve">0.995</w:t>
            </w:r>
          </w:p>
        </w:tc>
        <w:tc>
          <w:tcPr/>
          <w:p>
            <w:pPr>
              <w:pStyle w:val="Compact"/>
            </w:pPr>
            <w:r>
              <w:t xml:space="preserve">96.3%</w:t>
            </w:r>
          </w:p>
        </w:tc>
      </w:tr>
      <w:tr>
        <w:tc>
          <w:tcPr/>
          <w:p>
            <w:pPr>
              <w:pStyle w:val="Compact"/>
            </w:pPr>
            <w:r>
              <w:t xml:space="preserve">PCA-384 + 4-bit</w:t>
            </w:r>
          </w:p>
        </w:tc>
        <w:tc>
          <w:tcPr/>
          <w:p>
            <w:pPr>
              <w:pStyle w:val="Compact"/>
            </w:pPr>
            <w:r>
              <w:t xml:space="preserve">20.9x</w:t>
            </w:r>
          </w:p>
        </w:tc>
        <w:tc>
          <w:tcPr/>
          <w:p>
            <w:pPr>
              <w:pStyle w:val="Compact"/>
            </w:pPr>
            <w:r>
              <w:t xml:space="preserve">0.991</w:t>
            </w:r>
          </w:p>
        </w:tc>
        <w:tc>
          <w:tcPr/>
          <w:p>
            <w:pPr>
              <w:pStyle w:val="Compact"/>
            </w:pPr>
            <w:r>
              <w:t xml:space="preserve">96.0%</w:t>
            </w:r>
          </w:p>
        </w:tc>
      </w:tr>
      <w:tr>
        <w:tc>
          <w:tcPr/>
          <w:p>
            <w:pPr>
              <w:pStyle w:val="Compact"/>
            </w:pPr>
            <w:r>
              <w:t xml:space="preserve">PCA-384 + 3-bit</w:t>
            </w:r>
          </w:p>
        </w:tc>
        <w:tc>
          <w:tcPr/>
          <w:p>
            <w:pPr>
              <w:pStyle w:val="Compact"/>
            </w:pPr>
            <w:r>
              <w:t xml:space="preserve">27.7x</w:t>
            </w:r>
          </w:p>
        </w:tc>
        <w:tc>
          <w:tcPr/>
          <w:p>
            <w:pPr>
              <w:pStyle w:val="Compact"/>
            </w:pPr>
            <w:r>
              <w:t xml:space="preserve">0.982</w:t>
            </w:r>
          </w:p>
        </w:tc>
        <w:tc>
          <w:tcPr/>
          <w:p>
            <w:pPr>
              <w:pStyle w:val="Compact"/>
            </w:pPr>
            <w:r>
              <w:t xml:space="preserve">93.7%</w:t>
            </w:r>
          </w:p>
        </w:tc>
      </w:tr>
      <w:tr>
        <w:tc>
          <w:tcPr/>
          <w:p>
            <w:pPr>
              <w:pStyle w:val="Compact"/>
            </w:pPr>
            <w:r>
              <w:t xml:space="preserve">PCA-128 + 2-bit</w:t>
            </w:r>
          </w:p>
        </w:tc>
        <w:tc>
          <w:tcPr/>
          <w:p>
            <w:pPr>
              <w:pStyle w:val="Compact"/>
            </w:pPr>
            <w:r>
              <w:t xml:space="preserve">113.8x</w:t>
            </w:r>
          </w:p>
        </w:tc>
        <w:tc>
          <w:tcPr/>
          <w:p>
            <w:pPr>
              <w:pStyle w:val="Compact"/>
            </w:pPr>
            <w:r>
              <w:t xml:space="preserve">0.924</w:t>
            </w:r>
          </w:p>
        </w:tc>
        <w:tc>
          <w:tcPr/>
          <w:p>
            <w:pPr>
              <w:pStyle w:val="Compact"/>
            </w:pPr>
            <w:r>
              <w:t xml:space="preserve">78.7%</w:t>
            </w:r>
          </w:p>
        </w:tc>
      </w:tr>
    </w:tbl>
    <w:p>
      <w:pPr>
        <w:pStyle w:val="BodyText"/>
      </w:pPr>
      <w:r>
        <w:t xml:space="preserve">Total sweep time: 10.8 seconds. No GPU required.</w:t>
      </w:r>
    </w:p>
    <w:bookmarkEnd w:id="9"/>
    <w:bookmarkStart w:id="10" w:name="faiss-integration"/>
    <w:p>
      <w:pPr>
        <w:pStyle w:val="Heading2"/>
      </w:pPr>
      <w:r>
        <w:t xml:space="preserve">2. FAISS Integration</w:t>
      </w:r>
    </w:p>
    <w:p>
      <w:pPr>
        <w:pStyle w:val="FirstParagraph"/>
      </w:pPr>
      <w:r>
        <w:t xml:space="preserve">TurboQuant now wraps FAISS indices with automatic PCA compression. Your 1024-dim embeddings get PCA-rotated and truncated before indexing, shrinking the index by 2-8x with minimal quality loss.</w:t>
      </w:r>
    </w:p>
    <w:p>
      <w:pPr>
        <w:pStyle w:val="SourceCode"/>
      </w:pPr>
      <w:r>
        <w:rPr>
          <w:rStyle w:val="ImportTok"/>
        </w:rPr>
        <w:t xml:space="preserve">from</w:t>
      </w:r>
      <w:r>
        <w:rPr>
          <w:rStyle w:val="NormalTok"/>
        </w:rPr>
        <w:t xml:space="preserve"> turboquant_pro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PCAMatryoshka</w:t>
      </w:r>
      <w:r>
        <w:br/>
      </w:r>
      <w:r>
        <w:rPr>
          <w:rStyle w:val="ImportTok"/>
        </w:rPr>
        <w:t xml:space="preserve">from</w:t>
      </w:r>
      <w:r>
        <w:rPr>
          <w:rStyle w:val="NormalTok"/>
        </w:rPr>
        <w:t xml:space="preserve"> turboquant_pro.faiss_index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TurboQuantFAISS</w:t>
      </w:r>
      <w:r>
        <w:br/>
      </w:r>
      <w:r>
        <w:br/>
      </w:r>
      <w:r>
        <w:rPr>
          <w:rStyle w:val="NormalTok"/>
        </w:rPr>
        <w:t xml:space="preserve">pca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PCAMatryoshka(input_dim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1024</w:t>
      </w:r>
      <w:r>
        <w:rPr>
          <w:rStyle w:val="NormalTok"/>
        </w:rPr>
        <w:t xml:space="preserve">, output_dim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384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pca.fit(sample_embeddings)</w:t>
      </w:r>
      <w:r>
        <w:br/>
      </w:r>
      <w:r>
        <w:br/>
      </w:r>
      <w:r>
        <w:rPr>
          <w:rStyle w:val="NormalTok"/>
        </w:rPr>
        <w:t xml:space="preserve">index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TurboQuantFAISS(pca, index_type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"ivf"</w:t>
      </w:r>
      <w:r>
        <w:rPr>
          <w:rStyle w:val="NormalTok"/>
        </w:rPr>
        <w:t xml:space="preserve">, n_lists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index.add(corpus_embeddings)  </w:t>
      </w:r>
      <w:r>
        <w:rPr>
          <w:rStyle w:val="CommentTok"/>
        </w:rPr>
        <w:t xml:space="preserve"># Auto PCA-compressed</w:t>
      </w:r>
      <w:r>
        <w:br/>
      </w:r>
      <w:r>
        <w:rPr>
          <w:rStyle w:val="NormalTok"/>
        </w:rPr>
        <w:t xml:space="preserve">distances, ids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index.search(query, k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  </w:t>
      </w:r>
      <w:r>
        <w:rPr>
          <w:rStyle w:val="CommentTok"/>
        </w:rPr>
        <w:t xml:space="preserve"># Auto PCA-rotated</w:t>
      </w:r>
    </w:p>
    <w:p>
      <w:pPr>
        <w:pStyle w:val="FirstParagraph"/>
      </w:pPr>
      <w:r>
        <w:t xml:space="preserve">Supports Flat, IVF, and HNSW index types. Queries are automatically PCA-rotated before search — the caller never touches the compressed space.</w:t>
      </w:r>
    </w:p>
    <w:bookmarkEnd w:id="10"/>
    <w:bookmarkStart w:id="11" w:name="vllm-kv-cache-plugin"/>
    <w:p>
      <w:pPr>
        <w:pStyle w:val="Heading2"/>
      </w:pPr>
      <w:r>
        <w:t xml:space="preserve">3. vLLM KV Cache Plugin</w:t>
      </w:r>
    </w:p>
    <w:p>
      <w:pPr>
        <w:pStyle w:val="FirstParagraph"/>
      </w:pPr>
      <w:r>
        <w:t xml:space="preserve">The KV cache in transformer inference has the same compression opportunity as embeddings: high-dimensional, low effective rank, accessed via inner product. TurboQuant’s 3-bit quantization reduces KV cache memory by ~5x with a two-tier architecture: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Hot window</w:t>
      </w:r>
      <w:r>
        <w:t xml:space="preserve"> </w:t>
      </w:r>
      <w:r>
        <w:t xml:space="preserve">(last 512 tokens): Uncompressed in VRAM for zero-latency attention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Cold storage</w:t>
      </w:r>
      <w:r>
        <w:t xml:space="preserve"> </w:t>
      </w:r>
      <w:r>
        <w:t xml:space="preserve">(older tokens): 3-bit compressed, decompressed on demand</w:t>
      </w:r>
    </w:p>
    <w:p>
      <w:pPr>
        <w:pStyle w:val="SourceCode"/>
      </w:pPr>
      <w:r>
        <w:rPr>
          <w:rStyle w:val="ImportTok"/>
        </w:rPr>
        <w:t xml:space="preserve">from</w:t>
      </w:r>
      <w:r>
        <w:rPr>
          <w:rStyle w:val="NormalTok"/>
        </w:rPr>
        <w:t xml:space="preserve"> turboquant_pro.vllm_plugin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TurboQuantKVManager</w:t>
      </w:r>
      <w:r>
        <w:br/>
      </w:r>
      <w:r>
        <w:br/>
      </w:r>
      <w:r>
        <w:rPr>
          <w:rStyle w:val="NormalTok"/>
        </w:rPr>
        <w:t xml:space="preserve">mgr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TurboQuantKVManager(</w:t>
      </w:r>
      <w:r>
        <w:br/>
      </w:r>
      <w:r>
        <w:rPr>
          <w:rStyle w:val="NormalTok"/>
        </w:rPr>
        <w:t xml:space="preserve">    n_layers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, n_kv_heads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head_dim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128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bits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hot_window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512</w:t>
      </w:r>
      <w:r>
        <w:br/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Estimate max context for your memory budget</w:t>
      </w:r>
      <w:r>
        <w:br/>
      </w:r>
      <w:r>
        <w:rPr>
          <w:rStyle w:val="NormalTok"/>
        </w:rPr>
        <w:t xml:space="preserve">max_ctx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mgr.estimate_capacity(max_memory_gb</w:t>
      </w:r>
      <w:r>
        <w:rPr>
          <w:rStyle w:val="OperatorTok"/>
        </w:rPr>
        <w:t xml:space="preserve">=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e.g., 32K tokens instead of 8K at the same memory cost</w:t>
      </w:r>
    </w:p>
    <w:p>
      <w:pPr>
        <w:pStyle w:val="FirstParagraph"/>
      </w:pPr>
      <w:r>
        <w:t xml:space="preserve">For Gemma 4 31B with 8K context: KV cache drops from ~2 GB to ~340 MB, enabling longer context on the same hardware.</w:t>
      </w:r>
    </w:p>
    <w:bookmarkEnd w:id="11"/>
    <w:bookmarkStart w:id="12" w:name="the-full-pipeline"/>
    <w:p>
      <w:pPr>
        <w:pStyle w:val="Heading2"/>
      </w:pPr>
      <w:r>
        <w:t xml:space="preserve">The Full Pipeline</w:t>
      </w:r>
    </w:p>
    <w:p>
      <w:pPr>
        <w:pStyle w:val="FirstParagraph"/>
      </w:pPr>
      <w:r>
        <w:t xml:space="preserve">With v0.5, TurboQuant Pro covers the complete embedding and inference compression stack: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Use Case</w:t>
            </w:r>
          </w:p>
        </w:tc>
        <w:tc>
          <w:tcPr/>
          <w:p>
            <w:pPr>
              <w:pStyle w:val="Compact"/>
            </w:pPr>
            <w:r>
              <w:t xml:space="preserve">Module</w:t>
            </w:r>
          </w:p>
        </w:tc>
        <w:tc>
          <w:tcPr/>
          <w:p>
            <w:pPr>
              <w:pStyle w:val="Compact"/>
            </w:pPr>
            <w:r>
              <w:t xml:space="preserve">Compression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pgvector RAG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TurboQuantPGVector</w:t>
            </w:r>
          </w:p>
        </w:tc>
        <w:tc>
          <w:tcPr/>
          <w:p>
            <w:pPr>
              <w:pStyle w:val="Compact"/>
            </w:pPr>
            <w:r>
              <w:t xml:space="preserve">15-114x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FAISS search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TurboQuantFAISS</w:t>
            </w:r>
          </w:p>
        </w:tc>
        <w:tc>
          <w:tcPr/>
          <w:p>
            <w:pPr>
              <w:pStyle w:val="Compact"/>
            </w:pPr>
            <w:r>
              <w:t xml:space="preserve">2-8x (dims)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LLM KV cache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TurboQuantKVManager</w:t>
            </w:r>
          </w:p>
        </w:tc>
        <w:tc>
          <w:tcPr/>
          <w:p>
            <w:pPr>
              <w:pStyle w:val="Compact"/>
            </w:pPr>
            <w:r>
              <w:t xml:space="preserve">~5x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NATS transport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TurboQuantNATSCodec</w:t>
            </w:r>
          </w:p>
        </w:tc>
        <w:tc>
          <w:tcPr/>
          <w:p>
            <w:pPr>
              <w:pStyle w:val="Compact"/>
            </w:pPr>
            <w:r>
              <w:t xml:space="preserve">10.5x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New: Find optimal config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turboquant-pro autotune</w:t>
            </w:r>
          </w:p>
        </w:tc>
        <w:tc>
          <w:tcPr/>
          <w:p>
            <w:pPr>
              <w:pStyle w:val="Compact"/>
            </w:pPr>
            <w:r>
              <w:t xml:space="preserve">Auto</w:t>
            </w:r>
          </w:p>
        </w:tc>
      </w:tr>
    </w:tbl>
    <w:p>
      <w:pPr>
        <w:pStyle w:val="SourceCode"/>
      </w:pPr>
      <w:r>
        <w:rPr>
          <w:rStyle w:val="ExtensionTok"/>
        </w:rPr>
        <w:t xml:space="preserve">pip</w:t>
      </w:r>
      <w:r>
        <w:rPr>
          <w:rStyle w:val="NormalTok"/>
        </w:rPr>
        <w:t xml:space="preserve"> install turboquant-pro</w:t>
      </w:r>
      <w:r>
        <w:rPr>
          <w:rStyle w:val="PreprocessorTok"/>
        </w:rPr>
        <w:t xml:space="preserve">[</w:t>
      </w:r>
      <w:r>
        <w:rPr>
          <w:rStyle w:val="SpecialStringTok"/>
        </w:rPr>
        <w:t xml:space="preserve">all</w:t>
      </w:r>
      <w:r>
        <w:rPr>
          <w:rStyle w:val="PreprocessorTok"/>
        </w:rPr>
        <w:t xml:space="preserve">]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Everything</w:t>
      </w:r>
    </w:p>
    <w:bookmarkEnd w:id="12"/>
    <w:bookmarkStart w:id="13" w:name="whats-next"/>
    <w:p>
      <w:pPr>
        <w:pStyle w:val="Heading2"/>
      </w:pPr>
      <w:r>
        <w:t xml:space="preserve">What’s Next</w:t>
      </w:r>
    </w:p>
    <w:p>
      <w:pPr>
        <w:pStyle w:val="Compact"/>
        <w:numPr>
          <w:ilvl w:val="0"/>
          <w:numId w:val="1002"/>
        </w:numPr>
      </w:pPr>
      <w:r>
        <w:t xml:space="preserve">Native pgvector C extension (search in compressed space without Python)</w:t>
      </w:r>
    </w:p>
    <w:p>
      <w:pPr>
        <w:pStyle w:val="Compact"/>
        <w:numPr>
          <w:ilvl w:val="0"/>
          <w:numId w:val="1002"/>
        </w:numPr>
      </w:pPr>
      <w:r>
        <w:t xml:space="preserve">Async vLLM backend for non-blocking offload</w:t>
      </w:r>
    </w:p>
    <w:p>
      <w:pPr>
        <w:pStyle w:val="Compact"/>
        <w:numPr>
          <w:ilvl w:val="0"/>
          <w:numId w:val="1002"/>
        </w:numPr>
      </w:pPr>
      <w:r>
        <w:t xml:space="preserve">Compressed HNSW that operates entirely in quantized space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PyPI:</w:t>
      </w:r>
      <w:r>
        <w:t xml:space="preserve"> </w:t>
      </w:r>
      <w:r>
        <w:rPr>
          <w:rStyle w:val="VerbatimChar"/>
        </w:rPr>
        <w:t xml:space="preserve">pip install turboquant-pro</w:t>
      </w:r>
      <w:r>
        <w:t xml:space="preserve"> </w:t>
      </w:r>
      <w:r>
        <w:t xml:space="preserve">(v0.5.0)</w:t>
      </w:r>
      <w:r>
        <w:t xml:space="preserve"> </w:t>
      </w:r>
      <w:r>
        <w:rPr>
          <w:b/>
          <w:bCs/>
        </w:rPr>
        <w:t xml:space="preserve">GitHub:</w:t>
      </w:r>
      <w:r>
        <w:t xml:space="preserve"> </w:t>
      </w:r>
      <w:r>
        <w:t xml:space="preserve">https://github.com/ahb-sjsu/turboquant-pro</w:t>
      </w:r>
      <w:r>
        <w:t xml:space="preserve"> </w:t>
      </w:r>
      <w:r>
        <w:rPr>
          <w:b/>
          <w:bCs/>
        </w:rPr>
        <w:t xml:space="preserve">Paper:</w:t>
      </w:r>
      <w:r>
        <w:t xml:space="preserve"> </w:t>
      </w:r>
      <w:r>
        <w:t xml:space="preserve">IEEE TAI submission (PCA-Matryoshka: 15-method compression benchmark)</w:t>
      </w:r>
    </w:p>
    <w:p>
      <w:pPr>
        <w:pStyle w:val="BodyText"/>
      </w:pPr>
      <w:r>
        <w:t xml:space="preserve">#MachineLearning #VectorDatabases #Compression #OpenSource #pgvector #FAISS #vLLM #LLM #Inference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2026-04-09T06:17:35Z</dcterms:created>
  <dcterms:modified xsi:type="dcterms:W3CDTF">2026-04-09T06:17:35Z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