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8" w:name="X11c9ef896641f14a4befb548bf93cc8851b28d7"/>
    <w:p>
      <w:pPr>
        <w:pStyle w:val="Heading1"/>
      </w:pPr>
      <w:r>
        <w:t xml:space="preserve">[P] TurboQuant Pro: Open-source vector compression toolkit — 5-42x smaller embeddings with 0.97+ recall</w:t>
      </w:r>
    </w:p>
    <w:p>
      <w:pPr>
        <w:pStyle w:val="FirstParagraph"/>
      </w:pPr>
      <w:r>
        <w:rPr>
          <w:b/>
          <w:bCs/>
        </w:rPr>
        <w:t xml:space="preserve">TL;DR</w:t>
      </w:r>
      <w:r>
        <w:t xml:space="preserve">: We built an open-source toolkit that compresses high-dimensional vectors (embeddings, KV cache, anything in pgvector/FAISS) by 5-42x while maintaining 0.95+ cosine similarity. Benchmarked 6 methods on 2.4M real embeddings. MIT licensed.</w:t>
      </w:r>
    </w:p>
    <w:p>
      <w:pPr>
        <w:pStyle w:val="BodyText"/>
      </w:pPr>
      <w:r>
        <w:rPr>
          <w:b/>
          <w:bCs/>
        </w:rPr>
        <w:t xml:space="preserve">GitHub</w:t>
      </w:r>
      <w:r>
        <w:t xml:space="preserve">: https://github.com/ahb-sjsu/turboquant-pro</w:t>
      </w:r>
      <w:r>
        <w:br/>
      </w:r>
      <w:r>
        <w:rPr>
          <w:b/>
          <w:bCs/>
        </w:rPr>
        <w:t xml:space="preserve">Install</w:t>
      </w:r>
      <w:r>
        <w:t xml:space="preserve">:</w:t>
      </w:r>
      <w:r>
        <w:t xml:space="preserve"> </w:t>
      </w:r>
      <w:r>
        <w:rPr>
          <w:rStyle w:val="VerbatimChar"/>
        </w:rPr>
        <w:t xml:space="preserve">pip install turboquant-pro</w:t>
      </w:r>
    </w:p>
    <w:bookmarkStart w:id="9" w:name="the-problem"/>
    <w:p>
      <w:pPr>
        <w:pStyle w:val="Heading2"/>
      </w:pPr>
      <w:r>
        <w:t xml:space="preserve">The Problem</w:t>
      </w:r>
    </w:p>
    <w:p>
      <w:pPr>
        <w:pStyle w:val="FirstParagraph"/>
      </w:pPr>
      <w:r>
        <w:t xml:space="preserve">Vector databases are eating RAM. If you’re running RAG with BGE-M3 (1024-dim float32), each embedding is 4KB. At 1M vectors that’s 4GB just for embeddings. At 10M you need 40GB. pgvector, FAISS, Pinecone — they all have this problem.</w:t>
      </w:r>
    </w:p>
    <w:bookmarkEnd w:id="9"/>
    <w:bookmarkStart w:id="10" w:name="what-we-built"/>
    <w:p>
      <w:pPr>
        <w:pStyle w:val="Heading2"/>
      </w:pPr>
      <w:r>
        <w:t xml:space="preserve">What We Built</w:t>
      </w:r>
    </w:p>
    <w:p>
      <w:pPr>
        <w:pStyle w:val="FirstParagraph"/>
      </w:pPr>
      <w:r>
        <w:t xml:space="preserve">TurboQuant Pro implements and benchmarks 6 compression methods: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Method</w:t>
            </w:r>
          </w:p>
        </w:tc>
        <w:tc>
          <w:tcPr/>
          <w:p>
            <w:pPr>
              <w:pStyle w:val="Compact"/>
            </w:pPr>
            <w:r>
              <w:t xml:space="preserve">Ratio</w:t>
            </w:r>
          </w:p>
        </w:tc>
        <w:tc>
          <w:tcPr/>
          <w:p>
            <w:pPr>
              <w:pStyle w:val="Compact"/>
            </w:pPr>
            <w:r>
              <w:t xml:space="preserve">Cosine Sim</w:t>
            </w:r>
          </w:p>
        </w:tc>
        <w:tc>
          <w:tcPr/>
          <w:p>
            <w:pPr>
              <w:pStyle w:val="Compact"/>
            </w:pPr>
            <w:r>
              <w:t xml:space="preserve">Recall@10</w:t>
            </w:r>
          </w:p>
        </w:tc>
        <w:tc>
          <w:tcPr/>
          <w:p>
            <w:pPr>
              <w:pStyle w:val="Compact"/>
            </w:pPr>
            <w:r>
              <w:t xml:space="preserve">Complexity</w:t>
            </w:r>
          </w:p>
        </w:tc>
      </w:tr>
      <w:tr>
        <w:tc>
          <w:tcPr/>
          <w:p>
            <w:pPr>
              <w:pStyle w:val="Compact"/>
            </w:pPr>
            <w:r>
              <w:t xml:space="preserve">Scalar int8</w:t>
            </w:r>
          </w:p>
        </w:tc>
        <w:tc>
          <w:tcPr/>
          <w:p>
            <w:pPr>
              <w:pStyle w:val="Compact"/>
            </w:pPr>
            <w:r>
              <w:t xml:space="preserve">4x</w:t>
            </w:r>
          </w:p>
        </w:tc>
        <w:tc>
          <w:tcPr/>
          <w:p>
            <w:pPr>
              <w:pStyle w:val="Compact"/>
            </w:pPr>
            <w:r>
              <w:t xml:space="preserve">0.999</w:t>
            </w:r>
          </w:p>
        </w:tc>
        <w:tc>
          <w:tcPr/>
          <w:p>
            <w:pPr>
              <w:pStyle w:val="Compact"/>
            </w:pPr>
            <w:r>
              <w:t xml:space="preserve">0.99</w:t>
            </w:r>
          </w:p>
        </w:tc>
        <w:tc>
          <w:tcPr/>
          <w:p>
            <w:pPr>
              <w:pStyle w:val="Compact"/>
            </w:pPr>
            <w:r>
              <w:t xml:space="preserve">Trivial</w:t>
            </w:r>
          </w:p>
        </w:tc>
      </w:tr>
      <w:tr>
        <w:tc>
          <w:tcPr/>
          <w:p>
            <w:pPr>
              <w:pStyle w:val="Compact"/>
            </w:pPr>
            <w:r>
              <w:t xml:space="preserve">Matryoshka truncation</w:t>
            </w:r>
          </w:p>
        </w:tc>
        <w:tc>
          <w:tcPr/>
          <w:p>
            <w:pPr>
              <w:pStyle w:val="Compact"/>
            </w:pPr>
            <w:r>
              <w:t xml:space="preserve">4x</w:t>
            </w:r>
          </w:p>
        </w:tc>
        <w:tc>
          <w:tcPr/>
          <w:p>
            <w:pPr>
              <w:pStyle w:val="Compact"/>
            </w:pPr>
            <w:r>
              <w:t xml:space="preserve">0.97</w:t>
            </w:r>
          </w:p>
        </w:tc>
        <w:tc>
          <w:tcPr/>
          <w:p>
            <w:pPr>
              <w:pStyle w:val="Compact"/>
            </w:pPr>
            <w:r>
              <w:t xml:space="preserve">0.96</w:t>
            </w:r>
          </w:p>
        </w:tc>
        <w:tc>
          <w:tcPr/>
          <w:p>
            <w:pPr>
              <w:pStyle w:val="Compact"/>
            </w:pPr>
            <w:r>
              <w:t xml:space="preserve">Trivial</w:t>
            </w:r>
          </w:p>
        </w:tc>
      </w:tr>
      <w:tr>
        <w:tc>
          <w:tcPr/>
          <w:p>
            <w:pPr>
              <w:pStyle w:val="Compact"/>
            </w:pPr>
            <w:r>
              <w:t xml:space="preserve">TurboQuant 3-bit</w:t>
            </w:r>
          </w:p>
        </w:tc>
        <w:tc>
          <w:tcPr/>
          <w:p>
            <w:pPr>
              <w:pStyle w:val="Compact"/>
            </w:pPr>
            <w:r>
              <w:t xml:space="preserve">5.1x</w:t>
            </w:r>
          </w:p>
        </w:tc>
        <w:tc>
          <w:tcPr/>
          <w:p>
            <w:pPr>
              <w:pStyle w:val="Compact"/>
            </w:pPr>
            <w:r>
              <w:t xml:space="preserve">0.978</w:t>
            </w:r>
          </w:p>
        </w:tc>
        <w:tc>
          <w:tcPr/>
          <w:p>
            <w:pPr>
              <w:pStyle w:val="Compact"/>
            </w:pPr>
            <w:r>
              <w:t xml:space="preserve">0.97</w:t>
            </w:r>
          </w:p>
        </w:tc>
        <w:tc>
          <w:tcPr/>
          <w:p>
            <w:pPr>
              <w:pStyle w:val="Compact"/>
            </w:pPr>
            <w:r>
              <w:t xml:space="preserve">Medium</w:t>
            </w:r>
          </w:p>
        </w:tc>
      </w:tr>
      <w:tr>
        <w:tc>
          <w:tcPr/>
          <w:p>
            <w:pPr>
              <w:pStyle w:val="Compact"/>
            </w:pPr>
            <w:r>
              <w:t xml:space="preserve">pgvector bytea (TQ)</w:t>
            </w:r>
          </w:p>
        </w:tc>
        <w:tc>
          <w:tcPr/>
          <w:p>
            <w:pPr>
              <w:pStyle w:val="Compact"/>
            </w:pPr>
            <w:r>
              <w:t xml:space="preserve">10.5x</w:t>
            </w:r>
          </w:p>
        </w:tc>
        <w:tc>
          <w:tcPr/>
          <w:p>
            <w:pPr>
              <w:pStyle w:val="Compact"/>
            </w:pPr>
            <w:r>
              <w:t xml:space="preserve">0.978</w:t>
            </w:r>
          </w:p>
        </w:tc>
        <w:tc>
          <w:tcPr/>
          <w:p>
            <w:pPr>
              <w:pStyle w:val="Compact"/>
            </w:pPr>
            <w:r>
              <w:t xml:space="preserve">0.95</w:t>
            </w:r>
          </w:p>
        </w:tc>
        <w:tc>
          <w:tcPr/>
          <w:p>
            <w:pPr>
              <w:pStyle w:val="Compact"/>
            </w:pPr>
            <w:r>
              <w:t xml:space="preserve">Medium</w:t>
            </w:r>
          </w:p>
        </w:tc>
      </w:tr>
      <w:tr>
        <w:tc>
          <w:tcPr/>
          <w:p>
            <w:pPr>
              <w:pStyle w:val="Compact"/>
            </w:pPr>
            <w:r>
              <w:t xml:space="preserve">Matryoshka + int8</w:t>
            </w:r>
          </w:p>
        </w:tc>
        <w:tc>
          <w:tcPr/>
          <w:p>
            <w:pPr>
              <w:pStyle w:val="Compact"/>
            </w:pPr>
            <w:r>
              <w:t xml:space="preserve">16x</w:t>
            </w:r>
          </w:p>
        </w:tc>
        <w:tc>
          <w:tcPr/>
          <w:p>
            <w:pPr>
              <w:pStyle w:val="Compact"/>
            </w:pPr>
            <w:r>
              <w:t xml:space="preserve">0.97</w:t>
            </w:r>
          </w:p>
        </w:tc>
        <w:tc>
          <w:tcPr/>
          <w:p>
            <w:pPr>
              <w:pStyle w:val="Compact"/>
            </w:pPr>
            <w:r>
              <w:t xml:space="preserve">0.94</w:t>
            </w:r>
          </w:p>
        </w:tc>
        <w:tc>
          <w:tcPr/>
          <w:p>
            <w:pPr>
              <w:pStyle w:val="Compact"/>
            </w:pPr>
            <w:r>
              <w:t xml:space="preserve">Low</w:t>
            </w:r>
          </w:p>
        </w:tc>
      </w:tr>
      <w:tr>
        <w:tc>
          <w:tcPr/>
          <w:p>
            <w:pPr>
              <w:pStyle w:val="Compact"/>
            </w:pPr>
            <w:r>
              <w:t xml:space="preserve">Matryoshka + TQ 3-bit</w:t>
            </w:r>
          </w:p>
        </w:tc>
        <w:tc>
          <w:tcPr/>
          <w:p>
            <w:pPr>
              <w:pStyle w:val="Compact"/>
            </w:pPr>
            <w:r>
              <w:t xml:space="preserve">42x</w:t>
            </w:r>
          </w:p>
        </w:tc>
        <w:tc>
          <w:tcPr/>
          <w:p>
            <w:pPr>
              <w:pStyle w:val="Compact"/>
            </w:pPr>
            <w:r>
              <w:t xml:space="preserve">0.93</w:t>
            </w:r>
          </w:p>
        </w:tc>
        <w:tc>
          <w:tcPr/>
          <w:p>
            <w:pPr>
              <w:pStyle w:val="Compact"/>
            </w:pPr>
            <w:r>
              <w:t xml:space="preserve">0.90</w:t>
            </w:r>
          </w:p>
        </w:tc>
        <w:tc>
          <w:tcPr/>
          <w:p>
            <w:pPr>
              <w:pStyle w:val="Compact"/>
            </w:pPr>
            <w:r>
              <w:t xml:space="preserve">Medium</w:t>
            </w:r>
          </w:p>
        </w:tc>
      </w:tr>
    </w:tbl>
    <w:p>
      <w:pPr>
        <w:pStyle w:val="BodyText"/>
      </w:pPr>
      <w:r>
        <w:t xml:space="preserve">The core algorithm is PolarQuant + QJL from Zandieh et al. (ICLR 2026) — random rotation maps vectors onto a hypersphere, then Lloyd-Max scalar quantization compresses each coordinate to b bits. We added bit-packing, CUDA kernels, and a streaming KV cache manager on top.</w:t>
      </w:r>
    </w:p>
    <w:bookmarkEnd w:id="10"/>
    <w:bookmarkStart w:id="11" w:name="whats-novel"/>
    <w:p>
      <w:pPr>
        <w:pStyle w:val="Heading2"/>
      </w:pPr>
      <w:r>
        <w:t xml:space="preserve">What’s Novel</w:t>
      </w:r>
    </w:p>
    <w:p>
      <w:pPr>
        <w:pStyle w:val="Compact"/>
        <w:numPr>
          <w:ilvl w:val="0"/>
          <w:numId w:val="1001"/>
        </w:numPr>
      </w:pPr>
      <w:r>
        <w:rPr>
          <w:b/>
          <w:bCs/>
        </w:rPr>
        <w:t xml:space="preserve">First open-source implementation</w:t>
      </w:r>
      <w:r>
        <w:t xml:space="preserve"> </w:t>
      </w:r>
      <w:r>
        <w:t xml:space="preserve">of the Zandieh et al. TurboQuant algorithm</w:t>
      </w:r>
    </w:p>
    <w:p>
      <w:pPr>
        <w:pStyle w:val="Compact"/>
        <w:numPr>
          <w:ilvl w:val="0"/>
          <w:numId w:val="1001"/>
        </w:numPr>
      </w:pPr>
      <w:r>
        <w:rPr>
          <w:b/>
          <w:bCs/>
        </w:rPr>
        <w:t xml:space="preserve">Multi-method benchmarking</w:t>
      </w:r>
      <w:r>
        <w:t xml:space="preserve"> </w:t>
      </w:r>
      <w:r>
        <w:t xml:space="preserve">on real data (2.4M embeddings from a cross-civilizational ethics corpus spanning 5,000 years — long story)</w:t>
      </w:r>
    </w:p>
    <w:p>
      <w:pPr>
        <w:pStyle w:val="Compact"/>
        <w:numPr>
          <w:ilvl w:val="0"/>
          <w:numId w:val="1001"/>
        </w:numPr>
      </w:pPr>
      <w:r>
        <w:rPr>
          <w:b/>
          <w:bCs/>
        </w:rPr>
        <w:t xml:space="preserve">Practical recommendations</w:t>
      </w:r>
      <w:r>
        <w:t xml:space="preserve"> </w:t>
      </w:r>
      <w:r>
        <w:t xml:space="preserve">— we found that for most RAG use cases, Matryoshka truncation + scalar int8 (16x, zero training, 3 lines of code) beats fancy methods. TurboQuant’s rotation trick only wins for KV cache where you need quality at high compression.</w:t>
      </w:r>
    </w:p>
    <w:p>
      <w:pPr>
        <w:pStyle w:val="Compact"/>
        <w:numPr>
          <w:ilvl w:val="0"/>
          <w:numId w:val="1001"/>
        </w:numPr>
      </w:pPr>
      <w:r>
        <w:rPr>
          <w:b/>
          <w:bCs/>
        </w:rPr>
        <w:t xml:space="preserve">pgvector integration</w:t>
      </w:r>
      <w:r>
        <w:t xml:space="preserve"> </w:t>
      </w:r>
      <w:r>
        <w:t xml:space="preserve">— store compressed embeddings as bytea, search in compressed space</w:t>
      </w:r>
    </w:p>
    <w:p>
      <w:pPr>
        <w:pStyle w:val="Compact"/>
        <w:numPr>
          <w:ilvl w:val="0"/>
          <w:numId w:val="1001"/>
        </w:numPr>
      </w:pPr>
      <w:r>
        <w:rPr>
          <w:b/>
          <w:bCs/>
        </w:rPr>
        <w:t xml:space="preserve">Streaming KV cache</w:t>
      </w:r>
      <w:r>
        <w:t xml:space="preserve"> </w:t>
      </w:r>
      <w:r>
        <w:t xml:space="preserve">with L1 (hot, uncompressed) / L2 (cold, compressed) tiering</w:t>
      </w:r>
    </w:p>
    <w:bookmarkEnd w:id="11"/>
    <w:bookmarkStart w:id="12" w:name="origin-story"/>
    <w:p>
      <w:pPr>
        <w:pStyle w:val="Heading2"/>
      </w:pPr>
      <w:r>
        <w:t xml:space="preserve">Origin Story</w:t>
      </w:r>
    </w:p>
    <w:p>
      <w:pPr>
        <w:pStyle w:val="FirstParagraph"/>
      </w:pPr>
      <w:r>
        <w:t xml:space="preserve">This started as a beam search optimization in a symbolic AI system (Theory Radar — formula search engine). The beam candidates were high-dimensional vectors that we compressed to fit wider beams in GPU memory. Then we realized the same trick works for LLM KV cache, then for RAG embeddings, then for… everything.</w:t>
      </w:r>
    </w:p>
    <w:p>
      <w:pPr>
        <w:pStyle w:val="BodyText"/>
      </w:pPr>
      <w:r>
        <w:t xml:space="preserve">Adapted from a production system running on 2x Quadro GV100 32GB. Benchmarked against a real pgvector database with 2.4M vectors. This isn’t synthetic data — it’s actual BGE-M3 embeddings from texts spanning Ancient Greek philosophy to Buddhist suttas to Reddit advice columns.</w:t>
      </w:r>
    </w:p>
    <w:bookmarkEnd w:id="12"/>
    <w:bookmarkStart w:id="13" w:name="key-finding"/>
    <w:p>
      <w:pPr>
        <w:pStyle w:val="Heading2"/>
      </w:pPr>
      <w:r>
        <w:t xml:space="preserve">Key Finding</w:t>
      </w:r>
    </w:p>
    <w:p>
      <w:pPr>
        <w:pStyle w:val="FirstParagraph"/>
      </w:pPr>
      <w:r>
        <w:rPr>
          <w:b/>
          <w:bCs/>
        </w:rPr>
        <w:t xml:space="preserve">Simple beats clever for most use cases.</w:t>
      </w:r>
      <w:r>
        <w:t xml:space="preserve"> </w:t>
      </w:r>
      <w:r>
        <w:t xml:space="preserve">Scalar int8 gives you 4x compression at 0.999 cosine similarity with literally 3 lines of NumPy. Matryoshka truncation (just slicing the vector) gives another free 4x if your embedding model supports it (BGE-M3 does). Combined that’s 16x with zero moving parts, zero training, zero codebooks that can go stale.</w:t>
      </w:r>
    </w:p>
    <w:p>
      <w:pPr>
        <w:pStyle w:val="BodyText"/>
      </w:pPr>
      <w:r>
        <w:t xml:space="preserve">TurboQuant’s rotation trick is worth the complexity only when you need the last bit of quality at high compression — specifically for KV cache in long-context inference where the quality/compression tradeoff directly affects output quality.</w:t>
      </w:r>
    </w:p>
    <w:bookmarkEnd w:id="13"/>
    <w:bookmarkStart w:id="14" w:name="technical-details"/>
    <w:p>
      <w:pPr>
        <w:pStyle w:val="Heading2"/>
      </w:pPr>
      <w:r>
        <w:t xml:space="preserve">Technical Details</w:t>
      </w:r>
    </w:p>
    <w:p>
      <w:pPr>
        <w:pStyle w:val="FirstParagraph"/>
      </w:pPr>
      <w:r>
        <w:t xml:space="preserve">The PolarQuant step:</w:t>
      </w:r>
    </w:p>
    <w:p>
      <w:pPr>
        <w:pStyle w:val="SourceCode"/>
      </w:pPr>
      <w:r>
        <w:rPr>
          <w:rStyle w:val="CommentTok"/>
        </w:rPr>
        <w:t xml:space="preserve"># Random rotation maps any distribution onto unit hypersphere</w:t>
      </w:r>
      <w:r>
        <w:br/>
      </w:r>
      <w:r>
        <w:rPr>
          <w:rStyle w:val="NormalTok"/>
        </w:rPr>
        <w:t xml:space="preserve">Q, _ </w:t>
      </w:r>
      <w:r>
        <w:rPr>
          <w:rStyle w:val="OperatorTok"/>
        </w:rPr>
        <w:t xml:space="preserve">=</w:t>
      </w:r>
      <w:r>
        <w:rPr>
          <w:rStyle w:val="NormalTok"/>
        </w:rPr>
        <w:t xml:space="preserve"> np.linalg.qr(rng.standard_normal((dim, dim)))</w:t>
      </w:r>
      <w:r>
        <w:br/>
      </w:r>
      <w:r>
        <w:rPr>
          <w:rStyle w:val="NormalTok"/>
        </w:rPr>
        <w:t xml:space="preserve">rotated </w:t>
      </w:r>
      <w:r>
        <w:rPr>
          <w:rStyle w:val="OperatorTok"/>
        </w:rPr>
        <w:t xml:space="preserve">=</w:t>
      </w:r>
      <w:r>
        <w:rPr>
          <w:rStyle w:val="NormalTok"/>
        </w:rPr>
        <w:t xml:space="preserve"> x </w:t>
      </w:r>
      <w:r>
        <w:rPr>
          <w:rStyle w:val="OperatorTok"/>
        </w:rPr>
        <w:t xml:space="preserve">@</w:t>
      </w:r>
      <w:r>
        <w:rPr>
          <w:rStyle w:val="NormalTok"/>
        </w:rPr>
        <w:t xml:space="preserve"> Q  </w:t>
      </w:r>
      <w:r>
        <w:rPr>
          <w:rStyle w:val="CommentTok"/>
        </w:rPr>
        <w:t xml:space="preserve"># Now each coordinate ~ N(0, 1/sqrt(dim))</w:t>
      </w:r>
      <w:r>
        <w:br/>
      </w:r>
      <w:r>
        <w:br/>
      </w:r>
      <w:r>
        <w:rPr>
          <w:rStyle w:val="CommentTok"/>
        </w:rPr>
        <w:t xml:space="preserve"># Lloyd-Max scalar quantizer (optimal for Gaussian)</w:t>
      </w:r>
      <w:r>
        <w:br/>
      </w:r>
      <w:r>
        <w:rPr>
          <w:rStyle w:val="NormalTok"/>
        </w:rPr>
        <w:t xml:space="preserve">indices </w:t>
      </w:r>
      <w:r>
        <w:rPr>
          <w:rStyle w:val="OperatorTok"/>
        </w:rPr>
        <w:t xml:space="preserve">=</w:t>
      </w:r>
      <w:r>
        <w:rPr>
          <w:rStyle w:val="NormalTok"/>
        </w:rPr>
        <w:t xml:space="preserve"> np.digitize(rotated, codebook_boundaries)  </w:t>
      </w:r>
      <w:r>
        <w:rPr>
          <w:rStyle w:val="CommentTok"/>
        </w:rPr>
        <w:t xml:space="preserve"># b-bit per coordinate</w:t>
      </w:r>
      <w:r>
        <w:br/>
      </w:r>
      <w:r>
        <w:br/>
      </w:r>
      <w:r>
        <w:rPr>
          <w:rStyle w:val="CommentTok"/>
        </w:rPr>
        <w:t xml:space="preserve"># Bit-pack: 8 x 3-bit values → 3 bytes</w:t>
      </w:r>
      <w:r>
        <w:br/>
      </w:r>
      <w:r>
        <w:rPr>
          <w:rStyle w:val="NormalTok"/>
        </w:rPr>
        <w:t xml:space="preserve">packed </w:t>
      </w:r>
      <w:r>
        <w:rPr>
          <w:rStyle w:val="OperatorTok"/>
        </w:rPr>
        <w:t xml:space="preserve">=</w:t>
      </w:r>
      <w:r>
        <w:rPr>
          <w:rStyle w:val="NormalTok"/>
        </w:rPr>
        <w:t xml:space="preserve"> pack_3bit(indices)  </w:t>
      </w:r>
      <w:r>
        <w:rPr>
          <w:rStyle w:val="CommentTok"/>
        </w:rPr>
        <w:t xml:space="preserve"># 5.12x compression</w:t>
      </w:r>
    </w:p>
    <w:p>
      <w:pPr>
        <w:pStyle w:val="FirstParagraph"/>
      </w:pPr>
      <w:r>
        <w:t xml:space="preserve">Decompression:</w:t>
      </w:r>
    </w:p>
    <w:p>
      <w:pPr>
        <w:pStyle w:val="SourceCode"/>
      </w:pPr>
      <w:r>
        <w:rPr>
          <w:rStyle w:val="NormalTok"/>
        </w:rPr>
        <w:t xml:space="preserve">reconstructed </w:t>
      </w:r>
      <w:r>
        <w:rPr>
          <w:rStyle w:val="OperatorTok"/>
        </w:rPr>
        <w:t xml:space="preserve">=</w:t>
      </w:r>
      <w:r>
        <w:rPr>
          <w:rStyle w:val="NormalTok"/>
        </w:rPr>
        <w:t xml:space="preserve"> codebook_centroids[unpack_3bit(packed)]</w:t>
      </w:r>
      <w:r>
        <w:br/>
      </w:r>
      <w:r>
        <w:rPr>
          <w:rStyle w:val="NormalTok"/>
        </w:rPr>
        <w:t xml:space="preserve">original_approx </w:t>
      </w:r>
      <w:r>
        <w:rPr>
          <w:rStyle w:val="OperatorTok"/>
        </w:rPr>
        <w:t xml:space="preserve">=</w:t>
      </w:r>
      <w:r>
        <w:rPr>
          <w:rStyle w:val="NormalTok"/>
        </w:rPr>
        <w:t xml:space="preserve"> reconstructed </w:t>
      </w:r>
      <w:r>
        <w:rPr>
          <w:rStyle w:val="OperatorTok"/>
        </w:rPr>
        <w:t xml:space="preserve">@</w:t>
      </w:r>
      <w:r>
        <w:rPr>
          <w:rStyle w:val="NormalTok"/>
        </w:rPr>
        <w:t xml:space="preserve"> Q.T  </w:t>
      </w:r>
      <w:r>
        <w:rPr>
          <w:rStyle w:val="CommentTok"/>
        </w:rPr>
        <w:t xml:space="preserve"># Inverse rotation</w:t>
      </w:r>
      <w:r>
        <w:br/>
      </w:r>
      <w:r>
        <w:rPr>
          <w:rStyle w:val="CommentTok"/>
        </w:rPr>
        <w:t xml:space="preserve"># cosine_similarity(original, original_approx) ≈ 0.978</w:t>
      </w:r>
    </w:p>
    <w:p>
      <w:pPr>
        <w:pStyle w:val="FirstParagraph"/>
      </w:pPr>
      <w:r>
        <w:t xml:space="preserve">CuPy CUDA kernels for GPU: ~25 GB/s throughput on Volta.</w:t>
      </w:r>
    </w:p>
    <w:bookmarkEnd w:id="14"/>
    <w:bookmarkStart w:id="15" w:name="usage"/>
    <w:p>
      <w:pPr>
        <w:pStyle w:val="Heading2"/>
      </w:pPr>
      <w:r>
        <w:t xml:space="preserve">Usage</w:t>
      </w:r>
    </w:p>
    <w:p>
      <w:pPr>
        <w:pStyle w:val="SourceCode"/>
      </w:pPr>
      <w:r>
        <w:rPr>
          <w:rStyle w:val="ImportTok"/>
        </w:rPr>
        <w:t xml:space="preserve">from</w:t>
      </w:r>
      <w:r>
        <w:rPr>
          <w:rStyle w:val="NormalTok"/>
        </w:rPr>
        <w:t xml:space="preserve"> turboquant_pro </w:t>
      </w:r>
      <w:r>
        <w:rPr>
          <w:rStyle w:val="ImportTok"/>
        </w:rPr>
        <w:t xml:space="preserve">import</w:t>
      </w:r>
      <w:r>
        <w:rPr>
          <w:rStyle w:val="NormalTok"/>
        </w:rPr>
        <w:t xml:space="preserve"> TurboQuantKV</w:t>
      </w:r>
      <w:r>
        <w:br/>
      </w:r>
      <w:r>
        <w:br/>
      </w:r>
      <w:r>
        <w:rPr>
          <w:rStyle w:val="NormalTok"/>
        </w:rPr>
        <w:t xml:space="preserve">tq </w:t>
      </w:r>
      <w:r>
        <w:rPr>
          <w:rStyle w:val="OperatorTok"/>
        </w:rPr>
        <w:t xml:space="preserve">=</w:t>
      </w:r>
      <w:r>
        <w:rPr>
          <w:rStyle w:val="NormalTok"/>
        </w:rPr>
        <w:t xml:space="preserve"> TurboQuantKV(head_dim</w:t>
      </w:r>
      <w:r>
        <w:rPr>
          <w:rStyle w:val="OperatorTok"/>
        </w:rPr>
        <w:t xml:space="preserve">=</w:t>
      </w:r>
      <w:r>
        <w:rPr>
          <w:rStyle w:val="DecValTok"/>
        </w:rPr>
        <w:t xml:space="preserve">1024</w:t>
      </w:r>
      <w:r>
        <w:rPr>
          <w:rStyle w:val="NormalTok"/>
        </w:rPr>
        <w:t xml:space="preserve">, bits</w:t>
      </w:r>
      <w:r>
        <w:rPr>
          <w:rStyle w:val="OperatorTok"/>
        </w:rPr>
        <w:t xml:space="preserve">=</w:t>
      </w:r>
      <w:r>
        <w:rPr>
          <w:rStyle w:val="DecValTok"/>
        </w:rPr>
        <w:t xml:space="preserve">3</w:t>
      </w:r>
      <w:r>
        <w:rPr>
          <w:rStyle w:val="NormalTok"/>
        </w:rPr>
        <w:t xml:space="preserve">)</w:t>
      </w:r>
      <w:r>
        <w:br/>
      </w:r>
      <w:r>
        <w:rPr>
          <w:rStyle w:val="NormalTok"/>
        </w:rPr>
        <w:t xml:space="preserve">compressed </w:t>
      </w:r>
      <w:r>
        <w:rPr>
          <w:rStyle w:val="OperatorTok"/>
        </w:rPr>
        <w:t xml:space="preserve">=</w:t>
      </w:r>
      <w:r>
        <w:rPr>
          <w:rStyle w:val="NormalTok"/>
        </w:rPr>
        <w:t xml:space="preserve"> tq.compress(embeddings, packed</w:t>
      </w:r>
      <w:r>
        <w:rPr>
          <w:rStyle w:val="OperatorTok"/>
        </w:rPr>
        <w:t xml:space="preserve">=</w:t>
      </w:r>
      <w:r>
        <w:rPr>
          <w:rStyle w:val="VariableTok"/>
        </w:rPr>
        <w:t xml:space="preserve">True</w:t>
      </w:r>
      <w:r>
        <w:rPr>
          <w:rStyle w:val="NormalTok"/>
        </w:rPr>
        <w:t xml:space="preserve">)  </w:t>
      </w:r>
      <w:r>
        <w:rPr>
          <w:rStyle w:val="CommentTok"/>
        </w:rPr>
        <w:t xml:space="preserve"># 5.12x smaller</w:t>
      </w:r>
      <w:r>
        <w:br/>
      </w:r>
      <w:r>
        <w:rPr>
          <w:rStyle w:val="NormalTok"/>
        </w:rPr>
        <w:t xml:space="preserve">recovered </w:t>
      </w:r>
      <w:r>
        <w:rPr>
          <w:rStyle w:val="OperatorTok"/>
        </w:rPr>
        <w:t xml:space="preserve">=</w:t>
      </w:r>
      <w:r>
        <w:rPr>
          <w:rStyle w:val="NormalTok"/>
        </w:rPr>
        <w:t xml:space="preserve"> tq.decompress(compressed)               </w:t>
      </w:r>
      <w:r>
        <w:rPr>
          <w:rStyle w:val="CommentTok"/>
        </w:rPr>
        <w:t xml:space="preserve"># 0.978 cosine sim</w:t>
      </w:r>
    </w:p>
    <w:p>
      <w:pPr>
        <w:pStyle w:val="FirstParagraph"/>
      </w:pPr>
      <w:r>
        <w:t xml:space="preserve">For pgvector:</w:t>
      </w:r>
    </w:p>
    <w:p>
      <w:pPr>
        <w:pStyle w:val="SourceCode"/>
      </w:pPr>
      <w:r>
        <w:rPr>
          <w:rStyle w:val="ImportTok"/>
        </w:rPr>
        <w:t xml:space="preserve">from</w:t>
      </w:r>
      <w:r>
        <w:rPr>
          <w:rStyle w:val="NormalTok"/>
        </w:rPr>
        <w:t xml:space="preserve"> turboquant_pro.pgvector </w:t>
      </w:r>
      <w:r>
        <w:rPr>
          <w:rStyle w:val="ImportTok"/>
        </w:rPr>
        <w:t xml:space="preserve">import</w:t>
      </w:r>
      <w:r>
        <w:rPr>
          <w:rStyle w:val="NormalTok"/>
        </w:rPr>
        <w:t xml:space="preserve"> TurboQuantPGVector</w:t>
      </w:r>
      <w:r>
        <w:br/>
      </w:r>
      <w:r>
        <w:br/>
      </w:r>
      <w:r>
        <w:rPr>
          <w:rStyle w:val="NormalTok"/>
        </w:rPr>
        <w:t xml:space="preserve">tqpg </w:t>
      </w:r>
      <w:r>
        <w:rPr>
          <w:rStyle w:val="OperatorTok"/>
        </w:rPr>
        <w:t xml:space="preserve">=</w:t>
      </w:r>
      <w:r>
        <w:rPr>
          <w:rStyle w:val="NormalTok"/>
        </w:rPr>
        <w:t xml:space="preserve"> TurboQuantPGVector(dim</w:t>
      </w:r>
      <w:r>
        <w:rPr>
          <w:rStyle w:val="OperatorTok"/>
        </w:rPr>
        <w:t xml:space="preserve">=</w:t>
      </w:r>
      <w:r>
        <w:rPr>
          <w:rStyle w:val="DecValTok"/>
        </w:rPr>
        <w:t xml:space="preserve">1024</w:t>
      </w:r>
      <w:r>
        <w:rPr>
          <w:rStyle w:val="NormalTok"/>
        </w:rPr>
        <w:t xml:space="preserve">, bits</w:t>
      </w:r>
      <w:r>
        <w:rPr>
          <w:rStyle w:val="OperatorTok"/>
        </w:rPr>
        <w:t xml:space="preserve">=</w:t>
      </w:r>
      <w:r>
        <w:rPr>
          <w:rStyle w:val="DecValTok"/>
        </w:rPr>
        <w:t xml:space="preserve">3</w:t>
      </w:r>
      <w:r>
        <w:rPr>
          <w:rStyle w:val="NormalTok"/>
        </w:rPr>
        <w:t xml:space="preserve">)</w:t>
      </w:r>
      <w:r>
        <w:br/>
      </w:r>
      <w:r>
        <w:rPr>
          <w:rStyle w:val="NormalTok"/>
        </w:rPr>
        <w:t xml:space="preserve">bytea_data </w:t>
      </w:r>
      <w:r>
        <w:rPr>
          <w:rStyle w:val="OperatorTok"/>
        </w:rPr>
        <w:t xml:space="preserve">=</w:t>
      </w:r>
      <w:r>
        <w:rPr>
          <w:rStyle w:val="NormalTok"/>
        </w:rPr>
        <w:t xml:space="preserve"> tqpg.to_pgbytea(embedding)  </w:t>
      </w:r>
      <w:r>
        <w:rPr>
          <w:rStyle w:val="CommentTok"/>
        </w:rPr>
        <w:t xml:space="preserve"># 4096 bytes → 388 bytes</w:t>
      </w:r>
    </w:p>
    <w:bookmarkEnd w:id="15"/>
    <w:bookmarkStart w:id="16" w:name="whats-next"/>
    <w:p>
      <w:pPr>
        <w:pStyle w:val="Heading2"/>
      </w:pPr>
      <w:r>
        <w:t xml:space="preserve">What’s Next</w:t>
      </w:r>
    </w:p>
    <w:p>
      <w:pPr>
        <w:pStyle w:val="Compact"/>
        <w:numPr>
          <w:ilvl w:val="0"/>
          <w:numId w:val="1002"/>
        </w:numPr>
      </w:pPr>
      <w:r>
        <w:t xml:space="preserve">Autotune CLI:</w:t>
      </w:r>
      <w:r>
        <w:t xml:space="preserve"> </w:t>
      </w:r>
      <w:r>
        <w:rPr>
          <w:rStyle w:val="VerbatimChar"/>
        </w:rPr>
        <w:t xml:space="preserve">turboquant-pro autotune --source postgres://... --min-recall 0.95</w:t>
      </w:r>
    </w:p>
    <w:p>
      <w:pPr>
        <w:pStyle w:val="Compact"/>
        <w:numPr>
          <w:ilvl w:val="0"/>
          <w:numId w:val="1002"/>
        </w:numPr>
      </w:pPr>
      <w:r>
        <w:t xml:space="preserve">Native pgvector extension (C, not Python wrapper)</w:t>
      </w:r>
    </w:p>
    <w:p>
      <w:pPr>
        <w:pStyle w:val="Compact"/>
        <w:numPr>
          <w:ilvl w:val="0"/>
          <w:numId w:val="1002"/>
        </w:numPr>
      </w:pPr>
      <w:r>
        <w:t xml:space="preserve">FAISS integration</w:t>
      </w:r>
    </w:p>
    <w:p>
      <w:pPr>
        <w:pStyle w:val="Compact"/>
        <w:numPr>
          <w:ilvl w:val="0"/>
          <w:numId w:val="1002"/>
        </w:numPr>
      </w:pPr>
      <w:r>
        <w:t xml:space="preserve">vLLM KV cache plugin</w:t>
      </w:r>
    </w:p>
    <w:p>
      <w:pPr>
        <w:pStyle w:val="Compact"/>
        <w:numPr>
          <w:ilvl w:val="0"/>
          <w:numId w:val="1002"/>
        </w:numPr>
      </w:pPr>
      <w:r>
        <w:t xml:space="preserve">Proper paper (arXiv draft is in the repo)</w:t>
      </w:r>
    </w:p>
    <w:bookmarkEnd w:id="16"/>
    <w:bookmarkStart w:id="17" w:name="links"/>
    <w:p>
      <w:pPr>
        <w:pStyle w:val="Heading2"/>
      </w:pPr>
      <w:r>
        <w:t xml:space="preserve">Links</w:t>
      </w:r>
    </w:p>
    <w:p>
      <w:pPr>
        <w:pStyle w:val="Compact"/>
        <w:numPr>
          <w:ilvl w:val="0"/>
          <w:numId w:val="1003"/>
        </w:numPr>
      </w:pPr>
      <w:r>
        <w:rPr>
          <w:b/>
          <w:bCs/>
        </w:rPr>
        <w:t xml:space="preserve">Code</w:t>
      </w:r>
      <w:r>
        <w:t xml:space="preserve">: https://github.com/ahb-sjsu/turboquant-pro</w:t>
      </w:r>
    </w:p>
    <w:p>
      <w:pPr>
        <w:pStyle w:val="Compact"/>
        <w:numPr>
          <w:ilvl w:val="0"/>
          <w:numId w:val="1003"/>
        </w:numPr>
      </w:pPr>
      <w:r>
        <w:rPr>
          <w:b/>
          <w:bCs/>
        </w:rPr>
        <w:t xml:space="preserve">Install</w:t>
      </w:r>
      <w:r>
        <w:t xml:space="preserve">:</w:t>
      </w:r>
      <w:r>
        <w:t xml:space="preserve"> </w:t>
      </w:r>
      <w:r>
        <w:rPr>
          <w:rStyle w:val="VerbatimChar"/>
        </w:rPr>
        <w:t xml:space="preserve">pip install turboquant-pro</w:t>
      </w:r>
    </w:p>
    <w:p>
      <w:pPr>
        <w:pStyle w:val="Compact"/>
        <w:numPr>
          <w:ilvl w:val="0"/>
          <w:numId w:val="1003"/>
        </w:numPr>
      </w:pPr>
      <w:r>
        <w:rPr>
          <w:b/>
          <w:bCs/>
        </w:rPr>
        <w:t xml:space="preserve">Paper</w:t>
      </w:r>
      <w:r>
        <w:t xml:space="preserve">: Zandieh et al.,</w:t>
      </w:r>
      <w:r>
        <w:t xml:space="preserve"> </w:t>
      </w:r>
      <w:r>
        <w:t xml:space="preserve">“Sub-linear Memory Inference via PolarQuant and QJL”</w:t>
      </w:r>
      <w:r>
        <w:t xml:space="preserve">, ICLR 2026</w:t>
      </w:r>
    </w:p>
    <w:p>
      <w:pPr>
        <w:pStyle w:val="Compact"/>
        <w:numPr>
          <w:ilvl w:val="0"/>
          <w:numId w:val="1003"/>
        </w:numPr>
      </w:pPr>
      <w:r>
        <w:rPr>
          <w:b/>
          <w:bCs/>
        </w:rPr>
        <w:t xml:space="preserve">License</w:t>
      </w:r>
      <w:r>
        <w:t xml:space="preserve">: MIT</w:t>
      </w:r>
    </w:p>
    <w:p>
      <w:pPr>
        <w:pStyle w:val="FirstParagraph"/>
      </w:pPr>
      <w:r>
        <w:t xml:space="preserve">Feedback welcome. We’re particularly interested in benchmarks on other embedding models (OpenAI ada-002, Cohere, etc.) and at larger scale (100M+ vectors).</w:t>
      </w:r>
    </w:p>
    <w:p>
      <w:r>
        <w:pict>
          <v:rect style="width:0;height:1.5pt" o:hralign="center" o:hrstd="t" o:hr="t"/>
        </w:pict>
      </w:r>
    </w:p>
    <w:p>
      <w:pPr>
        <w:pStyle w:val="FirstParagraph"/>
      </w:pPr>
      <w:r>
        <w:rPr>
          <w:i/>
          <w:iCs/>
        </w:rPr>
        <w:t xml:space="preserve">Built as part of the Atlas AI cognitive architecture project. The 2.4M ethics embeddings come from texts spanning Ancient Greek (Homer, Plato, Aristotle), Hebrew (Talmud, Mishnah), Buddhist (Pali Canon), Sanskrit (Vedas, Upanishads), Old Norse (Eddas), and modern advice columns. Because why not.</w:t>
      </w:r>
    </w:p>
    <w:bookmarkEnd w:id="17"/>
    <w:bookmarkEnd w:id="1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2026-04-09T03:17:23Z</dcterms:created>
  <dcterms:modified xsi:type="dcterms:W3CDTF">2026-04-09T03:17:23Z</dcterms:modified>
</cp:coreProperties>
</file>

<file path=docProps/custom.xml><?xml version="1.0" encoding="utf-8"?>
<Properties xmlns="http://schemas.openxmlformats.org/officeDocument/2006/custom-properties" xmlns:vt="http://schemas.openxmlformats.org/officeDocument/2006/docPropsVTypes"/>
</file>