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4.pdf" ContentType="application/pdf"/>
  <Override PartName="/word/media/rId29.pdf" ContentType="application/pdf"/>
  <Override PartName="/word/media/rId46.pdf" ContentType="application/pdf"/>
  <Override PartName="/word/media/rId76.pdf" ContentType="application/pdf"/>
  <Override PartName="/word/media/rId42.pdf" ContentType="application/pdf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PCA-Matryoshka: Enabling Effective Dimension Reduction for Non-Matryoshka Embedding Models with Applications to Vector Database Compression</w:t>
      </w:r>
    </w:p>
    <w:p>
      <w:pPr>
        <w:pStyle w:val="Author"/>
      </w:pPr>
      <w:r>
        <w:t xml:space="preserve">Anonymous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t xml:space="preserve">Matryoshka Representation Learning enables embedding models to produce vectors whose leading dimensions form useful lower-dimensional representations, allowing simple truncation for compression.</w:t>
      </w:r>
      <w:r>
        <w:t xml:space="preserve"> </w:t>
      </w:r>
      <w:r>
        <w:t xml:space="preserve">However, this property requires specialized multi-scale training losses and is absent from the majority of deployed embedding models.</w:t>
      </w:r>
      <w:r>
        <w:t xml:space="preserve"> </w:t>
      </w:r>
      <w:r>
        <w:t xml:space="preserve">We introduce</w:t>
      </w:r>
      <w:r>
        <w:t xml:space="preserve"> </w:t>
      </w:r>
      <w:r>
        <w:rPr>
          <w:i/>
          <w:iCs/>
        </w:rPr>
        <w:t xml:space="preserve">PCA-Matryoshka</w:t>
      </w:r>
      <w:r>
        <w:t xml:space="preserve">, a training-free technique that applies a principal component analysis (PCA) rotation to any embedding model’s output, reordering dimensions by explained variance so that truncation becomes effective without retraining.</w:t>
      </w:r>
      <w:r>
        <w:t xml:space="preserve"> </w:t>
      </w:r>
      <w:r>
        <w:t xml:space="preserve">On BGE-M3 embeddings (1024 dimensions, not trained with Matryoshka loss), naı̈ve truncation to 256 dimensions yields a cosine similarity of 0.467 against the full-dimensional representation—effectively unusable.</w:t>
      </w:r>
      <w:r>
        <w:t xml:space="preserve"> </w:t>
      </w:r>
      <w:r>
        <w:t xml:space="preserve">PCA-Matryoshka truncation to 256 dimensions achieves 0.974 cosine similarity, a 109% improvement.</w:t>
      </w:r>
      <w:r>
        <w:t xml:space="preserve"> </w:t>
      </w:r>
      <w:r>
        <w:t xml:space="preserve">Combined with 3-bit scalar quantization, PCA-Matryoshka delivers 27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 at 0.979 cosine similarity and 76.4% recall@10 on a 2.4-million-vector cross-civilizational ethics corpus.</w:t>
      </w:r>
      <w:r>
        <w:t xml:space="preserve"> </w:t>
      </w:r>
      <w:r>
        <w:t xml:space="preserve">We provide a comprehensive empirical comparison against product quantization, binary embeddings, scalar quantization, and native Matryoshka truncation across 15 compression configurations.</w:t>
      </w:r>
      <w:r>
        <w:t xml:space="preserve"> </w:t>
      </w:r>
      <w:r>
        <w:t xml:space="preserve">Our implementation is open-source and available as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on PyPI (v1.0.0: 397 tests, 27 modules, multi-modal support, production observability).</w:t>
      </w:r>
    </w:p>
    <w:p>
      <w:pPr>
        <w:pStyle w:val="FirstParagraph"/>
      </w:pPr>
      <w:r>
        <w:t xml:space="preserve">Anonymous: PCA-Matryoshka</w:t>
      </w:r>
    </w:p>
    <w:p>
      <w:pPr>
        <w:pStyle w:val="BodyText"/>
      </w:pPr>
      <w:r>
        <w:t xml:space="preserve">Representation learning, Machine learning, Search algorithms, Data mining, Intelligent systems.</w:t>
      </w:r>
    </w:p>
    <w:bookmarkStart w:id="9" w:name="impact-statement"/>
    <w:p>
      <w:pPr>
        <w:pStyle w:val="Heading1"/>
      </w:pPr>
      <w:r>
        <w:t xml:space="preserve">Impact Statement</w:t>
      </w:r>
    </w:p>
    <w:p>
      <w:pPr>
        <w:pStyle w:val="FirstParagraph"/>
      </w:pPr>
      <w:r>
        <w:t xml:space="preserve">Most deployed embedding models—including BGE-M3, Cohere Embed, and</w:t>
      </w:r>
      <w:r>
        <w:t xml:space="preserve"> </w:t>
      </w:r>
      <w:r>
        <w:t xml:space="preserve">older OpenAI models—cannot be truncated: naı̈ve dimension</w:t>
      </w:r>
      <w:r>
        <w:t xml:space="preserve"> </w:t>
      </w:r>
      <w:r>
        <w:t xml:space="preserve">reduction destroys retrieval quality (cosine similarity drops to</w:t>
      </w:r>
      <w:r>
        <w:t xml:space="preserve"> </w:t>
      </w:r>
      <w:r>
        <w:t xml:space="preserve">0.467 at half dimensions). This forces billion-scale vector</w:t>
      </w:r>
      <w:r>
        <w:t xml:space="preserve"> </w:t>
      </w:r>
      <w:r>
        <w:t xml:space="preserve">deployments onto expensive infrastructure, excluding privacy-sensitive</w:t>
      </w:r>
      <w:r>
        <w:t xml:space="preserve"> </w:t>
      </w:r>
      <w:r>
        <w:t xml:space="preserve">domains where data must stay local. No prior work has systematically</w:t>
      </w:r>
      <w:r>
        <w:t xml:space="preserve"> </w:t>
      </w:r>
      <w:r>
        <w:t xml:space="preserve">evaluated how to compress these non-Matryoshka models effectively.</w:t>
      </w:r>
    </w:p>
    <w:p>
      <w:pPr>
        <w:pStyle w:val="BodyText"/>
      </w:pPr>
      <w:r>
        <w:t xml:space="preserve">The leap in this paper is showing that a training-free, one-line</w:t>
      </w:r>
      <w:r>
        <w:t xml:space="preserve"> </w:t>
      </w:r>
      <w:r>
        <w:t xml:space="preserve">linear transformation—PCA rotation before truncation—recovers</w:t>
      </w:r>
      <w:r>
        <w:t xml:space="preserve"> </w:t>
      </w:r>
      <w:r>
        <w:t xml:space="preserve">the truncation property that Matryoshka training provides, achieving</w:t>
      </w:r>
      <w:r>
        <w:t xml:space="preserve"> </w:t>
      </w:r>
      <w:r>
        <w:t xml:space="preserve">0.974 cosine similarity where naı̈ve truncation gives 0.467</w:t>
      </w:r>
      <w:r>
        <w:t xml:space="preserve"> </w:t>
      </w:r>
      <w:r>
        <w:t xml:space="preserve">(a 109% improvement). Combined with scalar quantization, the</w:t>
      </w:r>
      <w:r>
        <w:t xml:space="preserve"> </w:t>
      </w:r>
      <w:r>
        <w:t xml:space="preserve">pipeline delivers 27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 at 0.979 cosine similarity,</w:t>
      </w:r>
      <w:r>
        <w:t xml:space="preserve"> </w:t>
      </w:r>
      <w:r>
        <w:t xml:space="preserve">filling a previously empty region of the compression–quality Pareto</w:t>
      </w:r>
      <w:r>
        <w:t xml:space="preserve"> </w:t>
      </w:r>
      <w:r>
        <w:t xml:space="preserve">frontier that no existing method occupies.</w:t>
      </w:r>
    </w:p>
    <w:p>
      <w:pPr>
        <w:pStyle w:val="BodyText"/>
      </w:pPr>
      <w:r>
        <w:t xml:space="preserve">Our 15-method benchmark—the first systematic comparison on a single</w:t>
      </w:r>
      <w:r>
        <w:t xml:space="preserve"> </w:t>
      </w:r>
      <w:r>
        <w:t xml:space="preserve">large-scale corpus—provides practitioners an evidence-based</w:t>
      </w:r>
      <w:r>
        <w:t xml:space="preserve"> </w:t>
      </w:r>
      <w:r>
        <w:t xml:space="preserve">selection guide. The practical consequence: a hospital can run</w:t>
      </w:r>
      <w:r>
        <w:t xml:space="preserve"> </w:t>
      </w:r>
      <w:r>
        <w:t xml:space="preserve">semantic search over patient records locally on commodity hardware;</w:t>
      </w:r>
      <w:r>
        <w:t xml:space="preserve"> </w:t>
      </w:r>
      <w:r>
        <w:t xml:space="preserve">organizations in bandwidth-constrained regions can deploy</w:t>
      </w:r>
      <w:r>
        <w:t xml:space="preserve"> </w:t>
      </w:r>
      <w:r>
        <w:t xml:space="preserve">retrieval-augmented AI without cloud dependency. The open-source</w:t>
      </w:r>
      <w:r>
        <w:t xml:space="preserve"> </w:t>
      </w:r>
      <w:r>
        <w:t xml:space="preserve">implementation removes the engineering barrier to adoption.</w:t>
      </w:r>
    </w:p>
    <w:bookmarkEnd w:id="9"/>
    <w:bookmarkStart w:id="12" w:name="sec: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Dense vector embeddings have become the foundation of modern information retrieval, powering semantic search, retrieval-augmented generation (RAG), recommendation systems, and cross-lingual matching.</w:t>
      </w:r>
      <w:r>
        <w:t xml:space="preserve"> </w:t>
      </w:r>
      <w:r>
        <w:t xml:space="preserve">Production deployments routinely maintain vector indices of hundreds of millions to billions of embeddings, stored in specialized databases such as pgvector </w:t>
      </w:r>
      <w:r>
        <w:t xml:space="preserve">, FAISS </w:t>
      </w:r>
      <w:r>
        <w:t xml:space="preserve">, and proprietary managed services.</w:t>
      </w:r>
      <w:r>
        <w:t xml:space="preserve"> </w:t>
      </w:r>
      <w:r>
        <w:t xml:space="preserve">At typical embedding dimensions of 768–1536 and 32-bit floating-point precision, a billion-vector index consumes 3–6 TB of memory, imposing severe constraints on cost and scalability.</w:t>
      </w:r>
    </w:p>
    <w:p>
      <w:pPr>
        <w:pStyle w:val="BodyText"/>
      </w:pPr>
      <w:r>
        <w:t xml:space="preserve">Compression is therefore essential.</w:t>
      </w:r>
      <w:r>
        <w:t xml:space="preserve"> </w:t>
      </w:r>
      <w:r>
        <w:t xml:space="preserve">The dominant approaches fall into two families:</w:t>
      </w:r>
      <w:r>
        <w:t xml:space="preserve"> </w:t>
      </w:r>
      <w:r>
        <w:rPr>
          <w:i/>
          <w:iCs/>
        </w:rPr>
        <w:t xml:space="preserve">quantization</w:t>
      </w:r>
      <w:r>
        <w:t xml:space="preserve">, which reduces the bit-width per dimension, and</w:t>
      </w:r>
      <w:r>
        <w:t xml:space="preserve"> </w:t>
      </w:r>
      <w:r>
        <w:rPr>
          <w:i/>
          <w:iCs/>
        </w:rPr>
        <w:t xml:space="preserve">dimensionality reduction</w:t>
      </w:r>
      <w:r>
        <w:t xml:space="preserve">, which reduces the number of dimensions.</w:t>
      </w:r>
      <w:r>
        <w:t xml:space="preserve"> </w:t>
      </w:r>
      <w:r>
        <w:t xml:space="preserve">These are orthogonal and can be composed.</w:t>
      </w:r>
    </w:p>
    <w:p>
      <w:pPr>
        <w:pStyle w:val="BodyText"/>
      </w:pPr>
      <w:r>
        <w:t xml:space="preserve">Matryoshka Representation Learning (MRL) </w:t>
      </w:r>
      <w:r>
        <w:t xml:space="preserve"> </w:t>
      </w:r>
      <w:r>
        <w:t xml:space="preserve">introduced an elegant approach to dimensionality reduction: by training with a multi-scale loss that simultaneously optimizes representations at multiple truncation levels, the resulting model produces embeddings whose first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dimensions form a useful</w:t>
      </w:r>
      <w:r>
        <w:t xml:space="preserve"> </w:t>
      </w:r>
      <m:oMath>
        <m:r>
          <m:t>k</m:t>
        </m:r>
      </m:oMath>
      <w:r>
        <w:t xml:space="preserve">-dimensional representation for any</w:t>
      </w:r>
      <w:r>
        <w:t xml:space="preserve"> </w:t>
      </w:r>
      <m:oMath>
        <m:r>
          <m:t>k</m:t>
        </m:r>
      </m:oMath>
      <w:r>
        <w:t xml:space="preserve">.</w:t>
      </w:r>
      <w:r>
        <w:t xml:space="preserve"> </w:t>
      </w:r>
      <w:r>
        <w:t xml:space="preserve">This allows simple prefix truncation—discarding trailing dimensions—as a zero-cost compression strategy.</w:t>
      </w:r>
      <w:r>
        <w:t xml:space="preserve"> </w:t>
      </w:r>
      <w:r>
        <w:t xml:space="preserve">OpenAI’s</w:t>
      </w:r>
      <w:r>
        <w:t xml:space="preserve"> </w:t>
      </w:r>
      <w:r>
        <w:rPr>
          <w:rStyle w:val="VerbatimChar"/>
        </w:rPr>
        <w:t xml:space="preserve">text-embedding-3</w:t>
      </w:r>
      <w:r>
        <w:t xml:space="preserve"> </w:t>
      </w:r>
      <w:r>
        <w:t xml:space="preserve">family </w:t>
      </w:r>
      <w:r>
        <w:t xml:space="preserve"> </w:t>
      </w:r>
      <w:r>
        <w:t xml:space="preserve">and several open-source models now support this property.</w:t>
      </w:r>
    </w:p>
    <w:p>
      <w:pPr>
        <w:pStyle w:val="BodyText"/>
      </w:pPr>
      <w:r>
        <w:t xml:space="preserve">However, the vast majority of deployed embedding models—including BGE-M3 </w:t>
      </w:r>
      <w:r>
        <w:t xml:space="preserve">, Cohere Embed, and older OpenAI</w:t>
      </w:r>
      <w:r>
        <w:t xml:space="preserve"> </w:t>
      </w:r>
      <w:r>
        <w:rPr>
          <w:rStyle w:val="VerbatimChar"/>
        </w:rPr>
        <w:t xml:space="preserve">ada-002</w:t>
      </w:r>
      <w:r>
        <w:t xml:space="preserve"> </w:t>
      </w:r>
      <w:r>
        <w:t xml:space="preserve">models—were not trained with Matryoshka losses.</w:t>
      </w:r>
      <w:r>
        <w:t xml:space="preserve"> </w:t>
      </w:r>
      <w:r>
        <w:t xml:space="preserve">For these models, the information content is distributed roughly uniformly across all dimensions, and naı̈ve truncation destroys critical signal.</w:t>
      </w:r>
      <w:r>
        <w:t xml:space="preserve"> </w:t>
      </w:r>
      <w:r>
        <w:t xml:space="preserve">Our experiments confirm this dramatically: truncating BGE-M3 from 1024 to 256 dimensions yields a mean cosine similarity of only 0.467 against the full representation, rendering the compressed vectors unusable for retrieval.</w:t>
      </w:r>
    </w:p>
    <w:bookmarkStart w:id="10" w:name="contributions"/>
    <w:p>
      <w:pPr>
        <w:pStyle w:val="Heading2"/>
      </w:pPr>
      <w:r>
        <w:t xml:space="preserve">Contributions</w:t>
      </w:r>
    </w:p>
    <w:p>
      <w:pPr>
        <w:pStyle w:val="FirstParagraph"/>
      </w:pPr>
      <w:r>
        <w:t xml:space="preserve">We make the following contributions: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PCA-Matryoshka.</w:t>
      </w:r>
      <w:r>
        <w:t xml:space="preserve"> </w:t>
      </w:r>
      <w:r>
        <w:t xml:space="preserve">We show that applying a PCA rotation—a simple, training-free linear transformation—to any embedding model’s output reorders dimensions by explained variance, converting an arbitrary model into one with effective Matryoshka-like truncation properties.</w:t>
      </w:r>
      <w:r>
        <w:t xml:space="preserve"> </w:t>
      </w:r>
      <w:r>
        <w:t xml:space="preserve">On BGE-M3, PCA-Matryoshka truncation to 256 dimensions achieves 0.974 cosine similarity (vs. 0.467 for naı̈ve truncation), a 109% improvement.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Compression pipeline.</w:t>
      </w:r>
      <w:r>
        <w:t xml:space="preserve"> </w:t>
      </w:r>
      <w:r>
        <w:t xml:space="preserve">We demonstrate that PCA-Matryoshka composes naturally with scalar quantization.</w:t>
      </w:r>
      <w:r>
        <w:t xml:space="preserve"> </w:t>
      </w:r>
      <w:r>
        <w:t xml:space="preserve">The combined pipeline (PCA rotation</w:t>
      </w:r>
      <w:r>
        <w:t xml:space="preserve"> </w:t>
      </w:r>
      <m:oMath>
        <m:r>
          <m:rPr>
            <m:sty m:val="p"/>
          </m:rPr>
          <m:t>→</m:t>
        </m:r>
      </m:oMath>
      <w:r>
        <w:t xml:space="preserve"> </w:t>
      </w:r>
      <w:r>
        <w:t xml:space="preserve">truncation</w:t>
      </w:r>
      <w:r>
        <w:t xml:space="preserve"> </w:t>
      </w:r>
      <m:oMath>
        <m:r>
          <m:rPr>
            <m:sty m:val="p"/>
          </m:rPr>
          <m:t>→</m:t>
        </m:r>
      </m:oMath>
      <w:r>
        <w:t xml:space="preserve"> </w:t>
      </w:r>
      <w:r>
        <w:t xml:space="preserve">3-bit quantization) achieves 27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 at 0.979 cosine similarity, occupying a previously empty region of the compression–quality Pareto frontier.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Comprehensive benchmarks.</w:t>
      </w:r>
      <w:r>
        <w:t xml:space="preserve"> </w:t>
      </w:r>
      <w:r>
        <w:t xml:space="preserve">We provide the first systematic comparison of 15 embedding compression methods on a single large-scale corpus, including product quantization, binary quantization, scalar quantization at multiple bit-widths, Matryoshka truncation, and our PCA-Matryoshka variants.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Open-source implementation.</w:t>
      </w:r>
      <w:r>
        <w:t xml:space="preserve"> </w:t>
      </w:r>
      <w:r>
        <w:t xml:space="preserve">Our complete pipeline, including GPU-accelerated PCA, streaming PCA updates, and integration with pgvector, is available as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(</w:t>
      </w:r>
      <w:r>
        <w:rPr>
          <w:rStyle w:val="VerbatimChar"/>
        </w:rPr>
        <w:t xml:space="preserve">pip install turboquant-pro</w:t>
      </w:r>
      <w:r>
        <w:t xml:space="preserve">).</w:t>
      </w:r>
    </w:p>
    <w:bookmarkEnd w:id="10"/>
    <w:bookmarkStart w:id="11" w:name="paper-organization"/>
    <w:p>
      <w:pPr>
        <w:pStyle w:val="Heading2"/>
      </w:pPr>
      <w:r>
        <w:t xml:space="preserve">Paper Organization</w:t>
      </w:r>
    </w:p>
    <w:p>
      <w:pPr>
        <w:pStyle w:val="FirstParagraph"/>
      </w:pPr>
      <w:r>
        <w:t xml:space="preserve">Section </w:t>
      </w:r>
      <w:hyperlink w:anchor="sec:related">
        <w:r>
          <w:rPr>
            <w:rStyle w:val="Hyperlink"/>
          </w:rPr>
          <w:t xml:space="preserve">2</w:t>
        </w:r>
      </w:hyperlink>
      <w:r>
        <w:t xml:space="preserve"> </w:t>
      </w:r>
      <w:r>
        <w:t xml:space="preserve">reviews related work.</w:t>
      </w:r>
      <w:r>
        <w:t xml:space="preserve"> </w:t>
      </w:r>
      <w:r>
        <w:t xml:space="preserve">Section </w:t>
      </w:r>
      <w:hyperlink w:anchor="sec:method">
        <w:r>
          <w:rPr>
            <w:rStyle w:val="Hyperlink"/>
          </w:rPr>
          <w:t xml:space="preserve">3</w:t>
        </w:r>
      </w:hyperlink>
      <w:r>
        <w:t xml:space="preserve"> </w:t>
      </w:r>
      <w:r>
        <w:t xml:space="preserve">presents the PCA-Matryoshka method and its theoretical justification.</w:t>
      </w:r>
      <w:r>
        <w:t xml:space="preserve"> </w:t>
      </w:r>
      <w:r>
        <w:t xml:space="preserve">Section </w:t>
      </w:r>
      <w:hyperlink w:anchor="sec:setup">
        <w:r>
          <w:rPr>
            <w:rStyle w:val="Hyperlink"/>
          </w:rPr>
          <w:t xml:space="preserve">4</w:t>
        </w:r>
      </w:hyperlink>
      <w:r>
        <w:t xml:space="preserve"> </w:t>
      </w:r>
      <w:r>
        <w:t xml:space="preserve">describes the experimental setup.</w:t>
      </w:r>
      <w:r>
        <w:t xml:space="preserve"> </w:t>
      </w:r>
      <w:r>
        <w:t xml:space="preserve">Section </w:t>
      </w:r>
      <w:hyperlink w:anchor="sec:results">
        <w:r>
          <w:rPr>
            <w:rStyle w:val="Hyperlink"/>
          </w:rPr>
          <w:t xml:space="preserve">5</w:t>
        </w:r>
      </w:hyperlink>
      <w:r>
        <w:t xml:space="preserve"> </w:t>
      </w:r>
      <w:r>
        <w:t xml:space="preserve">presents results.</w:t>
      </w:r>
      <w:r>
        <w:t xml:space="preserve"> </w:t>
      </w:r>
      <w:r>
        <w:t xml:space="preserve">Section </w:t>
      </w:r>
      <w:hyperlink w:anchor="sec:analysis">
        <w:r>
          <w:rPr>
            <w:rStyle w:val="Hyperlink"/>
          </w:rPr>
          <w:t xml:space="preserve">6</w:t>
        </w:r>
      </w:hyperlink>
      <w:r>
        <w:t xml:space="preserve"> </w:t>
      </w:r>
      <w:r>
        <w:t xml:space="preserve">provides analysis and discussion.</w:t>
      </w:r>
      <w:r>
        <w:t xml:space="preserve"> </w:t>
      </w:r>
      <w:r>
        <w:t xml:space="preserve">Section </w:t>
      </w:r>
      <w:hyperlink w:anchor="sec:applications">
        <w:r>
          <w:rPr>
            <w:rStyle w:val="Hyperlink"/>
          </w:rPr>
          <w:t xml:space="preserve">7</w:t>
        </w:r>
      </w:hyperlink>
      <w:r>
        <w:t xml:space="preserve"> </w:t>
      </w:r>
      <w:r>
        <w:t xml:space="preserve">discusses applications.</w:t>
      </w:r>
      <w:r>
        <w:t xml:space="preserve"> </w:t>
      </w:r>
      <w:r>
        <w:t xml:space="preserve">Section </w:t>
      </w:r>
      <w:hyperlink w:anchor="sec:update">
        <w:r>
          <w:rPr>
            <w:rStyle w:val="Hyperlink"/>
          </w:rPr>
          <w:t xml:space="preserve">8</w:t>
        </w:r>
      </w:hyperlink>
      <w:r>
        <w:t xml:space="preserve"> </w:t>
      </w:r>
      <w:r>
        <w:t xml:space="preserve">describes the implementation evolution from v0.5.0 to v1.0.0 with new benchmarks.</w:t>
      </w:r>
      <w:r>
        <w:t xml:space="preserve"> </w:t>
      </w:r>
      <w:r>
        <w:t xml:space="preserve">Section </w:t>
      </w:r>
      <w:hyperlink w:anchor="sec:conclusion">
        <w:r>
          <w:rPr>
            <w:rStyle w:val="Hyperlink"/>
          </w:rPr>
          <w:t xml:space="preserve">9</w:t>
        </w:r>
      </w:hyperlink>
      <w:r>
        <w:t xml:space="preserve"> </w:t>
      </w:r>
      <w:r>
        <w:t xml:space="preserve">concludes.</w:t>
      </w:r>
    </w:p>
    <w:bookmarkEnd w:id="11"/>
    <w:bookmarkEnd w:id="12"/>
    <w:bookmarkStart w:id="16" w:name="sec:related"/>
    <w:p>
      <w:pPr>
        <w:pStyle w:val="Heading1"/>
      </w:pPr>
      <w:r>
        <w:t xml:space="preserve">Related Work</w:t>
      </w:r>
    </w:p>
    <w:bookmarkStart w:id="13" w:name="matryoshka-representation-learning"/>
    <w:p>
      <w:pPr>
        <w:pStyle w:val="Heading2"/>
      </w:pPr>
      <w:r>
        <w:t xml:space="preserve">Matryoshka Representation Learning</w:t>
      </w:r>
    </w:p>
    <w:p>
      <w:pPr>
        <w:pStyle w:val="FirstParagraph"/>
      </w:pPr>
      <w:r>
        <w:t xml:space="preserve">Kusupati et al. </w:t>
      </w:r>
      <w:r>
        <w:t xml:space="preserve"> </w:t>
      </w:r>
      <w:r>
        <w:t xml:space="preserve">introduced MRL, which trains embedding models with a multi-scale loss function that simultaneously optimizes at multiple representation granularities.</w:t>
      </w:r>
      <w:r>
        <w:t xml:space="preserve"> </w:t>
      </w:r>
      <w:r>
        <w:t xml:space="preserve">For a model</w:t>
      </w:r>
      <w:r>
        <w:t xml:space="preserve"> </w:t>
      </w:r>
      <m:oMath>
        <m:sSub>
          <m:e>
            <m:r>
              <m:t>f</m:t>
            </m:r>
          </m:e>
          <m:sub>
            <m:r>
              <m:t>θ</m:t>
            </m:r>
          </m:sub>
        </m:sSub>
        <m:r>
          <m:rPr>
            <m:sty m:val="p"/>
          </m:rPr>
          <m:t>:</m:t>
        </m:r>
        <m:r>
          <m:rPr>
            <m:scr m:val="script"/>
            <m:sty m:val="p"/>
          </m:rPr>
          <m:t>X</m:t>
        </m:r>
        <m:r>
          <m:rPr>
            <m:sty m:val="p"/>
          </m:rPr>
          <m:t>→</m:t>
        </m:r>
        <m:sSup>
          <m:e>
            <m:r>
              <m:rPr>
                <m:scr m:val="double-struck"/>
                <m:sty m:val="p"/>
              </m:rPr>
              <m:t>R</m:t>
            </m:r>
          </m:e>
          <m:sup>
            <m:r>
              <m:t>d</m:t>
            </m:r>
          </m:sup>
        </m:sSup>
      </m:oMath>
      <w:r>
        <w:t xml:space="preserve">, MRL minimizes: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rPr>
                  <m:scr m:val="script"/>
                  <m:sty m:val="p"/>
                </m:rPr>
                <m:t>L</m:t>
              </m:r>
            </m:e>
            <m:sub>
              <m:r>
                <m:rPr>
                  <m:nor/>
                  <m:sty m:val="p"/>
                </m:rPr>
                <m:t>MRL</m:t>
              </m:r>
            </m:sub>
          </m:sSub>
          <m:r>
            <m:rPr>
              <m:sty m:val="p"/>
            </m:rPr>
            <m:t>=</m:t>
          </m:r>
          <m:nary>
            <m:naryPr>
              <m:chr m:val="∑"/>
              <m:limLoc m:val="undOvr"/>
              <m:subHide m:val="off"/>
              <m:supHide m:val="on"/>
            </m:naryPr>
            <m:sub>
              <m:r>
                <m:t>m</m:t>
              </m:r>
              <m:r>
                <m:rPr>
                  <m:sty m:val="p"/>
                </m:rPr>
                <m:t>∈</m:t>
              </m:r>
              <m:r>
                <m:rPr>
                  <m:scr m:val="script"/>
                  <m:sty m:val="p"/>
                </m:rPr>
                <m:t>M</m:t>
              </m:r>
            </m:sub>
            <m:sup>
              <m:r>
                <m:t>​</m:t>
              </m:r>
            </m:sup>
            <m:e>
              <m:sSub>
                <m:e>
                  <m:r>
                    <m:t>c</m:t>
                  </m:r>
                </m:e>
                <m:sub>
                  <m:r>
                    <m:t>m</m:t>
                  </m:r>
                </m:sub>
              </m:sSub>
            </m:e>
          </m:nary>
          <m:r>
            <m:rPr>
              <m:sty m:val="p"/>
            </m:rPr>
            <m:t>⋅</m:t>
          </m:r>
          <m:r>
            <m:rPr>
              <m:scr m:val="script"/>
              <m:sty m:val="p"/>
            </m:rPr>
            <m:t>L</m:t>
          </m:r>
          <m:d>
            <m:dPr>
              <m:begChr m:val="("/>
              <m:sepChr m:val=""/>
              <m:endChr m:val=")"/>
              <m:grow/>
            </m:dPr>
            <m:e>
              <m:sSub>
                <m:e>
                  <m:r>
                    <m:t>f</m:t>
                  </m:r>
                </m:e>
                <m:sub>
                  <m:r>
                    <m:t>θ</m:t>
                  </m:r>
                </m:sub>
              </m:sSub>
              <m:r>
                <m:rPr>
                  <m:sty m:val="p"/>
                </m:rPr>
                <m:t>(</m:t>
              </m:r>
              <m:r>
                <m:t>x</m:t>
              </m:r>
              <m:sSub>
                <m:e>
                  <m:r>
                    <m:rPr>
                      <m:sty m:val="p"/>
                    </m:rPr>
                    <m:t>)</m:t>
                  </m:r>
                </m:e>
                <m:sub>
                  <m:r>
                    <m:t>1</m:t>
                  </m:r>
                  <m:r>
                    <m:rPr>
                      <m:sty m:val="p"/>
                    </m:rPr>
                    <m:t>:</m:t>
                  </m:r>
                  <m:r>
                    <m:t>m</m:t>
                  </m:r>
                </m:sub>
              </m:sSub>
              <m:r>
                <m:rPr>
                  <m:sty m:val="p"/>
                </m:rPr>
                <m:t>,</m:t>
              </m:r>
              <m:r>
                <m:t>y</m:t>
              </m:r>
            </m:e>
          </m:d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where</w:t>
      </w:r>
      <w:r>
        <w:t xml:space="preserve"> </w:t>
      </w:r>
      <m:oMath>
        <m:r>
          <m:rPr>
            <m:scr m:val="script"/>
            <m:sty m:val="p"/>
          </m:rPr>
          <m:t>M</m:t>
        </m:r>
        <m:r>
          <m:rPr>
            <m:sty m:val="p"/>
          </m:rPr>
          <m:t>⊂</m:t>
        </m:r>
        <m:r>
          <m:rPr>
            <m:sty m:val="p"/>
          </m:rPr>
          <m:t>{</m:t>
        </m:r>
        <m:r>
          <m:t>1</m:t>
        </m:r>
        <m:r>
          <m:rPr>
            <m:sty m:val="p"/>
          </m:rPr>
          <m:t>,</m:t>
        </m:r>
        <m:r>
          <m:t>2</m:t>
        </m:r>
        <m:r>
          <m:rPr>
            <m:sty m:val="p"/>
          </m:rPr>
          <m:t>,</m:t>
        </m:r>
        <m:r>
          <m:rPr>
            <m:sty m:val="p"/>
          </m:rPr>
          <m:t>…</m:t>
        </m:r>
        <m:r>
          <m:rPr>
            <m:sty m:val="p"/>
          </m:rPr>
          <m:t>,</m:t>
        </m:r>
        <m:r>
          <m:t>d</m:t>
        </m:r>
        <m:r>
          <m:rPr>
            <m:sty m:val="p"/>
          </m:rPr>
          <m:t>}</m:t>
        </m:r>
      </m:oMath>
      <w:r>
        <w:t xml:space="preserve"> </w:t>
      </w:r>
      <w:r>
        <w:t xml:space="preserve">is a set of representation sizes and</w:t>
      </w:r>
      <w:r>
        <w:t xml:space="preserve"> </w:t>
      </w:r>
      <m:oMath>
        <m:sSub>
          <m:e>
            <m:r>
              <m:t>f</m:t>
            </m:r>
          </m:e>
          <m:sub>
            <m:r>
              <m:t>θ</m:t>
            </m:r>
          </m:sub>
        </m:sSub>
        <m:r>
          <m:rPr>
            <m:sty m:val="p"/>
          </m:rPr>
          <m:t>(</m:t>
        </m:r>
        <m:r>
          <m:t>x</m:t>
        </m:r>
        <m:sSub>
          <m:e>
            <m:r>
              <m:rPr>
                <m:sty m:val="p"/>
              </m:rPr>
              <m:t>)</m:t>
            </m:r>
          </m:e>
          <m:sub>
            <m:r>
              <m:t>1</m:t>
            </m:r>
            <m:r>
              <m:rPr>
                <m:sty m:val="p"/>
              </m:rPr>
              <m:t>:</m:t>
            </m:r>
            <m:r>
              <m:t>m</m:t>
            </m:r>
          </m:sub>
        </m:sSub>
      </m:oMath>
      <w:r>
        <w:t xml:space="preserve"> </w:t>
      </w:r>
      <w:r>
        <w:t xml:space="preserve">denotes the first</w:t>
      </w:r>
      <w:r>
        <w:t xml:space="preserve"> </w:t>
      </w:r>
      <m:oMath>
        <m:r>
          <m:t>m</m:t>
        </m:r>
      </m:oMath>
      <w:r>
        <w:t xml:space="preserve"> </w:t>
      </w:r>
      <w:r>
        <w:t xml:space="preserve">dimensions of the output.</w:t>
      </w:r>
      <w:r>
        <w:t xml:space="preserve"> </w:t>
      </w:r>
      <w:r>
        <w:t xml:space="preserve">The resulting models produce embeddings where information is concentrated in the leading dimensions by design.</w:t>
      </w:r>
      <w:r>
        <w:t xml:space="preserve"> </w:t>
      </w:r>
      <w:r>
        <w:t xml:space="preserve">However, applying MRL requires access to the training pipeline, labeled data, and significant computational resources.</w:t>
      </w:r>
    </w:p>
    <w:bookmarkEnd w:id="13"/>
    <w:bookmarkStart w:id="14" w:name="quantization-methods"/>
    <w:p>
      <w:pPr>
        <w:pStyle w:val="Heading2"/>
      </w:pPr>
      <w:r>
        <w:t xml:space="preserve">Quantization Methods</w:t>
      </w:r>
    </w:p>
    <w:p>
      <w:pPr>
        <w:pStyle w:val="FirstParagraph"/>
      </w:pPr>
      <w:r>
        <w:rPr>
          <w:b/>
          <w:bCs/>
        </w:rPr>
        <w:t xml:space="preserve">Product Quantization</w:t>
      </w:r>
      <w:r>
        <w:t xml:space="preserve"> </w:t>
      </w:r>
      <w:r>
        <w:t xml:space="preserve">(PQ) </w:t>
      </w:r>
      <w:r>
        <w:t xml:space="preserve"> </w:t>
      </w:r>
      <w:r>
        <w:t xml:space="preserve">partitions the</w:t>
      </w:r>
      <w:r>
        <w:t xml:space="preserve"> </w:t>
      </w:r>
      <m:oMath>
        <m:r>
          <m:t>d</m:t>
        </m:r>
      </m:oMath>
      <w:r>
        <w:t xml:space="preserve">-dimensional space into</w:t>
      </w:r>
      <w:r>
        <w:t xml:space="preserve"> </w:t>
      </w:r>
      <m:oMath>
        <m:r>
          <m:t>M</m:t>
        </m:r>
      </m:oMath>
      <w:r>
        <w:t xml:space="preserve"> </w:t>
      </w:r>
      <w:r>
        <w:t xml:space="preserve">subspaces of</w:t>
      </w:r>
      <w:r>
        <w:t xml:space="preserve"> </w:t>
      </w:r>
      <m:oMath>
        <m:r>
          <m:t>d</m:t>
        </m:r>
        <m:r>
          <m:rPr>
            <m:sty m:val="p"/>
          </m:rPr>
          <m:t>/</m:t>
        </m:r>
        <m:r>
          <m:t>M</m:t>
        </m:r>
      </m:oMath>
      <w:r>
        <w:t xml:space="preserve"> </w:t>
      </w:r>
      <w:r>
        <w:t xml:space="preserve">dimensions each, learns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centroids per subspace, and encodes each vector as</w:t>
      </w:r>
      <w:r>
        <w:t xml:space="preserve"> </w:t>
      </w:r>
      <m:oMath>
        <m:r>
          <m:t>M</m:t>
        </m:r>
      </m:oMath>
      <w:r>
        <w:t xml:space="preserve"> </w:t>
      </w:r>
      <w:r>
        <w:t xml:space="preserve">centroid indices.</w:t>
      </w:r>
      <w:r>
        <w:t xml:space="preserve"> </w:t>
      </w:r>
      <w:r>
        <w:t xml:space="preserve">With typical settings (</w:t>
      </w:r>
      <m:oMath>
        <m:r>
          <m:t>M</m:t>
        </m:r>
        <m:r>
          <m:rPr>
            <m:sty m:val="p"/>
          </m:rPr>
          <m:t>=</m:t>
        </m:r>
        <m:r>
          <m:t>16</m:t>
        </m:r>
      </m:oMath>
      <w:r>
        <w:t xml:space="preserve">,</w:t>
      </w:r>
      <w:r>
        <w:t xml:space="preserve"> </w:t>
      </w:r>
      <m:oMath>
        <m:r>
          <m:t>K</m:t>
        </m:r>
        <m:r>
          <m:rPr>
            <m:sty m:val="p"/>
          </m:rPr>
          <m:t>=</m:t>
        </m:r>
        <m:r>
          <m:t>256</m:t>
        </m:r>
      </m:oMath>
      <w:r>
        <w:t xml:space="preserve">), PQ achieves</w:t>
      </w:r>
      <w:r>
        <w:t xml:space="preserve"> </w:t>
      </w:r>
      <m:oMath>
        <m:r>
          <m:t>256</m:t>
        </m:r>
        <m:r>
          <m:rPr>
            <m:sty m:val="p"/>
          </m:rPr>
          <m:t>×</m:t>
        </m:r>
      </m:oMath>
      <w:r>
        <w:t xml:space="preserve"> </w:t>
      </w:r>
      <w:r>
        <w:t xml:space="preserve">compression but introduces substantial approximation error for high-fidelity similarity computation.</w:t>
      </w:r>
    </w:p>
    <w:p>
      <w:pPr>
        <w:pStyle w:val="BodyText"/>
      </w:pPr>
      <w:r>
        <w:rPr>
          <w:b/>
          <w:bCs/>
        </w:rPr>
        <w:t xml:space="preserve">Scalar quantization</w:t>
      </w:r>
      <w:r>
        <w:t xml:space="preserve"> </w:t>
      </w:r>
      <w:r>
        <w:t xml:space="preserve">maps each floating-point dimension independently to a lower bit-width representation.</w:t>
      </w:r>
      <w:r>
        <w:t xml:space="preserve"> </w:t>
      </w:r>
      <w:r>
        <w:t xml:space="preserve">Standard int8 scalar quantization achieves</w:t>
      </w:r>
      <w:r>
        <w:t xml:space="preserve"> </w:t>
      </w:r>
      <m:oMath>
        <m:r>
          <m:t>4</m:t>
        </m:r>
        <m:r>
          <m:rPr>
            <m:sty m:val="p"/>
          </m:rPr>
          <m:t>×</m:t>
        </m:r>
      </m:oMath>
      <w:r>
        <w:t xml:space="preserve"> </w:t>
      </w:r>
      <w:r>
        <w:t xml:space="preserve">compression with negligible quality loss (cosine similarity</w:t>
      </w:r>
      <w:r>
        <w:t xml:space="preserve"> </w:t>
      </w:r>
      <m:oMath>
        <m:r>
          <m:rPr>
            <m:sty m:val="p"/>
          </m:rPr>
          <m:t>&gt;</m:t>
        </m:r>
        <m:r>
          <m:t>0.999</m:t>
        </m:r>
      </m:oMath>
      <w:r>
        <w:t xml:space="preserve">).</w:t>
      </w:r>
    </w:p>
    <w:p>
      <w:pPr>
        <w:pStyle w:val="BodyText"/>
      </w:pPr>
      <w:r>
        <w:rPr>
          <w:b/>
          <w:bCs/>
        </w:rPr>
        <w:t xml:space="preserve">TurboQuant</w:t>
      </w:r>
      <w:r>
        <w:t xml:space="preserve"> </w:t>
      </w:r>
      <w:r>
        <w:t xml:space="preserve"> </w:t>
      </w:r>
      <w:r>
        <w:t xml:space="preserve">extends scalar quantization to sub-byte precision (3–4 bits) using polar coordinate reparameterization, achieving</w:t>
      </w:r>
      <w:r>
        <w:t xml:space="preserve"> </w:t>
      </w:r>
      <m:oMath>
        <m:r>
          <m:t>10</m:t>
        </m:r>
        <m:r>
          <m:rPr>
            <m:sty m:val="p"/>
          </m:rPr>
          <m:t>×</m:t>
        </m:r>
      </m:oMath>
      <w:r>
        <w:t xml:space="preserve"> </w:t>
      </w:r>
      <w:r>
        <w:t xml:space="preserve">compression at higher fidelity than PQ.</w:t>
      </w:r>
      <w:r>
        <w:t xml:space="preserve"> </w:t>
      </w:r>
      <w:r>
        <w:t xml:space="preserve">Our work builds on TurboQuant by showing that PCA preprocessing dramatically improves its effectiveness when combined with dimension truncation.</w:t>
      </w:r>
    </w:p>
    <w:p>
      <w:pPr>
        <w:pStyle w:val="BodyText"/>
      </w:pPr>
      <w:r>
        <w:rPr>
          <w:b/>
          <w:bCs/>
        </w:rPr>
        <w:t xml:space="preserve">Binary quantization</w:t>
      </w:r>
      <w:r>
        <w:t xml:space="preserve"> </w:t>
      </w:r>
      <w:r>
        <w:t xml:space="preserve"> </w:t>
      </w:r>
      <w:r>
        <w:t xml:space="preserve">reduces each dimension to a single bit, achieving</w:t>
      </w:r>
      <w:r>
        <w:t xml:space="preserve"> </w:t>
      </w:r>
      <m:oMath>
        <m:r>
          <m:t>32</m:t>
        </m:r>
        <m:r>
          <m:rPr>
            <m:sty m:val="p"/>
          </m:rPr>
          <m:t>×</m:t>
        </m:r>
      </m:oMath>
      <w:r>
        <w:t xml:space="preserve"> </w:t>
      </w:r>
      <w:r>
        <w:t xml:space="preserve">compression but with significant quality degradation (cosine similarity</w:t>
      </w:r>
      <w:r>
        <w:t xml:space="preserve"> </w:t>
      </w:r>
      <m:oMath>
        <m:r>
          <m:rPr>
            <m:sty m:val="p"/>
          </m:rPr>
          <m:t>≈</m:t>
        </m:r>
        <m:r>
          <m:t>0.76</m:t>
        </m:r>
      </m:oMath>
      <w:r>
        <w:t xml:space="preserve"> </w:t>
      </w:r>
      <w:r>
        <w:t xml:space="preserve">in our experiments).</w:t>
      </w:r>
    </w:p>
    <w:bookmarkEnd w:id="14"/>
    <w:bookmarkStart w:id="15" w:name="dimensionality-reduction"/>
    <w:p>
      <w:pPr>
        <w:pStyle w:val="Heading2"/>
      </w:pPr>
      <w:r>
        <w:t xml:space="preserve">Dimensionality Reduction</w:t>
      </w:r>
    </w:p>
    <w:p>
      <w:pPr>
        <w:pStyle w:val="FirstParagraph"/>
      </w:pPr>
      <w:r>
        <w:t xml:space="preserve">Classical dimensionality reduction via PCA has a long history.</w:t>
      </w:r>
      <w:r>
        <w:t xml:space="preserve"> </w:t>
      </w:r>
      <w:r>
        <w:t xml:space="preserve">The Eckart–Young theorem </w:t>
      </w:r>
      <w:r>
        <w:t xml:space="preserve"> </w:t>
      </w:r>
      <w:r>
        <w:t xml:space="preserve">establishes that the best rank-</w:t>
      </w:r>
      <m:oMath>
        <m:r>
          <m:t>k</m:t>
        </m:r>
      </m:oMath>
      <w:r>
        <w:t xml:space="preserve"> </w:t>
      </w:r>
      <w:r>
        <w:t xml:space="preserve">approximation to a matrix (in Frobenius or spectral norm) is given by its truncated singular value decomposition, which is equivalent to PCA projection when the data is centered.</w:t>
      </w:r>
      <w:r>
        <w:t xml:space="preserve"> </w:t>
      </w:r>
      <w:r>
        <w:t xml:space="preserve">Random projection methods </w:t>
      </w:r>
      <w:r>
        <w:t xml:space="preserve"> </w:t>
      </w:r>
      <w:r>
        <w:t xml:space="preserve">provide data-oblivious dimension reduction with probabilistic guarantees via the Johnson–Lindenstrauss lemma, but require higher target dimensions than PCA to achieve comparable quality.</w:t>
      </w:r>
    </w:p>
    <w:p>
      <w:pPr>
        <w:pStyle w:val="BodyText"/>
      </w:pPr>
      <w:r>
        <w:t xml:space="preserve">Randomized algorithms for large-scale PCA </w:t>
      </w:r>
      <w:r>
        <w:t xml:space="preserve"> </w:t>
      </w:r>
      <w:r>
        <w:t xml:space="preserve">make it practical to compute principal components even for matrices with billions of entries, and incremental PCA </w:t>
      </w:r>
      <w:r>
        <w:t xml:space="preserve"> </w:t>
      </w:r>
      <w:r>
        <w:t xml:space="preserve">enables streaming updates.</w:t>
      </w:r>
    </w:p>
    <w:p>
      <w:pPr>
        <w:pStyle w:val="BodyText"/>
      </w:pPr>
      <w:r>
        <w:t xml:space="preserve">The connection between PCA and embedding compression has been noted in passing in several works.</w:t>
      </w:r>
      <w:r>
        <w:t xml:space="preserve"> </w:t>
      </w:r>
      <w:r>
        <w:t xml:space="preserve">Concurrent work by Var</w:t>
      </w:r>
      <w:r>
        <w:t xml:space="preserve">ı</w:t>
      </w:r>
      <w:r>
        <w:t xml:space="preserve">c</w:t>
      </w:r>
      <w:r>
        <w:t xml:space="preserve">ı</w:t>
      </w:r>
      <w:r>
        <w:t xml:space="preserve"> </w:t>
      </w:r>
      <w:r>
        <w:t xml:space="preserve">et al. </w:t>
      </w:r>
      <w:r>
        <w:t xml:space="preserve"> </w:t>
      </w:r>
      <w:r>
        <w:t xml:space="preserve">provides a spectral-theoretic foundation: they prove that PCA (Rayleigh–Ritz optimization) recovers the same</w:t>
      </w:r>
      <w:r>
        <w:t xml:space="preserve"> </w:t>
      </w:r>
      <w:r>
        <w:rPr>
          <w:i/>
          <w:iCs/>
        </w:rPr>
        <w:t xml:space="preserve">ordered eigenfunctions</w:t>
      </w:r>
      <w:r>
        <w:t xml:space="preserve"> </w:t>
      </w:r>
      <w:r>
        <w:t xml:space="preserve">that Matryoshka training targets, with eigenvalues serving as principled importance scores for adaptive-dimensional representations.</w:t>
      </w:r>
      <w:r>
        <w:t xml:space="preserve"> </w:t>
      </w:r>
      <w:r>
        <w:t xml:space="preserve">Their framework establishes that contrastive and non-contrastive learning implicitly perform spectral decomposition of a contextual kernel, and that PCA extracts the ordered eigenfunctions within the recovered eigenspace—precisely the mechanism underlying our PCA-Matryoshka method.</w:t>
      </w:r>
      <w:r>
        <w:t xml:space="preserve"> </w:t>
      </w:r>
      <w:r>
        <w:t xml:space="preserve">To our knowledge, no prior work has (i) systematically demonstrated that PCA rotation converts arbitrary embeddings into Matryoshka-like representations, (ii) quantified the improvement over naı̈ve truncation, or (iii) evaluated PCA rotation composed with modern quantization methods on a large-scale benchmark.</w:t>
      </w:r>
    </w:p>
    <w:bookmarkEnd w:id="15"/>
    <w:bookmarkEnd w:id="16"/>
    <w:bookmarkStart w:id="22" w:name="sec:method"/>
    <w:p>
      <w:pPr>
        <w:pStyle w:val="Heading1"/>
      </w:pPr>
      <w:r>
        <w:t xml:space="preserve">Method</w:t>
      </w:r>
    </w:p>
    <w:bookmarkStart w:id="17" w:name="problem-formulation"/>
    <w:p>
      <w:pPr>
        <w:pStyle w:val="Heading2"/>
      </w:pPr>
      <w:r>
        <w:t xml:space="preserve">Problem Formulation</w:t>
      </w:r>
    </w:p>
    <w:p>
      <w:pPr>
        <w:pStyle w:val="FirstParagraph"/>
      </w:pPr>
      <w:r>
        <w:t xml:space="preserve">Let</w:t>
      </w:r>
      <w:r>
        <w:t xml:space="preserve"> </w:t>
      </w:r>
      <m:oMath>
        <m:r>
          <m:rPr>
            <m:sty m:val="b"/>
          </m:rPr>
          <m:t>X</m:t>
        </m:r>
        <m:r>
          <m:rPr>
            <m:sty m:val="p"/>
          </m:rPr>
          <m:t>=</m:t>
        </m:r>
        <m:r>
          <m:rPr>
            <m:sty m:val="p"/>
          </m:rPr>
          <m:t>{</m:t>
        </m:r>
        <m:sSub>
          <m:e>
            <m:r>
              <m:rPr>
                <m:sty m:val="b"/>
              </m:rPr>
              <m:t>x</m:t>
            </m:r>
          </m:e>
          <m:sub>
            <m:r>
              <m:t>1</m:t>
            </m:r>
          </m:sub>
        </m:sSub>
        <m:r>
          <m:rPr>
            <m:sty m:val="p"/>
          </m:rPr>
          <m:t>,</m:t>
        </m:r>
        <m:r>
          <m:rPr>
            <m:sty m:val="p"/>
          </m:rPr>
          <m:t>…</m:t>
        </m:r>
        <m:r>
          <m:rPr>
            <m:sty m:val="p"/>
          </m:rPr>
          <m:t>,</m:t>
        </m:r>
        <m:sSub>
          <m:e>
            <m:r>
              <m:rPr>
                <m:sty m:val="b"/>
              </m:rPr>
              <m:t>x</m:t>
            </m:r>
          </m:e>
          <m:sub>
            <m:r>
              <m:t>N</m:t>
            </m:r>
          </m:sub>
        </m:sSub>
        <m:r>
          <m:rPr>
            <m:sty m:val="p"/>
          </m:rPr>
          <m:t>}</m:t>
        </m:r>
        <m:r>
          <m:rPr>
            <m:sty m:val="p"/>
          </m:rPr>
          <m:t>⊂</m:t>
        </m:r>
        <m:sSup>
          <m:e>
            <m:r>
              <m:rPr>
                <m:scr m:val="double-struck"/>
                <m:sty m:val="p"/>
              </m:rPr>
              <m:t>R</m:t>
            </m:r>
          </m:e>
          <m:sup>
            <m:r>
              <m:t>d</m:t>
            </m:r>
          </m:sup>
        </m:sSup>
      </m:oMath>
      <w:r>
        <w:t xml:space="preserve"> </w:t>
      </w:r>
      <w:r>
        <w:t xml:space="preserve">be a corpus of</w:t>
      </w:r>
      <w:r>
        <w:t xml:space="preserve"> </w:t>
      </w:r>
      <m:oMath>
        <m:r>
          <m:t>N</m:t>
        </m:r>
      </m:oMath>
      <w:r>
        <w:t xml:space="preserve"> </w:t>
      </w:r>
      <w:r>
        <w:t xml:space="preserve">embedding vectors produced by a pre-trained model</w:t>
      </w:r>
      <w:r>
        <w:t xml:space="preserve"> </w:t>
      </w:r>
      <m:oMath>
        <m:r>
          <m:t>f</m:t>
        </m:r>
        <m:r>
          <m:rPr>
            <m:sty m:val="p"/>
          </m:rPr>
          <m:t>:</m:t>
        </m:r>
        <m:r>
          <m:rPr>
            <m:scr m:val="script"/>
            <m:sty m:val="p"/>
          </m:rPr>
          <m:t>X</m:t>
        </m:r>
        <m:r>
          <m:rPr>
            <m:sty m:val="p"/>
          </m:rPr>
          <m:t>→</m:t>
        </m:r>
        <m:sSup>
          <m:e>
            <m:r>
              <m:rPr>
                <m:scr m:val="double-struck"/>
                <m:sty m:val="p"/>
              </m:rPr>
              <m:t>R</m:t>
            </m:r>
          </m:e>
          <m:sup>
            <m:r>
              <m:t>d</m:t>
            </m:r>
          </m:sup>
        </m:sSup>
      </m:oMath>
      <w:r>
        <w:t xml:space="preserve">.</w:t>
      </w:r>
      <w:r>
        <w:t xml:space="preserve"> </w:t>
      </w:r>
      <w:r>
        <w:t xml:space="preserve">We seek a compressed representation</w:t>
      </w:r>
      <w:r>
        <w:t xml:space="preserve"> </w:t>
      </w:r>
      <m:oMath>
        <m:sSub>
          <m:e>
            <m:acc>
              <m:accPr>
                <m:chr m:val="̂"/>
              </m:accPr>
              <m:e>
                <m:r>
                  <m:rPr>
                    <m:sty m:val="b"/>
                  </m:rPr>
                  <m:t>x</m:t>
                </m:r>
              </m:e>
            </m:acc>
          </m:e>
          <m:sub>
            <m:r>
              <m:t>i</m:t>
            </m:r>
          </m:sub>
        </m:sSub>
        <m:r>
          <m:rPr>
            <m:sty m:val="p"/>
          </m:rPr>
          <m:t>∈</m:t>
        </m:r>
        <m:sSup>
          <m:e>
            <m:r>
              <m:rPr>
                <m:scr m:val="double-struck"/>
                <m:sty m:val="p"/>
              </m:rPr>
              <m:t>R</m:t>
            </m:r>
          </m:e>
          <m:sup>
            <m:r>
              <m:t>k</m:t>
            </m:r>
          </m:sup>
        </m:sSup>
      </m:oMath>
      <w:r>
        <w:t xml:space="preserve"> </w:t>
      </w:r>
      <w:r>
        <w:t xml:space="preserve">(with</w:t>
      </w:r>
      <w:r>
        <w:t xml:space="preserve"> </w:t>
      </w:r>
      <m:oMath>
        <m:r>
          <m:t>k</m:t>
        </m:r>
        <m:r>
          <m:rPr>
            <m:sty m:val="p"/>
          </m:rPr>
          <m:t>≪</m:t>
        </m:r>
        <m:r>
          <m:t>d</m:t>
        </m:r>
      </m:oMath>
      <w:r>
        <w:t xml:space="preserve">) and a reconstruction function</w:t>
      </w:r>
      <w:r>
        <w:t xml:space="preserve"> </w:t>
      </w:r>
      <m:oMath>
        <m:r>
          <m:t>g</m:t>
        </m:r>
        <m:r>
          <m:rPr>
            <m:sty m:val="p"/>
          </m:rPr>
          <m:t>:</m:t>
        </m:r>
        <m:sSup>
          <m:e>
            <m:r>
              <m:rPr>
                <m:scr m:val="double-struck"/>
                <m:sty m:val="p"/>
              </m:rPr>
              <m:t>R</m:t>
            </m:r>
          </m:e>
          <m:sup>
            <m:r>
              <m:t>k</m:t>
            </m:r>
          </m:sup>
        </m:sSup>
        <m:r>
          <m:rPr>
            <m:sty m:val="p"/>
          </m:rPr>
          <m:t>→</m:t>
        </m:r>
        <m:sSup>
          <m:e>
            <m:r>
              <m:rPr>
                <m:scr m:val="double-struck"/>
                <m:sty m:val="p"/>
              </m:rPr>
              <m:t>R</m:t>
            </m:r>
          </m:e>
          <m:sup>
            <m:r>
              <m:t>d</m:t>
            </m:r>
          </m:sup>
        </m:sSup>
      </m:oMath>
      <w:r>
        <w:t xml:space="preserve"> </w:t>
      </w:r>
      <w:r>
        <w:t xml:space="preserve">such that the cosine similarity ranking is preserved:</w:t>
      </w:r>
    </w:p>
    <w:p>
      <w:pPr>
        <w:pStyle w:val="BodyText"/>
      </w:pPr>
      <m:oMathPara>
        <m:oMathParaPr>
          <m:jc m:val="center"/>
        </m:oMathParaPr>
        <m:oMath>
          <m:r>
            <m:rPr>
              <m:sty m:val="p"/>
            </m:rPr>
            <m:t>cos</m:t>
          </m:r>
          <m:r>
            <m:rPr>
              <m:sty m:val="p"/>
            </m:rPr>
            <m:t>(</m:t>
          </m:r>
          <m:sSub>
            <m:e>
              <m:r>
                <m:rPr>
                  <m:sty m:val="b"/>
                </m:rPr>
                <m:t>x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,</m:t>
          </m:r>
          <m:sSub>
            <m:e>
              <m:r>
                <m:rPr>
                  <m:sty m:val="b"/>
                </m:rPr>
                <m:t>x</m:t>
              </m:r>
            </m:e>
            <m:sub>
              <m:r>
                <m:t>j</m:t>
              </m:r>
            </m:sub>
          </m:sSub>
          <m:r>
            <m:rPr>
              <m:sty m:val="p"/>
            </m:rPr>
            <m:t>)</m:t>
          </m:r>
          <m:r>
            <m:rPr>
              <m:sty m:val="p"/>
            </m:rPr>
            <m:t>≈</m:t>
          </m:r>
          <m:r>
            <m:rPr>
              <m:sty m:val="p"/>
            </m:rPr>
            <m:t>cos</m:t>
          </m:r>
          <m:d>
            <m:dPr>
              <m:begChr m:val="("/>
              <m:sepChr m:val=""/>
              <m:endChr m:val=")"/>
              <m:grow/>
            </m:dPr>
            <m:e>
              <m:r>
                <m:t>g</m:t>
              </m:r>
              <m:r>
                <m:rPr>
                  <m:sty m:val="p"/>
                </m:rPr>
                <m:t>(</m:t>
              </m:r>
              <m:sSub>
                <m:e>
                  <m:acc>
                    <m:accPr>
                      <m:chr m:val="̂"/>
                    </m:accPr>
                    <m:e>
                      <m:r>
                        <m:rPr>
                          <m:sty m:val="b"/>
                        </m:rPr>
                        <m:t>x</m:t>
                      </m:r>
                    </m:e>
                  </m:acc>
                </m:e>
                <m:sub>
                  <m:r>
                    <m:t>i</m:t>
                  </m:r>
                </m:sub>
              </m:sSub>
              <m:r>
                <m:rPr>
                  <m:sty m:val="p"/>
                </m:rPr>
                <m:t>)</m:t>
              </m:r>
              <m:r>
                <m:rPr>
                  <m:sty m:val="p"/>
                </m:rPr>
                <m:t>,</m:t>
              </m:r>
              <m:r>
                <m:t> </m:t>
              </m:r>
              <m:r>
                <m:t>g</m:t>
              </m:r>
              <m:r>
                <m:rPr>
                  <m:sty m:val="p"/>
                </m:rPr>
                <m:t>(</m:t>
              </m:r>
              <m:sSub>
                <m:e>
                  <m:acc>
                    <m:accPr>
                      <m:chr m:val="̂"/>
                    </m:accPr>
                    <m:e>
                      <m:r>
                        <m:rPr>
                          <m:sty m:val="b"/>
                        </m:rPr>
                        <m:t>x</m:t>
                      </m:r>
                    </m:e>
                  </m:acc>
                </m:e>
                <m:sub>
                  <m:r>
                    <m:t>j</m:t>
                  </m:r>
                </m:sub>
              </m:sSub>
              <m:r>
                <m:rPr>
                  <m:sty m:val="p"/>
                </m:rPr>
                <m:t>)</m:t>
              </m:r>
            </m:e>
          </m:d>
        </m:oMath>
      </m:oMathPara>
    </w:p>
    <w:p>
      <w:pPr>
        <w:pStyle w:val="FirstParagraph"/>
      </w:pPr>
      <w:r>
        <w:t xml:space="preserve">for all pairs</w:t>
      </w:r>
      <w:r>
        <w:t xml:space="preserve"> </w:t>
      </w:r>
      <m:oMath>
        <m:r>
          <m:rPr>
            <m:sty m:val="p"/>
          </m:rPr>
          <m:t>(</m:t>
        </m:r>
        <m:r>
          <m:t>i</m:t>
        </m:r>
        <m:r>
          <m:rPr>
            <m:sty m:val="p"/>
          </m:rPr>
          <m:t>,</m:t>
        </m:r>
        <m:r>
          <m:t>j</m:t>
        </m:r>
        <m:r>
          <m:rPr>
            <m:sty m:val="p"/>
          </m:rPr>
          <m:t>)</m:t>
        </m:r>
      </m:oMath>
      <w:r>
        <w:t xml:space="preserve">.</w:t>
      </w:r>
      <w:r>
        <w:t xml:space="preserve"> </w:t>
      </w:r>
      <w:r>
        <w:t xml:space="preserve">The compression ratio is</w:t>
      </w:r>
      <w:r>
        <w:t xml:space="preserve"> </w:t>
      </w:r>
      <m:oMath>
        <m:r>
          <m:t>ρ</m:t>
        </m:r>
        <m:r>
          <m:rPr>
            <m:sty m:val="p"/>
          </m:rPr>
          <m:t>=</m:t>
        </m:r>
        <m:r>
          <m:t>d</m:t>
        </m:r>
        <m:r>
          <m:rPr>
            <m:sty m:val="p"/>
          </m:rPr>
          <m:t>⋅</m:t>
        </m:r>
        <m:sSub>
          <m:e>
            <m:r>
              <m:t>b</m:t>
            </m:r>
          </m:e>
          <m:sub>
            <m:r>
              <m:rPr>
                <m:nor/>
                <m:sty m:val="p"/>
              </m:rPr>
              <m:t>orig</m:t>
            </m:r>
          </m:sub>
        </m:sSub>
        <m:r>
          <m:rPr>
            <m:sty m:val="p"/>
          </m:rPr>
          <m:t>/</m:t>
        </m:r>
        <m:r>
          <m:rPr>
            <m:sty m:val="p"/>
          </m:rPr>
          <m:t>(</m:t>
        </m:r>
        <m:r>
          <m:t>k</m:t>
        </m:r>
        <m:r>
          <m:rPr>
            <m:sty m:val="p"/>
          </m:rPr>
          <m:t>⋅</m:t>
        </m:r>
        <m:sSub>
          <m:e>
            <m:r>
              <m:t>b</m:t>
            </m:r>
          </m:e>
          <m:sub>
            <m:r>
              <m:rPr>
                <m:nor/>
                <m:sty m:val="p"/>
              </m:rPr>
              <m:t>comp</m:t>
            </m:r>
          </m:sub>
        </m:sSub>
        <m:r>
          <m:rPr>
            <m:sty m:val="p"/>
          </m:rPr>
          <m:t>)</m:t>
        </m:r>
      </m:oMath>
      <w:r>
        <w:t xml:space="preserve">, where</w:t>
      </w:r>
      <w:r>
        <w:t xml:space="preserve"> </w:t>
      </w:r>
      <m:oMath>
        <m:sSub>
          <m:e>
            <m:r>
              <m:t>b</m:t>
            </m:r>
          </m:e>
          <m:sub>
            <m:r>
              <m:rPr>
                <m:nor/>
                <m:sty m:val="p"/>
              </m:rPr>
              <m:t>orig</m:t>
            </m:r>
          </m:sub>
        </m:sSub>
      </m:oMath>
      <w:r>
        <w:t xml:space="preserve"> </w:t>
      </w:r>
      <w:r>
        <w:t xml:space="preserve">and</w:t>
      </w:r>
      <w:r>
        <w:t xml:space="preserve"> </w:t>
      </w:r>
      <m:oMath>
        <m:sSub>
          <m:e>
            <m:r>
              <m:t>b</m:t>
            </m:r>
          </m:e>
          <m:sub>
            <m:r>
              <m:rPr>
                <m:nor/>
                <m:sty m:val="p"/>
              </m:rPr>
              <m:t>comp</m:t>
            </m:r>
          </m:sub>
        </m:sSub>
      </m:oMath>
      <w:r>
        <w:t xml:space="preserve"> </w:t>
      </w:r>
      <w:r>
        <w:t xml:space="preserve">are the original and compressed bits per dimension.</w:t>
      </w:r>
    </w:p>
    <w:bookmarkEnd w:id="17"/>
    <w:bookmarkStart w:id="18" w:name="sec:why_fails"/>
    <w:p>
      <w:pPr>
        <w:pStyle w:val="Heading2"/>
      </w:pPr>
      <w:r>
        <w:t xml:space="preserve">Why Matryoshka Truncation Fails</w:t>
      </w:r>
    </w:p>
    <w:p>
      <w:pPr>
        <w:pStyle w:val="FirstParagraph"/>
      </w:pPr>
      <w:r>
        <w:t xml:space="preserve">For a model trained with MRL loss (Eq. </w:t>
      </w:r>
      <w:hyperlink w:anchor="eq:mrl">
        <w:r>
          <w:rPr>
            <w:rStyle w:val="Hyperlink"/>
          </w:rPr>
          <w:t xml:space="preserve">[eq:mrl]</w:t>
        </w:r>
      </w:hyperlink>
      <w:r>
        <w:t xml:space="preserve">), the eigenvalue spectrum of the embedding covariance matrix</w:t>
      </w:r>
      <w:r>
        <w:t xml:space="preserve"> </w:t>
      </w:r>
      <m:oMath>
        <m:r>
          <m:rPr>
            <m:sty m:val="b"/>
          </m:rPr>
          <m:t>Σ</m:t>
        </m:r>
        <m:r>
          <m:rPr>
            <m:sty m:val="p"/>
          </m:rPr>
          <m:t>=</m:t>
        </m:r>
        <m:f>
          <m:fPr>
            <m:type m:val="bar"/>
          </m:fPr>
          <m:num>
            <m:r>
              <m:t>1</m:t>
            </m:r>
          </m:num>
          <m:den>
            <m:r>
              <m:t>N</m:t>
            </m:r>
          </m:den>
        </m:f>
        <m:nary>
          <m:naryPr>
            <m:chr m:val="∑"/>
            <m:limLoc m:val="undOvr"/>
            <m:subHide m:val="off"/>
            <m:supHide m:val="on"/>
          </m:naryPr>
          <m:sub>
            <m:r>
              <m:t>i</m:t>
            </m:r>
          </m:sub>
          <m:sup>
            <m:r>
              <m:t>​</m:t>
            </m:r>
          </m:sup>
          <m:e>
            <m:sSub>
              <m:e>
                <m:r>
                  <m:rPr>
                    <m:sty m:val="b"/>
                  </m:rPr>
                  <m:t>x</m:t>
                </m:r>
              </m:e>
              <m:sub>
                <m:r>
                  <m:t>i</m:t>
                </m:r>
              </m:sub>
            </m:sSub>
          </m:e>
        </m:nary>
        <m:sSubSup>
          <m:e>
            <m:r>
              <m:rPr>
                <m:sty m:val="b"/>
              </m:rPr>
              <m:t>x</m:t>
            </m:r>
          </m:e>
          <m:sub>
            <m:r>
              <m:t>i</m:t>
            </m:r>
          </m:sub>
          <m:sup>
            <m:r>
              <m:rPr>
                <m:sty m:val="p"/>
              </m:rPr>
              <m:t>⊤</m:t>
            </m:r>
          </m:sup>
        </m:sSubSup>
      </m:oMath>
      <w:r>
        <w:t xml:space="preserve"> </w:t>
      </w:r>
      <w:r>
        <w:t xml:space="preserve">is sharply decaying: the first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eigenvectors capture a disproportionate share of the variance.</w:t>
      </w:r>
      <w:r>
        <w:t xml:space="preserve"> </w:t>
      </w:r>
      <w:r>
        <w:t xml:space="preserve">Moreover, MRL training aligns the leading eigenvectors with the standard basis vectors</w:t>
      </w:r>
      <w:r>
        <w:t xml:space="preserve"> </w:t>
      </w:r>
      <m:oMath>
        <m:sSub>
          <m:e>
            <m:r>
              <m:rPr>
                <m:sty m:val="b"/>
              </m:rPr>
              <m:t>e</m:t>
            </m:r>
          </m:e>
          <m:sub>
            <m:r>
              <m:t>1</m:t>
            </m:r>
          </m:sub>
        </m:sSub>
        <m:r>
          <m:rPr>
            <m:sty m:val="p"/>
          </m:rPr>
          <m:t>,</m:t>
        </m:r>
        <m:r>
          <m:rPr>
            <m:sty m:val="p"/>
          </m:rPr>
          <m:t>…</m:t>
        </m:r>
        <m:r>
          <m:rPr>
            <m:sty m:val="p"/>
          </m:rPr>
          <m:t>,</m:t>
        </m:r>
        <m:sSub>
          <m:e>
            <m:r>
              <m:rPr>
                <m:sty m:val="b"/>
              </m:rPr>
              <m:t>e</m:t>
            </m:r>
          </m:e>
          <m:sub>
            <m:r>
              <m:t>k</m:t>
            </m:r>
          </m:sub>
        </m:sSub>
      </m:oMath>
      <w:r>
        <w:t xml:space="preserve">, so that truncation in the standard basis is equivalent to projection onto the leading principal subspace.</w:t>
      </w:r>
    </w:p>
    <w:p>
      <w:pPr>
        <w:pStyle w:val="BodyText"/>
      </w:pPr>
      <w:r>
        <w:t xml:space="preserve">For models</w:t>
      </w:r>
      <w:r>
        <w:t xml:space="preserve"> </w:t>
      </w:r>
      <w:r>
        <w:rPr>
          <w:i/>
          <w:iCs/>
        </w:rPr>
        <w:t xml:space="preserve">not</w:t>
      </w:r>
      <w:r>
        <w:t xml:space="preserve"> </w:t>
      </w:r>
      <w:r>
        <w:t xml:space="preserve">trained with MRL, the eigenvalue spectrum may still decay (embedding models learn correlated features), but the eigenvectors of</w:t>
      </w:r>
      <w:r>
        <w:t xml:space="preserve"> </w:t>
      </w:r>
      <m:oMath>
        <m:r>
          <m:rPr>
            <m:sty m:val="b"/>
          </m:rPr>
          <m:t>Σ</m:t>
        </m:r>
      </m:oMath>
      <w:r>
        <w:t xml:space="preserve"> </w:t>
      </w:r>
      <w:r>
        <w:t xml:space="preserve">are</w:t>
      </w:r>
      <w:r>
        <w:t xml:space="preserve"> </w:t>
      </w:r>
      <w:r>
        <w:rPr>
          <w:i/>
          <w:iCs/>
        </w:rPr>
        <w:t xml:space="preserve">not</w:t>
      </w:r>
      <w:r>
        <w:t xml:space="preserve"> </w:t>
      </w:r>
      <w:r>
        <w:t xml:space="preserve">aligned with the standard basis.</w:t>
      </w:r>
      <w:r>
        <w:t xml:space="preserve"> </w:t>
      </w:r>
      <w:r>
        <w:t xml:space="preserve">The variance explained by the first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standard basis dimensions is: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V</m:t>
              </m:r>
            </m:e>
            <m:sub>
              <m:r>
                <m:rPr>
                  <m:nor/>
                  <m:sty m:val="p"/>
                </m:rPr>
                <m:t>trunc</m:t>
              </m:r>
            </m:sub>
          </m:sSub>
          <m:r>
            <m:rPr>
              <m:sty m:val="p"/>
            </m:rPr>
            <m:t>(</m:t>
          </m:r>
          <m:r>
            <m:t>k</m:t>
          </m:r>
          <m:r>
            <m:rPr>
              <m:sty m:val="p"/>
            </m:rPr>
            <m:t>)</m:t>
          </m:r>
          <m:r>
            <m:rPr>
              <m:sty m:val="p"/>
            </m:rPr>
            <m:t>=</m:t>
          </m:r>
          <m:f>
            <m:fPr>
              <m:type m:val="bar"/>
            </m:fPr>
            <m:num>
              <m:nary>
                <m:naryPr>
                  <m:chr m:val="∑"/>
                  <m:limLoc m:val="undOvr"/>
                  <m:subHide m:val="off"/>
                  <m:supHide m:val="off"/>
                </m:naryPr>
                <m:sub>
                  <m:r>
                    <m:t>j</m:t>
                  </m:r>
                  <m:r>
                    <m:rPr>
                      <m:sty m:val="p"/>
                    </m:rPr>
                    <m:t>=</m:t>
                  </m:r>
                  <m:r>
                    <m:t>1</m:t>
                  </m:r>
                </m:sub>
                <m:sup>
                  <m:r>
                    <m:t>k</m:t>
                  </m:r>
                </m:sup>
                <m:e>
                  <m:sSub>
                    <m:e>
                      <m:r>
                        <m:rPr>
                          <m:sty m:val="p"/>
                        </m:rPr>
                        <m:t>Σ</m:t>
                      </m:r>
                    </m:e>
                    <m:sub>
                      <m:r>
                        <m:t>j</m:t>
                      </m:r>
                      <m:r>
                        <m:t>j</m:t>
                      </m:r>
                    </m:sub>
                  </m:sSub>
                </m:e>
              </m:nary>
            </m:num>
            <m:den>
              <m:r>
                <m:rPr>
                  <m:sty m:val="p"/>
                </m:rPr>
                <m:t>tr</m:t>
              </m:r>
              <m:r>
                <m:rPr>
                  <m:sty m:val="p"/>
                </m:rPr>
                <m:t>(</m:t>
              </m:r>
              <m:r>
                <m:rPr>
                  <m:sty m:val="b"/>
                </m:rPr>
                <m:t>Σ</m:t>
              </m:r>
              <m:r>
                <m:rPr>
                  <m:sty m:val="p"/>
                </m:rPr>
                <m:t>)</m:t>
              </m:r>
            </m:den>
          </m:f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while the variance explained by the first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principal components is:</w:t>
      </w:r>
    </w:p>
    <w:p>
      <w:pPr>
        <w:pStyle w:val="BodyText"/>
      </w:pPr>
      <m:oMathPara>
        <m:oMathParaPr>
          <m:jc m:val="center"/>
        </m:oMathParaPr>
        <m:oMath>
          <m:sSub>
            <m:e>
              <m:r>
                <m:t>V</m:t>
              </m:r>
            </m:e>
            <m:sub>
              <m:r>
                <m:rPr>
                  <m:nor/>
                  <m:sty m:val="p"/>
                </m:rPr>
                <m:t>PCA</m:t>
              </m:r>
            </m:sub>
          </m:sSub>
          <m:r>
            <m:rPr>
              <m:sty m:val="p"/>
            </m:rPr>
            <m:t>(</m:t>
          </m:r>
          <m:r>
            <m:t>k</m:t>
          </m:r>
          <m:r>
            <m:rPr>
              <m:sty m:val="p"/>
            </m:rPr>
            <m:t>)</m:t>
          </m:r>
          <m:r>
            <m:rPr>
              <m:sty m:val="p"/>
            </m:rPr>
            <m:t>=</m:t>
          </m:r>
          <m:f>
            <m:fPr>
              <m:type m:val="bar"/>
            </m:fPr>
            <m:num>
              <m:nary>
                <m:naryPr>
                  <m:chr m:val="∑"/>
                  <m:limLoc m:val="undOvr"/>
                  <m:subHide m:val="off"/>
                  <m:supHide m:val="off"/>
                </m:naryPr>
                <m:sub>
                  <m:r>
                    <m:t>j</m:t>
                  </m:r>
                  <m:r>
                    <m:rPr>
                      <m:sty m:val="p"/>
                    </m:rPr>
                    <m:t>=</m:t>
                  </m:r>
                  <m:r>
                    <m:t>1</m:t>
                  </m:r>
                </m:sub>
                <m:sup>
                  <m:r>
                    <m:t>k</m:t>
                  </m:r>
                </m:sup>
                <m:e>
                  <m:sSub>
                    <m:e>
                      <m:r>
                        <m:t>λ</m:t>
                      </m:r>
                    </m:e>
                    <m:sub>
                      <m:r>
                        <m:t>j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ff"/>
                  <m:supHide m:val="off"/>
                </m:naryPr>
                <m:sub>
                  <m:r>
                    <m:t>j</m:t>
                  </m:r>
                  <m:r>
                    <m:rPr>
                      <m:sty m:val="p"/>
                    </m:rPr>
                    <m:t>=</m:t>
                  </m:r>
                  <m:r>
                    <m:t>1</m:t>
                  </m:r>
                </m:sub>
                <m:sup>
                  <m:r>
                    <m:t>d</m:t>
                  </m:r>
                </m:sup>
                <m:e>
                  <m:sSub>
                    <m:e>
                      <m:r>
                        <m:t>λ</m:t>
                      </m:r>
                    </m:e>
                    <m:sub>
                      <m:r>
                        <m:t>j</m:t>
                      </m:r>
                    </m:sub>
                  </m:sSub>
                </m:e>
              </m:nary>
            </m:den>
          </m:f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where</w:t>
      </w:r>
      <w:r>
        <w:t xml:space="preserve"> </w:t>
      </w:r>
      <m:oMath>
        <m:sSub>
          <m:e>
            <m:r>
              <m:t>λ</m:t>
            </m:r>
          </m:e>
          <m:sub>
            <m:r>
              <m:t>1</m:t>
            </m:r>
          </m:sub>
        </m:sSub>
        <m:r>
          <m:rPr>
            <m:sty m:val="p"/>
          </m:rPr>
          <m:t>≥</m:t>
        </m:r>
        <m:sSub>
          <m:e>
            <m:r>
              <m:t>λ</m:t>
            </m:r>
          </m:e>
          <m:sub>
            <m:r>
              <m:t>2</m:t>
            </m:r>
          </m:sub>
        </m:sSub>
        <m:r>
          <m:rPr>
            <m:sty m:val="p"/>
          </m:rPr>
          <m:t>≥</m:t>
        </m:r>
        <m:r>
          <m:rPr>
            <m:sty m:val="p"/>
          </m:rPr>
          <m:t>⋯</m:t>
        </m:r>
        <m:r>
          <m:rPr>
            <m:sty m:val="p"/>
          </m:rPr>
          <m:t>≥</m:t>
        </m:r>
        <m:sSub>
          <m:e>
            <m:r>
              <m:t>λ</m:t>
            </m:r>
          </m:e>
          <m:sub>
            <m:r>
              <m:t>d</m:t>
            </m:r>
          </m:sub>
        </m:sSub>
      </m:oMath>
      <w:r>
        <w:t xml:space="preserve"> </w:t>
      </w:r>
      <w:r>
        <w:t xml:space="preserve">are the eigenvalues of</w:t>
      </w:r>
      <w:r>
        <w:t xml:space="preserve"> </w:t>
      </w:r>
      <m:oMath>
        <m:r>
          <m:rPr>
            <m:sty m:val="b"/>
          </m:rPr>
          <m:t>Σ</m:t>
        </m:r>
      </m:oMath>
      <w:r>
        <w:t xml:space="preserve">.</w:t>
      </w:r>
      <w:r>
        <w:t xml:space="preserve"> </w:t>
      </w:r>
      <w:r>
        <w:t xml:space="preserve">For non-Matryoshka models,</w:t>
      </w:r>
      <w:r>
        <w:t xml:space="preserve"> </w:t>
      </w:r>
      <m:oMath>
        <m:sSub>
          <m:e>
            <m:r>
              <m:t>V</m:t>
            </m:r>
          </m:e>
          <m:sub>
            <m:r>
              <m:rPr>
                <m:nor/>
                <m:sty m:val="p"/>
              </m:rPr>
              <m:t>trunc</m:t>
            </m:r>
          </m:sub>
        </m:sSub>
        <m:r>
          <m:rPr>
            <m:sty m:val="p"/>
          </m:rPr>
          <m:t>(</m:t>
        </m:r>
        <m:r>
          <m:t>k</m:t>
        </m:r>
        <m:r>
          <m:rPr>
            <m:sty m:val="p"/>
          </m:rPr>
          <m:t>)</m:t>
        </m:r>
        <m:r>
          <m:rPr>
            <m:sty m:val="p"/>
          </m:rPr>
          <m:t>≈</m:t>
        </m:r>
        <m:r>
          <m:t>k</m:t>
        </m:r>
        <m:r>
          <m:rPr>
            <m:sty m:val="p"/>
          </m:rPr>
          <m:t>/</m:t>
        </m:r>
        <m:r>
          <m:t>d</m:t>
        </m:r>
      </m:oMath>
      <w:r>
        <w:t xml:space="preserve"> </w:t>
      </w:r>
      <w:r>
        <w:t xml:space="preserve">(approximately uniform), while</w:t>
      </w:r>
      <w:r>
        <w:t xml:space="preserve"> </w:t>
      </w:r>
      <m:oMath>
        <m:sSub>
          <m:e>
            <m:r>
              <m:t>V</m:t>
            </m:r>
          </m:e>
          <m:sub>
            <m:r>
              <m:rPr>
                <m:nor/>
                <m:sty m:val="p"/>
              </m:rPr>
              <m:t>PCA</m:t>
            </m:r>
          </m:sub>
        </m:sSub>
        <m:r>
          <m:rPr>
            <m:sty m:val="p"/>
          </m:rPr>
          <m:t>(</m:t>
        </m:r>
        <m:r>
          <m:t>k</m:t>
        </m:r>
        <m:r>
          <m:rPr>
            <m:sty m:val="p"/>
          </m:rPr>
          <m:t>)</m:t>
        </m:r>
        <m:r>
          <m:rPr>
            <m:sty m:val="p"/>
          </m:rPr>
          <m:t>≫</m:t>
        </m:r>
        <m:r>
          <m:t>k</m:t>
        </m:r>
        <m:r>
          <m:rPr>
            <m:sty m:val="p"/>
          </m:rPr>
          <m:t>/</m:t>
        </m:r>
        <m:r>
          <m:t>d</m:t>
        </m:r>
      </m:oMath>
      <w:r>
        <w:t xml:space="preserve"> </w:t>
      </w:r>
      <w:r>
        <w:t xml:space="preserve">due to the intrinsic low-rank structure of learned embeddings.</w:t>
      </w:r>
    </w:p>
    <w:p>
      <w:pPr>
        <w:pStyle w:val="BodyText"/>
      </w:pPr>
      <w:r>
        <w:t xml:space="preserve">Fig. </w:t>
      </w:r>
      <w:hyperlink w:anchor="fig:eigenspectrum">
        <w:r>
          <w:rPr>
            <w:rStyle w:val="Hyperlink"/>
          </w:rPr>
          <w:t xml:space="preserve">1</w:t>
        </w:r>
      </w:hyperlink>
      <w:r>
        <w:t xml:space="preserve"> </w:t>
      </w:r>
      <w:r>
        <w:t xml:space="preserve">illustrates this for BGE-M3: while truncation to 256 dimensions captures only</w:t>
      </w:r>
      <w:r>
        <w:t xml:space="preserve"> </w:t>
      </w:r>
      <m:oMath>
        <m:r>
          <m:rPr>
            <m:sty m:val="p"/>
          </m:rPr>
          <m:t>∼</m:t>
        </m:r>
      </m:oMath>
      <w:r>
        <w:t xml:space="preserve">25% of the variance (since the diagonal elements of</w:t>
      </w:r>
      <w:r>
        <w:t xml:space="preserve"> </w:t>
      </w:r>
      <m:oMath>
        <m:r>
          <m:rPr>
            <m:sty m:val="b"/>
          </m:rPr>
          <m:t>Σ</m:t>
        </m:r>
      </m:oMath>
      <w:r>
        <w:t xml:space="preserve"> </w:t>
      </w:r>
      <w:r>
        <w:t xml:space="preserve">are approximately uniform), the first 256 principal components capture 89.7% of the variance.</w:t>
      </w:r>
    </w:p>
    <w:bookmarkEnd w:id="18"/>
    <w:bookmarkStart w:id="19" w:name="pca-matryoshka"/>
    <w:p>
      <w:pPr>
        <w:pStyle w:val="Heading2"/>
      </w:pPr>
      <w:r>
        <w:t xml:space="preserve">PCA-Matryoshka</w:t>
      </w:r>
    </w:p>
    <w:p>
      <w:pPr>
        <w:pStyle w:val="FirstParagraph"/>
      </w:pPr>
      <w:r>
        <w:t xml:space="preserve">The PCA-Matryoshka method is straightforward: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Fit.</w:t>
      </w:r>
      <w:r>
        <w:t xml:space="preserve"> </w:t>
      </w:r>
      <w:r>
        <w:t xml:space="preserve">Compute the mean</w:t>
      </w:r>
      <w:r>
        <w:t xml:space="preserve"> </w:t>
      </w:r>
      <m:oMath>
        <m:r>
          <m:rPr>
            <m:sty m:val="b"/>
          </m:rPr>
          <m:t>μ</m:t>
        </m:r>
        <m:r>
          <m:rPr>
            <m:sty m:val="p"/>
          </m:rPr>
          <m:t>=</m:t>
        </m:r>
        <m:f>
          <m:fPr>
            <m:type m:val="bar"/>
          </m:fPr>
          <m:num>
            <m:r>
              <m:t>1</m:t>
            </m:r>
          </m:num>
          <m:den>
            <m:r>
              <m:t>N</m:t>
            </m:r>
          </m:den>
        </m:f>
        <m:nary>
          <m:naryPr>
            <m:chr m:val="∑"/>
            <m:limLoc m:val="undOvr"/>
            <m:subHide m:val="off"/>
            <m:supHide m:val="on"/>
          </m:naryPr>
          <m:sub>
            <m:r>
              <m:t>i</m:t>
            </m:r>
          </m:sub>
          <m:sup>
            <m:r>
              <m:t>​</m:t>
            </m:r>
          </m:sup>
          <m:e>
            <m:sSub>
              <m:e>
                <m:r>
                  <m:rPr>
                    <m:sty m:val="b"/>
                  </m:rPr>
                  <m:t>x</m:t>
                </m:r>
              </m:e>
              <m:sub>
                <m:r>
                  <m:t>i</m:t>
                </m:r>
              </m:sub>
            </m:sSub>
          </m:e>
        </m:nary>
      </m:oMath>
      <w:r>
        <w:t xml:space="preserve"> </w:t>
      </w:r>
      <w:r>
        <w:t xml:space="preserve">and the eigendecomposition of the covariance matrix</w:t>
      </w:r>
      <w:r>
        <w:t xml:space="preserve"> </w:t>
      </w:r>
      <m:oMath>
        <m:r>
          <m:rPr>
            <m:sty m:val="b"/>
          </m:rPr>
          <m:t>Σ</m:t>
        </m:r>
        <m:r>
          <m:rPr>
            <m:sty m:val="p"/>
          </m:rPr>
          <m:t>=</m:t>
        </m:r>
        <m:r>
          <m:rPr>
            <m:sty m:val="b"/>
          </m:rPr>
          <m:t>U</m:t>
        </m:r>
        <m:r>
          <m:rPr>
            <m:sty m:val="b"/>
          </m:rPr>
          <m:t>Λ</m:t>
        </m:r>
        <m:sSup>
          <m:e>
            <m:r>
              <m:rPr>
                <m:sty m:val="b"/>
              </m:rPr>
              <m:t>U</m:t>
            </m:r>
          </m:e>
          <m:sup>
            <m:r>
              <m:rPr>
                <m:sty m:val="p"/>
              </m:rPr>
              <m:t>⊤</m:t>
            </m:r>
          </m:sup>
        </m:sSup>
      </m:oMath>
      <w:r>
        <w:t xml:space="preserve">, where</w:t>
      </w:r>
      <w:r>
        <w:t xml:space="preserve"> </w:t>
      </w:r>
      <m:oMath>
        <m:r>
          <m:rPr>
            <m:sty m:val="b"/>
          </m:rPr>
          <m:t>U</m:t>
        </m:r>
        <m:r>
          <m:rPr>
            <m:sty m:val="p"/>
          </m:rPr>
          <m:t>=</m:t>
        </m:r>
        <m:r>
          <m:rPr>
            <m:sty m:val="p"/>
          </m:rPr>
          <m:t>[</m:t>
        </m:r>
        <m:sSub>
          <m:e>
            <m:r>
              <m:rPr>
                <m:sty m:val="b"/>
              </m:rPr>
              <m:t>u</m:t>
            </m:r>
          </m:e>
          <m:sub>
            <m:r>
              <m:t>1</m:t>
            </m:r>
          </m:sub>
        </m:sSub>
        <m:r>
          <m:rPr>
            <m:sty m:val="p"/>
          </m:rPr>
          <m:t>∣</m:t>
        </m:r>
        <m:r>
          <m:rPr>
            <m:sty m:val="p"/>
          </m:rPr>
          <m:t>⋯</m:t>
        </m:r>
        <m:r>
          <m:rPr>
            <m:sty m:val="p"/>
          </m:rPr>
          <m:t>∣</m:t>
        </m:r>
        <m:sSub>
          <m:e>
            <m:r>
              <m:rPr>
                <m:sty m:val="b"/>
              </m:rPr>
              <m:t>u</m:t>
            </m:r>
          </m:e>
          <m:sub>
            <m:r>
              <m:t>d</m:t>
            </m:r>
          </m:sub>
        </m:sSub>
        <m:r>
          <m:rPr>
            <m:sty m:val="p"/>
          </m:rPr>
          <m:t>]</m:t>
        </m:r>
      </m:oMath>
      <w:r>
        <w:t xml:space="preserve"> </w:t>
      </w:r>
      <w:r>
        <w:t xml:space="preserve">is orthogonal and</w:t>
      </w:r>
      <w:r>
        <w:t xml:space="preserve"> </w:t>
      </w:r>
      <m:oMath>
        <m:r>
          <m:rPr>
            <m:sty m:val="b"/>
          </m:rPr>
          <m:t>Λ</m:t>
        </m:r>
        <m:r>
          <m:rPr>
            <m:sty m:val="p"/>
          </m:rPr>
          <m:t>=</m:t>
        </m:r>
        <m:r>
          <m:rPr>
            <m:sty m:val="p"/>
          </m:rPr>
          <m:t>diag</m:t>
        </m:r>
        <m:r>
          <m:rPr>
            <m:sty m:val="p"/>
          </m:rPr>
          <m:t>(</m:t>
        </m:r>
        <m:sSub>
          <m:e>
            <m:r>
              <m:t>λ</m:t>
            </m:r>
          </m:e>
          <m:sub>
            <m:r>
              <m:t>1</m:t>
            </m:r>
          </m:sub>
        </m:sSub>
        <m:r>
          <m:rPr>
            <m:sty m:val="p"/>
          </m:rPr>
          <m:t>,</m:t>
        </m:r>
        <m:r>
          <m:rPr>
            <m:sty m:val="p"/>
          </m:rPr>
          <m:t>…</m:t>
        </m:r>
        <m:r>
          <m:rPr>
            <m:sty m:val="p"/>
          </m:rPr>
          <m:t>,</m:t>
        </m:r>
        <m:sSub>
          <m:e>
            <m:r>
              <m:t>λ</m:t>
            </m:r>
          </m:e>
          <m:sub>
            <m:r>
              <m:t>d</m:t>
            </m:r>
          </m:sub>
        </m:sSub>
        <m:r>
          <m:rPr>
            <m:sty m:val="p"/>
          </m:rPr>
          <m:t>)</m:t>
        </m:r>
      </m:oMath>
      <w:r>
        <w:t xml:space="preserve">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Rotate.</w:t>
      </w:r>
      <w:r>
        <w:t xml:space="preserve"> </w:t>
      </w:r>
      <w:r>
        <w:t xml:space="preserve">For each vector</w:t>
      </w:r>
      <w:r>
        <w:t xml:space="preserve"> </w:t>
      </w:r>
      <m:oMath>
        <m:sSub>
          <m:e>
            <m:r>
              <m:rPr>
                <m:sty m:val="b"/>
              </m:rPr>
              <m:t>x</m:t>
            </m:r>
          </m:e>
          <m:sub>
            <m:r>
              <m:t>i</m:t>
            </m:r>
          </m:sub>
        </m:sSub>
      </m:oMath>
      <w:r>
        <w:t xml:space="preserve">, compute</w:t>
      </w:r>
      <w:r>
        <w:t xml:space="preserve"> </w:t>
      </w:r>
      <m:oMath>
        <m:sSub>
          <m:e>
            <m:r>
              <m:rPr>
                <m:sty m:val="b"/>
              </m:rPr>
              <m:t>z</m:t>
            </m:r>
          </m:e>
          <m:sub>
            <m:r>
              <m:t>i</m:t>
            </m:r>
          </m:sub>
        </m:sSub>
        <m:r>
          <m:rPr>
            <m:sty m:val="p"/>
          </m:rPr>
          <m:t>=</m:t>
        </m:r>
        <m:sSubSup>
          <m:e>
            <m:r>
              <m:rPr>
                <m:sty m:val="b"/>
              </m:rPr>
              <m:t>U</m:t>
            </m:r>
          </m:e>
          <m:sub>
            <m:r>
              <m:t>k</m:t>
            </m:r>
          </m:sub>
          <m:sup>
            <m:r>
              <m:rPr>
                <m:sty m:val="p"/>
              </m:rPr>
              <m:t>⊤</m:t>
            </m:r>
          </m:sup>
        </m:sSubSup>
        <m:r>
          <m:rPr>
            <m:sty m:val="p"/>
          </m:rPr>
          <m:t>(</m:t>
        </m:r>
        <m:sSub>
          <m:e>
            <m:r>
              <m:rPr>
                <m:sty m:val="b"/>
              </m:rPr>
              <m:t>x</m:t>
            </m:r>
          </m:e>
          <m:sub>
            <m:r>
              <m:t>i</m:t>
            </m:r>
          </m:sub>
        </m:sSub>
        <m:r>
          <m:rPr>
            <m:sty m:val="p"/>
          </m:rPr>
          <m:t>−</m:t>
        </m:r>
        <m:r>
          <m:rPr>
            <m:sty m:val="b"/>
          </m:rPr>
          <m:t>μ</m:t>
        </m:r>
        <m:r>
          <m:rPr>
            <m:sty m:val="p"/>
          </m:rPr>
          <m:t>)</m:t>
        </m:r>
        <m:r>
          <m:rPr>
            <m:sty m:val="p"/>
          </m:rPr>
          <m:t>∈</m:t>
        </m:r>
        <m:sSup>
          <m:e>
            <m:r>
              <m:rPr>
                <m:scr m:val="double-struck"/>
                <m:sty m:val="p"/>
              </m:rPr>
              <m:t>R</m:t>
            </m:r>
          </m:e>
          <m:sup>
            <m:r>
              <m:t>k</m:t>
            </m:r>
          </m:sup>
        </m:sSup>
      </m:oMath>
      <w:r>
        <w:t xml:space="preserve">, where</w:t>
      </w:r>
      <w:r>
        <w:t xml:space="preserve"> </w:t>
      </w:r>
      <m:oMath>
        <m:sSub>
          <m:e>
            <m:r>
              <m:rPr>
                <m:sty m:val="b"/>
              </m:rPr>
              <m:t>U</m:t>
            </m:r>
          </m:e>
          <m:sub>
            <m:r>
              <m:t>k</m:t>
            </m:r>
          </m:sub>
        </m:sSub>
        <m:r>
          <m:rPr>
            <m:sty m:val="p"/>
          </m:rPr>
          <m:t>=</m:t>
        </m:r>
        <m:r>
          <m:rPr>
            <m:sty m:val="p"/>
          </m:rPr>
          <m:t>[</m:t>
        </m:r>
        <m:sSub>
          <m:e>
            <m:r>
              <m:rPr>
                <m:sty m:val="b"/>
              </m:rPr>
              <m:t>u</m:t>
            </m:r>
          </m:e>
          <m:sub>
            <m:r>
              <m:t>1</m:t>
            </m:r>
          </m:sub>
        </m:sSub>
        <m:r>
          <m:rPr>
            <m:sty m:val="p"/>
          </m:rPr>
          <m:t>∣</m:t>
        </m:r>
        <m:r>
          <m:rPr>
            <m:sty m:val="p"/>
          </m:rPr>
          <m:t>⋯</m:t>
        </m:r>
        <m:r>
          <m:rPr>
            <m:sty m:val="p"/>
          </m:rPr>
          <m:t>∣</m:t>
        </m:r>
        <m:sSub>
          <m:e>
            <m:r>
              <m:rPr>
                <m:sty m:val="b"/>
              </m:rPr>
              <m:t>u</m:t>
            </m:r>
          </m:e>
          <m:sub>
            <m:r>
              <m:t>k</m:t>
            </m:r>
          </m:sub>
        </m:sSub>
        <m:r>
          <m:rPr>
            <m:sty m:val="p"/>
          </m:rPr>
          <m:t>]</m:t>
        </m:r>
      </m:oMath>
      <w:r>
        <w:t xml:space="preserve">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(Optional) Quantize.</w:t>
      </w:r>
      <w:r>
        <w:t xml:space="preserve"> </w:t>
      </w:r>
      <w:r>
        <w:t xml:space="preserve">Apply scalar or TurboQuant quantization to</w:t>
      </w:r>
      <w:r>
        <w:t xml:space="preserve"> </w:t>
      </w:r>
      <m:oMath>
        <m:sSub>
          <m:e>
            <m:r>
              <m:rPr>
                <m:sty m:val="b"/>
              </m:rPr>
              <m:t>z</m:t>
            </m:r>
          </m:e>
          <m:sub>
            <m:r>
              <m:t>i</m:t>
            </m:r>
          </m:sub>
        </m:sSub>
      </m:oMath>
      <w:r>
        <w:t xml:space="preserve">.</w:t>
      </w:r>
    </w:p>
    <w:p>
      <w:pPr>
        <w:pStyle w:val="FirstParagraph"/>
      </w:pPr>
      <w:r>
        <w:t xml:space="preserve">The key insight is that the PCA rotation matrix</w:t>
      </w:r>
      <w:r>
        <w:t xml:space="preserve"> </w:t>
      </w:r>
      <m:oMath>
        <m:r>
          <m:rPr>
            <m:sty m:val="b"/>
          </m:rPr>
          <m:t>U</m:t>
        </m:r>
      </m:oMath>
      <w:r>
        <w:t xml:space="preserve"> </w:t>
      </w:r>
      <w:r>
        <w:t xml:space="preserve">is the</w:t>
      </w:r>
      <w:r>
        <w:t xml:space="preserve"> </w:t>
      </w:r>
      <w:r>
        <w:rPr>
          <w:i/>
          <w:iCs/>
        </w:rPr>
        <w:t xml:space="preserve">optimal</w:t>
      </w:r>
      <w:r>
        <w:t xml:space="preserve"> </w:t>
      </w:r>
      <w:r>
        <w:t xml:space="preserve">rotation for truncation.</w:t>
      </w:r>
      <w:r>
        <w:t xml:space="preserve"> </w:t>
      </w:r>
      <w:r>
        <w:t xml:space="preserve">This follows directly from the Eckart–Young–Mirsky theorem, and is further justified by the spectral analysis of Var</w:t>
      </w:r>
      <w:r>
        <w:t xml:space="preserve">ı</w:t>
      </w:r>
      <w:r>
        <w:t xml:space="preserve">c</w:t>
      </w:r>
      <w:r>
        <w:t xml:space="preserve">ı</w:t>
      </w:r>
      <w:r>
        <w:t xml:space="preserve"> </w:t>
      </w:r>
      <w:r>
        <w:t xml:space="preserve">et al. </w:t>
      </w:r>
      <w:r>
        <w:t xml:space="preserve">, who prove that PCA recovers the same ordered features as Matryoshka training from a Rayleigh–Ritz perspective, with eigenvalues</w:t>
      </w:r>
      <w:r>
        <w:t xml:space="preserve"> </w:t>
      </w:r>
      <m:oMath>
        <m:sSub>
          <m:e>
            <m:r>
              <m:t>λ</m:t>
            </m:r>
          </m:e>
          <m:sub>
            <m:r>
              <m:t>i</m:t>
            </m:r>
          </m:sub>
        </m:sSub>
      </m:oMath>
      <w:r>
        <w:t xml:space="preserve"> </w:t>
      </w:r>
      <w:r>
        <w:t xml:space="preserve">serving as theoretically grounded importance scores:</w:t>
      </w:r>
    </w:p>
    <w:p>
      <w:pPr>
        <w:pStyle w:val="BodyText"/>
      </w:pPr>
      <w:r>
        <w:rPr>
          <w:b/>
          <w:bCs/>
        </w:rPr>
        <w:t xml:space="preserve">Theorem 1</w:t>
      </w:r>
      <w:r>
        <w:t xml:space="preserve"> </w:t>
      </w:r>
      <w:r>
        <w:t xml:space="preserve">(Eckart–Young–Mirsky </w:t>
      </w:r>
      <w:r>
        <w:t xml:space="preserve">).</w:t>
      </w:r>
      <w:r>
        <w:t xml:space="preserve"> </w:t>
      </w:r>
      <w:r>
        <w:t xml:space="preserve"> </w:t>
      </w:r>
      <w:r>
        <w:rPr>
          <w:i/>
          <w:iCs/>
        </w:rPr>
        <w:t xml:space="preserve">Let</w:t>
      </w:r>
      <w:r>
        <w:rPr>
          <w:i/>
          <w:iCs/>
        </w:rPr>
        <w:t xml:space="preserve"> </w:t>
      </w:r>
      <m:oMath>
        <m:r>
          <m:rPr>
            <m:sty m:val="b"/>
          </m:rPr>
          <m:t>A</m:t>
        </m:r>
        <m:r>
          <m:rPr>
            <m:sty m:val="p"/>
          </m:rPr>
          <m:t>∈</m:t>
        </m:r>
        <m:sSup>
          <m:e>
            <m:r>
              <m:rPr>
                <m:scr m:val="double-struck"/>
                <m:sty m:val="p"/>
              </m:rPr>
              <m:t>R</m:t>
            </m:r>
          </m:e>
          <m:sup>
            <m:r>
              <m:t>m</m:t>
            </m:r>
            <m:r>
              <m:rPr>
                <m:sty m:val="p"/>
              </m:rPr>
              <m:t>×</m:t>
            </m:r>
            <m:r>
              <m:t>n</m:t>
            </m:r>
          </m:sup>
        </m:sSup>
      </m:oMath>
      <w:r>
        <w:rPr>
          <w:i/>
          <w:iCs/>
        </w:rPr>
        <w:t xml:space="preserve"> </w:t>
      </w:r>
      <w:r>
        <w:rPr>
          <w:i/>
          <w:iCs/>
        </w:rPr>
        <w:t xml:space="preserve">have singular value decomposition</w:t>
      </w:r>
      <w:r>
        <w:rPr>
          <w:i/>
          <w:iCs/>
        </w:rPr>
        <w:t xml:space="preserve"> </w:t>
      </w:r>
      <m:oMath>
        <m:r>
          <m:rPr>
            <m:sty m:val="b"/>
          </m:rPr>
          <m:t>A</m:t>
        </m:r>
        <m:r>
          <m:rPr>
            <m:sty m:val="p"/>
          </m:rPr>
          <m:t>=</m:t>
        </m:r>
        <m:nary>
          <m:naryPr>
            <m:chr m:val="∑"/>
            <m:limLoc m:val="undOvr"/>
            <m:subHide m:val="off"/>
            <m:supHide m:val="off"/>
          </m:naryPr>
          <m:sub>
            <m:r>
              <m:t>i</m:t>
            </m:r>
            <m:r>
              <m:rPr>
                <m:sty m:val="p"/>
              </m:rPr>
              <m:t>=</m:t>
            </m:r>
            <m:r>
              <m:t>1</m:t>
            </m:r>
          </m:sub>
          <m:sup>
            <m:r>
              <m:t>r</m:t>
            </m:r>
          </m:sup>
          <m:e>
            <m:sSub>
              <m:e>
                <m:r>
                  <m:t>σ</m:t>
                </m:r>
              </m:e>
              <m:sub>
                <m:r>
                  <m:t>i</m:t>
                </m:r>
              </m:sub>
            </m:sSub>
          </m:e>
        </m:nary>
        <m:sSub>
          <m:e>
            <m:r>
              <m:rPr>
                <m:sty m:val="b"/>
              </m:rPr>
              <m:t>u</m:t>
            </m:r>
          </m:e>
          <m:sub>
            <m:r>
              <m:t>i</m:t>
            </m:r>
          </m:sub>
        </m:sSub>
        <m:sSubSup>
          <m:e>
            <m:r>
              <m:rPr>
                <m:sty m:val="b"/>
              </m:rPr>
              <m:t>v</m:t>
            </m:r>
          </m:e>
          <m:sub>
            <m:r>
              <m:t>i</m:t>
            </m:r>
          </m:sub>
          <m:sup>
            <m:r>
              <m:rPr>
                <m:sty m:val="p"/>
              </m:rPr>
              <m:t>⊤</m:t>
            </m:r>
          </m:sup>
        </m:sSubSup>
      </m:oMath>
      <w:r>
        <w:rPr>
          <w:i/>
          <w:iCs/>
        </w:rPr>
        <w:t xml:space="preserve">.</w:t>
      </w:r>
      <w:r>
        <w:rPr>
          <w:i/>
          <w:iCs/>
        </w:rPr>
        <w:t xml:space="preserve"> </w:t>
      </w:r>
      <w:r>
        <w:rPr>
          <w:i/>
          <w:iCs/>
        </w:rPr>
        <w:t xml:space="preserve">Then for any matrix</w:t>
      </w:r>
      <w:r>
        <w:rPr>
          <w:i/>
          <w:iCs/>
        </w:rPr>
        <w:t xml:space="preserve"> </w:t>
      </w:r>
      <m:oMath>
        <m:r>
          <m:rPr>
            <m:sty m:val="b"/>
          </m:rPr>
          <m:t>B</m:t>
        </m:r>
      </m:oMath>
      <w:r>
        <w:rPr>
          <w:i/>
          <w:iCs/>
        </w:rPr>
        <w:t xml:space="preserve"> </w:t>
      </w:r>
      <w:r>
        <w:rPr>
          <w:i/>
          <w:iCs/>
        </w:rPr>
        <w:t xml:space="preserve">with</w:t>
      </w:r>
      <w:r>
        <w:rPr>
          <w:i/>
          <w:iCs/>
        </w:rPr>
        <w:t xml:space="preserve"> </w:t>
      </w:r>
      <m:oMath>
        <m:r>
          <m:rPr>
            <m:sty m:val="p"/>
          </m:rPr>
          <m:t>rank</m:t>
        </m:r>
        <m:r>
          <m:rPr>
            <m:sty m:val="p"/>
          </m:rPr>
          <m:t>(</m:t>
        </m:r>
        <m:r>
          <m:rPr>
            <m:sty m:val="b"/>
          </m:rPr>
          <m:t>B</m:t>
        </m:r>
        <m:r>
          <m:rPr>
            <m:sty m:val="p"/>
          </m:rPr>
          <m:t>)</m:t>
        </m:r>
        <m:r>
          <m:rPr>
            <m:sty m:val="p"/>
          </m:rPr>
          <m:t>≤</m:t>
        </m:r>
        <m:r>
          <m:t>k</m:t>
        </m:r>
      </m:oMath>
      <w:r>
        <w:rPr>
          <w:i/>
          <w:iCs/>
        </w:rPr>
        <w:t xml:space="preserve">:</w:t>
      </w:r>
      <w:r>
        <w:rPr>
          <w:i/>
          <w:iCs/>
        </w:rPr>
        <w:t xml:space="preserve"> </w:t>
      </w:r>
      <m:oMathPara>
        <m:oMathParaPr>
          <m:jc m:val="center"/>
        </m:oMathParaPr>
        <m:oMath>
          <m:sSubSup>
            <m:e>
              <m:d>
                <m:dPr>
                  <m:begChr m:val="∥"/>
                  <m:sepChr m:val=""/>
                  <m:endChr m:val="∥"/>
                  <m:grow/>
                </m:dPr>
                <m:e>
                  <m:r>
                    <m:rPr>
                      <m:sty m:val="b"/>
                    </m:rPr>
                    <m:t>A</m:t>
                  </m:r>
                  <m:r>
                    <m:rPr>
                      <m:sty m:val="p"/>
                    </m:rPr>
                    <m:t>−</m:t>
                  </m:r>
                  <m:r>
                    <m:rPr>
                      <m:sty m:val="b"/>
                    </m:rPr>
                    <m:t>B</m:t>
                  </m:r>
                </m:e>
              </m:d>
            </m:e>
            <m:sub>
              <m:r>
                <m:t>F</m:t>
              </m:r>
            </m:sub>
            <m:sup>
              <m:r>
                <m:t>2</m:t>
              </m:r>
            </m:sup>
          </m:sSubSup>
          <m:r>
            <m:rPr>
              <m:sty m:val="p"/>
            </m:rPr>
            <m:t>≥</m:t>
          </m:r>
          <m:nary>
            <m:naryPr>
              <m:chr m:val="∑"/>
              <m:limLoc m:val="undOvr"/>
              <m:subHide m:val="off"/>
              <m:supHide m:val="off"/>
            </m:naryPr>
            <m:sub>
              <m:r>
                <m:t>i</m:t>
              </m:r>
              <m:r>
                <m:rPr>
                  <m:sty m:val="p"/>
                </m:rPr>
                <m:t>=</m:t>
              </m:r>
              <m:r>
                <m:t>k</m:t>
              </m:r>
              <m:r>
                <m:rPr>
                  <m:sty m:val="p"/>
                </m:rPr>
                <m:t>+</m:t>
              </m:r>
              <m:r>
                <m:t>1</m:t>
              </m:r>
            </m:sub>
            <m:sup>
              <m:r>
                <m:t>r</m:t>
              </m:r>
            </m:sup>
            <m:e>
              <m:sSubSup>
                <m:e>
                  <m:r>
                    <m:t>σ</m:t>
                  </m:r>
                </m:e>
                <m:sub>
                  <m:r>
                    <m:t>i</m:t>
                  </m:r>
                </m:sub>
                <m:sup>
                  <m:r>
                    <m:t>2</m:t>
                  </m:r>
                </m:sup>
              </m:sSubSup>
            </m:e>
          </m:nary>
          <m:r>
            <m:rPr>
              <m:sty m:val="p"/>
            </m:rPr>
            <m:t>,</m:t>
          </m:r>
        </m:oMath>
      </m:oMathPara>
      <w:r>
        <w:rPr>
          <w:i/>
          <w:iCs/>
        </w:rPr>
        <w:t xml:space="preserve"> </w:t>
      </w:r>
      <w:r>
        <w:rPr>
          <w:i/>
          <w:iCs/>
        </w:rPr>
        <w:t xml:space="preserve">with equality when</w:t>
      </w:r>
      <w:r>
        <w:rPr>
          <w:i/>
          <w:iCs/>
        </w:rPr>
        <w:t xml:space="preserve"> </w:t>
      </w:r>
      <m:oMath>
        <m:r>
          <m:rPr>
            <m:sty m:val="b"/>
          </m:rPr>
          <m:t>B</m:t>
        </m:r>
        <m:r>
          <m:rPr>
            <m:sty m:val="p"/>
          </m:rPr>
          <m:t>=</m:t>
        </m:r>
        <m:nary>
          <m:naryPr>
            <m:chr m:val="∑"/>
            <m:limLoc m:val="undOvr"/>
            <m:subHide m:val="off"/>
            <m:supHide m:val="off"/>
          </m:naryPr>
          <m:sub>
            <m:r>
              <m:t>i</m:t>
            </m:r>
            <m:r>
              <m:rPr>
                <m:sty m:val="p"/>
              </m:rPr>
              <m:t>=</m:t>
            </m:r>
            <m:r>
              <m:t>1</m:t>
            </m:r>
          </m:sub>
          <m:sup>
            <m:r>
              <m:t>k</m:t>
            </m:r>
          </m:sup>
          <m:e>
            <m:sSub>
              <m:e>
                <m:r>
                  <m:t>σ</m:t>
                </m:r>
              </m:e>
              <m:sub>
                <m:r>
                  <m:t>i</m:t>
                </m:r>
              </m:sub>
            </m:sSub>
          </m:e>
        </m:nary>
        <m:sSub>
          <m:e>
            <m:r>
              <m:rPr>
                <m:sty m:val="b"/>
              </m:rPr>
              <m:t>u</m:t>
            </m:r>
          </m:e>
          <m:sub>
            <m:r>
              <m:t>i</m:t>
            </m:r>
          </m:sub>
        </m:sSub>
        <m:sSubSup>
          <m:e>
            <m:r>
              <m:rPr>
                <m:sty m:val="b"/>
              </m:rPr>
              <m:t>v</m:t>
            </m:r>
          </m:e>
          <m:sub>
            <m:r>
              <m:t>i</m:t>
            </m:r>
          </m:sub>
          <m:sup>
            <m:r>
              <m:rPr>
                <m:sty m:val="p"/>
              </m:rPr>
              <m:t>⊤</m:t>
            </m:r>
          </m:sup>
        </m:sSubSup>
      </m:oMath>
      <w:r>
        <w:rPr>
          <w:i/>
          <w:iCs/>
        </w:rPr>
        <w:t xml:space="preserve">.</w:t>
      </w:r>
    </w:p>
    <w:p>
      <w:pPr>
        <w:pStyle w:val="FirstParagraph"/>
      </w:pPr>
      <w:r>
        <w:t xml:space="preserve">Applied to the centered data matrix</w:t>
      </w:r>
      <w:r>
        <w:t xml:space="preserve"> </w:t>
      </w:r>
      <m:oMath>
        <m:acc>
          <m:accPr>
            <m:chr m:val="‾"/>
          </m:accPr>
          <m:e>
            <m:r>
              <m:rPr>
                <m:sty m:val="b"/>
              </m:rPr>
              <m:t>X</m:t>
            </m:r>
          </m:e>
        </m:acc>
        <m:r>
          <m:rPr>
            <m:sty m:val="p"/>
          </m:rPr>
          <m:t>=</m:t>
        </m:r>
        <m:r>
          <m:rPr>
            <m:sty m:val="p"/>
          </m:rPr>
          <m:t>[</m:t>
        </m:r>
        <m:r>
          <m:rPr>
            <m:sty m:val="p"/>
          </m:rPr>
          <m:t>(</m:t>
        </m:r>
        <m:sSub>
          <m:e>
            <m:r>
              <m:rPr>
                <m:sty m:val="b"/>
              </m:rPr>
              <m:t>x</m:t>
            </m:r>
          </m:e>
          <m:sub>
            <m:r>
              <m:t>1</m:t>
            </m:r>
          </m:sub>
        </m:sSub>
        <m:r>
          <m:rPr>
            <m:sty m:val="p"/>
          </m:rPr>
          <m:t>−</m:t>
        </m:r>
        <m:r>
          <m:rPr>
            <m:sty m:val="b"/>
          </m:rPr>
          <m:t>μ</m:t>
        </m:r>
        <m:r>
          <m:rPr>
            <m:sty m:val="p"/>
          </m:rPr>
          <m:t>)</m:t>
        </m:r>
        <m:r>
          <m:rPr>
            <m:sty m:val="p"/>
          </m:rPr>
          <m:t>∣</m:t>
        </m:r>
        <m:r>
          <m:rPr>
            <m:sty m:val="p"/>
          </m:rPr>
          <m:t>⋯</m:t>
        </m:r>
        <m:r>
          <m:rPr>
            <m:sty m:val="p"/>
          </m:rPr>
          <m:t>∣</m:t>
        </m:r>
        <m:r>
          <m:rPr>
            <m:sty m:val="p"/>
          </m:rPr>
          <m:t>(</m:t>
        </m:r>
        <m:sSub>
          <m:e>
            <m:r>
              <m:rPr>
                <m:sty m:val="b"/>
              </m:rPr>
              <m:t>x</m:t>
            </m:r>
          </m:e>
          <m:sub>
            <m:r>
              <m:t>N</m:t>
            </m:r>
          </m:sub>
        </m:sSub>
        <m:r>
          <m:rPr>
            <m:sty m:val="p"/>
          </m:rPr>
          <m:t>−</m:t>
        </m:r>
        <m:r>
          <m:rPr>
            <m:sty m:val="b"/>
          </m:rPr>
          <m:t>μ</m:t>
        </m:r>
        <m:r>
          <m:rPr>
            <m:sty m:val="p"/>
          </m:rPr>
          <m:t>)</m:t>
        </m:r>
        <m:r>
          <m:rPr>
            <m:sty m:val="p"/>
          </m:rPr>
          <m:t>]</m:t>
        </m:r>
      </m:oMath>
      <w:r>
        <w:t xml:space="preserve">, PCA truncation gives the rank-</w:t>
      </w:r>
      <m:oMath>
        <m:r>
          <m:t>k</m:t>
        </m:r>
      </m:oMath>
      <w:r>
        <w:t xml:space="preserve"> </w:t>
      </w:r>
      <w:r>
        <w:t xml:space="preserve">approximation</w:t>
      </w:r>
      <w:r>
        <w:t xml:space="preserve"> </w:t>
      </w:r>
      <m:oMath>
        <m:acc>
          <m:accPr>
            <m:chr m:val="̂"/>
          </m:accPr>
          <m:e>
            <m:acc>
              <m:accPr>
                <m:chr m:val="‾"/>
              </m:accPr>
              <m:e>
                <m:r>
                  <m:rPr>
                    <m:sty m:val="b"/>
                  </m:rPr>
                  <m:t>X</m:t>
                </m:r>
              </m:e>
            </m:acc>
          </m:e>
        </m:acc>
        <m:r>
          <m:rPr>
            <m:sty m:val="p"/>
          </m:rPr>
          <m:t>=</m:t>
        </m:r>
        <m:sSub>
          <m:e>
            <m:r>
              <m:rPr>
                <m:sty m:val="b"/>
              </m:rPr>
              <m:t>U</m:t>
            </m:r>
          </m:e>
          <m:sub>
            <m:r>
              <m:t>k</m:t>
            </m:r>
          </m:sub>
        </m:sSub>
        <m:sSubSup>
          <m:e>
            <m:r>
              <m:rPr>
                <m:sty m:val="b"/>
              </m:rPr>
              <m:t>U</m:t>
            </m:r>
          </m:e>
          <m:sub>
            <m:r>
              <m:t>k</m:t>
            </m:r>
          </m:sub>
          <m:sup>
            <m:r>
              <m:rPr>
                <m:sty m:val="p"/>
              </m:rPr>
              <m:t>⊤</m:t>
            </m:r>
          </m:sup>
        </m:sSubSup>
        <m:acc>
          <m:accPr>
            <m:chr m:val="‾"/>
          </m:accPr>
          <m:e>
            <m:r>
              <m:rPr>
                <m:sty m:val="b"/>
              </m:rPr>
              <m:t>X</m:t>
            </m:r>
          </m:e>
        </m:acc>
      </m:oMath>
      <w:r>
        <w:t xml:space="preserve"> </w:t>
      </w:r>
      <w:r>
        <w:t xml:space="preserve">that minimizes the total squared reconstruction error.</w:t>
      </w:r>
      <w:r>
        <w:t xml:space="preserve"> </w:t>
      </w:r>
      <w:r>
        <w:t xml:space="preserve">No other linear dimension reduction can do better.</w:t>
      </w:r>
    </w:p>
    <w:p>
      <w:pPr>
        <w:pStyle w:val="BodyText"/>
      </w:pPr>
      <w:r>
        <w:rPr>
          <w:b/>
          <w:bCs/>
        </w:rPr>
        <w:t xml:space="preserve">Cosine similarity preservation.</w:t>
      </w:r>
      <w:r>
        <w:t xml:space="preserve"> </w:t>
      </w:r>
      <w:r>
        <w:t xml:space="preserve">While the Eckart–Young theorem is stated for Frobenius norm (Euclidean distance), it also provides strong guarantees for cosine similarity.</w:t>
      </w:r>
      <w:r>
        <w:t xml:space="preserve"> </w:t>
      </w:r>
      <w:r>
        <w:t xml:space="preserve">For unit-norm vectors, cosine similarity equals the inner product, and:</w:t>
      </w:r>
    </w:p>
    <w:p>
      <w:pPr>
        <w:pStyle w:val="BodyText"/>
      </w:pPr>
      <m:oMathPara>
        <m:oMathParaPr>
          <m:jc m:val="center"/>
        </m:oMathParaPr>
        <m:oMath>
          <m:r>
            <m:rPr>
              <m:sty m:val="p"/>
            </m:rPr>
            <m:t>⟨</m:t>
          </m:r>
          <m:sSub>
            <m:e>
              <m:acc>
                <m:accPr>
                  <m:chr m:val="̂"/>
                </m:accPr>
                <m:e>
                  <m:r>
                    <m:rPr>
                      <m:sty m:val="b"/>
                    </m:rPr>
                    <m:t>x</m:t>
                  </m:r>
                </m:e>
              </m:acc>
            </m:e>
            <m:sub>
              <m:r>
                <m:t>i</m:t>
              </m:r>
            </m:sub>
          </m:sSub>
          <m:r>
            <m:rPr>
              <m:sty m:val="p"/>
            </m:rPr>
            <m:t>,</m:t>
          </m:r>
          <m:sSub>
            <m:e>
              <m:acc>
                <m:accPr>
                  <m:chr m:val="̂"/>
                </m:accPr>
                <m:e>
                  <m:r>
                    <m:rPr>
                      <m:sty m:val="b"/>
                    </m:rPr>
                    <m:t>x</m:t>
                  </m:r>
                </m:e>
              </m:acc>
            </m:e>
            <m:sub>
              <m:r>
                <m:t>j</m:t>
              </m:r>
            </m:sub>
          </m:sSub>
          <m:r>
            <m:rPr>
              <m:sty m:val="p"/>
            </m:rPr>
            <m:t>⟩</m:t>
          </m:r>
          <m:r>
            <m:rPr>
              <m:sty m:val="p"/>
            </m:rPr>
            <m:t>=</m:t>
          </m:r>
          <m:r>
            <m:rPr>
              <m:sty m:val="p"/>
            </m:rPr>
            <m:t>⟨</m:t>
          </m:r>
          <m:sSub>
            <m:e>
              <m:r>
                <m:rPr>
                  <m:sty m:val="b"/>
                </m:rPr>
                <m:t>U</m:t>
              </m:r>
            </m:e>
            <m:sub>
              <m:r>
                <m:t>k</m:t>
              </m:r>
            </m:sub>
          </m:sSub>
          <m:sSub>
            <m:e>
              <m:r>
                <m:rPr>
                  <m:sty m:val="b"/>
                </m:rPr>
                <m:t>z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,</m:t>
          </m:r>
          <m:sSub>
            <m:e>
              <m:r>
                <m:rPr>
                  <m:sty m:val="b"/>
                </m:rPr>
                <m:t>U</m:t>
              </m:r>
            </m:e>
            <m:sub>
              <m:r>
                <m:t>k</m:t>
              </m:r>
            </m:sub>
          </m:sSub>
          <m:sSub>
            <m:e>
              <m:r>
                <m:rPr>
                  <m:sty m:val="b"/>
                </m:rPr>
                <m:t>z</m:t>
              </m:r>
            </m:e>
            <m:sub>
              <m:r>
                <m:t>j</m:t>
              </m:r>
            </m:sub>
          </m:sSub>
          <m:r>
            <m:rPr>
              <m:sty m:val="p"/>
            </m:rPr>
            <m:t>⟩</m:t>
          </m:r>
          <m:r>
            <m:rPr>
              <m:sty m:val="p"/>
            </m:rPr>
            <m:t>=</m:t>
          </m:r>
          <m:r>
            <m:rPr>
              <m:sty m:val="p"/>
            </m:rPr>
            <m:t>⟨</m:t>
          </m:r>
          <m:sSub>
            <m:e>
              <m:r>
                <m:rPr>
                  <m:sty m:val="b"/>
                </m:rPr>
                <m:t>z</m:t>
              </m:r>
            </m:e>
            <m:sub>
              <m:r>
                <m:t>i</m:t>
              </m:r>
            </m:sub>
          </m:sSub>
          <m:r>
            <m:rPr>
              <m:sty m:val="p"/>
            </m:rPr>
            <m:t>,</m:t>
          </m:r>
          <m:sSub>
            <m:e>
              <m:r>
                <m:rPr>
                  <m:sty m:val="b"/>
                </m:rPr>
                <m:t>z</m:t>
              </m:r>
            </m:e>
            <m:sub>
              <m:r>
                <m:t>j</m:t>
              </m:r>
            </m:sub>
          </m:sSub>
          <m:r>
            <m:rPr>
              <m:sty m:val="p"/>
            </m:rPr>
            <m:t>⟩</m:t>
          </m:r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so the inner products in the projected space equal the inner products of the truncated PCA representations.</w:t>
      </w:r>
      <w:r>
        <w:t xml:space="preserve"> </w:t>
      </w:r>
      <w:r>
        <w:t xml:space="preserve">The approximation error in cosine similarity is bounded by the fraction of variance in the discarded components.</w:t>
      </w:r>
    </w:p>
    <w:bookmarkEnd w:id="19"/>
    <w:bookmarkStart w:id="20" w:name="sec:pipeline"/>
    <w:p>
      <w:pPr>
        <w:pStyle w:val="Heading2"/>
      </w:pPr>
      <w:r>
        <w:t xml:space="preserve">Combined Pipeline</w:t>
      </w:r>
    </w:p>
    <w:p>
      <w:pPr>
        <w:pStyle w:val="FirstParagraph"/>
      </w:pPr>
      <w:r>
        <w:t xml:space="preserve">The full PCA-Matryoshka compression pipeline consists of three composable stages, illustrated in Fig. </w:t>
      </w:r>
      <w:hyperlink w:anchor="fig:pipeline">
        <w:r>
          <w:rPr>
            <w:rStyle w:val="Hyperlink"/>
          </w:rPr>
          <w:t xml:space="preserve">5</w:t>
        </w:r>
      </w:hyperlink>
      <w:r>
        <w:t xml:space="preserve">: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PCA Rotation:</w:t>
      </w:r>
      <w:r>
        <w:t xml:space="preserve"> </w:t>
      </w:r>
      <w:r>
        <w:t xml:space="preserve">Multiply by</w:t>
      </w:r>
      <w:r>
        <w:t xml:space="preserve"> </w:t>
      </w:r>
      <m:oMath>
        <m:sSubSup>
          <m:e>
            <m:r>
              <m:rPr>
                <m:sty m:val="b"/>
              </m:rPr>
              <m:t>U</m:t>
            </m:r>
          </m:e>
          <m:sub>
            <m:r>
              <m:t>k</m:t>
            </m:r>
          </m:sub>
          <m:sup>
            <m:r>
              <m:rPr>
                <m:sty m:val="p"/>
              </m:rPr>
              <m:t>⊤</m:t>
            </m:r>
          </m:sup>
        </m:sSubSup>
      </m:oMath>
      <w:r>
        <w:t xml:space="preserve"> </w:t>
      </w:r>
      <w:r>
        <w:t xml:space="preserve">(</w:t>
      </w:r>
      <m:oMath>
        <m:r>
          <m:t>O</m:t>
        </m:r>
        <m:r>
          <m:rPr>
            <m:sty m:val="p"/>
          </m:rPr>
          <m:t>(</m:t>
        </m:r>
        <m:r>
          <m:t>d</m:t>
        </m:r>
        <m:r>
          <m:t>k</m:t>
        </m:r>
        <m:r>
          <m:rPr>
            <m:sty m:val="p"/>
          </m:rPr>
          <m:t>)</m:t>
        </m:r>
      </m:oMath>
      <w:r>
        <w:t xml:space="preserve"> </w:t>
      </w:r>
      <w:r>
        <w:t xml:space="preserve">per vector, computed once).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Dimension Truncation:</w:t>
      </w:r>
      <w:r>
        <w:t xml:space="preserve"> </w:t>
      </w:r>
      <w:r>
        <w:t xml:space="preserve">Keep only the first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components (free—implicit in step 1).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Scalar Quantization:</w:t>
      </w:r>
      <w:r>
        <w:t xml:space="preserve"> </w:t>
      </w:r>
      <w:r>
        <w:t xml:space="preserve">Quantize each of the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dimensions to</w:t>
      </w:r>
      <w:r>
        <w:t xml:space="preserve"> </w:t>
      </w:r>
      <m:oMath>
        <m:r>
          <m:t>b</m:t>
        </m:r>
      </m:oMath>
      <w:r>
        <w:t xml:space="preserve"> </w:t>
      </w:r>
      <w:r>
        <w:t xml:space="preserve">bits using per-dimension min/max scaling.</w:t>
      </w:r>
    </w:p>
    <w:p>
      <w:pPr>
        <w:pStyle w:val="FirstParagraph"/>
      </w:pPr>
      <w:r>
        <w:t xml:space="preserve">The total compression ratio is:</w:t>
      </w:r>
    </w:p>
    <w:p>
      <w:pPr>
        <w:pStyle w:val="BodyText"/>
      </w:pPr>
      <m:oMathPara>
        <m:oMathParaPr>
          <m:jc m:val="center"/>
        </m:oMathParaPr>
        <m:oMath>
          <m:r>
            <m:t>ρ</m:t>
          </m:r>
          <m:r>
            <m:rPr>
              <m:sty m:val="p"/>
            </m:rPr>
            <m:t>=</m:t>
          </m:r>
          <m:f>
            <m:fPr>
              <m:type m:val="bar"/>
            </m:fPr>
            <m:num>
              <m:r>
                <m:t>d</m:t>
              </m:r>
              <m:r>
                <m:rPr>
                  <m:sty m:val="p"/>
                </m:rPr>
                <m:t>×</m:t>
              </m:r>
              <m:r>
                <m:t>32</m:t>
              </m:r>
            </m:num>
            <m:den>
              <m:r>
                <m:t>k</m:t>
              </m:r>
              <m:r>
                <m:rPr>
                  <m:sty m:val="p"/>
                </m:rPr>
                <m:t>×</m:t>
              </m:r>
              <m:r>
                <m:t>b</m:t>
              </m:r>
            </m:den>
          </m:f>
          <m:r>
            <m:rPr>
              <m:sty m:val="p"/>
            </m:rPr>
            <m:t>,</m:t>
          </m:r>
        </m:oMath>
      </m:oMathPara>
    </w:p>
    <w:p>
      <w:pPr>
        <w:pStyle w:val="FirstParagraph"/>
      </w:pPr>
      <w:r>
        <w:t xml:space="preserve">where</w:t>
      </w:r>
      <w:r>
        <w:t xml:space="preserve"> </w:t>
      </w:r>
      <m:oMath>
        <m:r>
          <m:t>d</m:t>
        </m:r>
      </m:oMath>
      <w:r>
        <w:t xml:space="preserve"> </w:t>
      </w:r>
      <w:r>
        <w:t xml:space="preserve">is the original dimension,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the retained dimensions,</w:t>
      </w:r>
      <w:r>
        <w:t xml:space="preserve"> </w:t>
      </w:r>
      <m:oMath>
        <m:r>
          <m:t>b</m:t>
        </m:r>
      </m:oMath>
      <w:r>
        <w:t xml:space="preserve"> </w:t>
      </w:r>
      <w:r>
        <w:t xml:space="preserve">the quantization bit-width, and the original representation uses 32-bit floats.</w:t>
      </w:r>
    </w:p>
    <w:p>
      <w:pPr>
        <w:pStyle w:val="BodyText"/>
      </w:pPr>
      <w:r>
        <w:rPr>
          <w:b/>
          <w:bCs/>
        </w:rPr>
        <w:t xml:space="preserve">Storage overhead.</w:t>
      </w:r>
      <w:r>
        <w:t xml:space="preserve"> </w:t>
      </w:r>
      <w:r>
        <w:t xml:space="preserve">The PCA rotation matrix</w:t>
      </w:r>
      <w:r>
        <w:t xml:space="preserve"> </w:t>
      </w:r>
      <m:oMath>
        <m:sSub>
          <m:e>
            <m:r>
              <m:rPr>
                <m:sty m:val="b"/>
              </m:rPr>
              <m:t>U</m:t>
            </m:r>
          </m:e>
          <m:sub>
            <m:r>
              <m:t>k</m:t>
            </m:r>
          </m:sub>
        </m:sSub>
        <m:r>
          <m:rPr>
            <m:sty m:val="p"/>
          </m:rPr>
          <m:t>∈</m:t>
        </m:r>
        <m:sSup>
          <m:e>
            <m:r>
              <m:rPr>
                <m:scr m:val="double-struck"/>
                <m:sty m:val="p"/>
              </m:rPr>
              <m:t>R</m:t>
            </m:r>
          </m:e>
          <m:sup>
            <m:r>
              <m:t>d</m:t>
            </m:r>
            <m:r>
              <m:rPr>
                <m:sty m:val="p"/>
              </m:rPr>
              <m:t>×</m:t>
            </m:r>
            <m:r>
              <m:t>k</m:t>
            </m:r>
          </m:sup>
        </m:sSup>
      </m:oMath>
      <w:r>
        <w:t xml:space="preserve"> </w:t>
      </w:r>
      <w:r>
        <w:t xml:space="preserve">requires</w:t>
      </w:r>
      <w:r>
        <w:t xml:space="preserve"> </w:t>
      </w:r>
      <m:oMath>
        <m:r>
          <m:t>d</m:t>
        </m:r>
        <m:r>
          <m:t>k</m:t>
        </m:r>
      </m:oMath>
      <w:r>
        <w:t xml:space="preserve"> </w:t>
      </w:r>
      <w:r>
        <w:t xml:space="preserve">floats of storage, plus the mean vector</w:t>
      </w:r>
      <w:r>
        <w:t xml:space="preserve"> </w:t>
      </w:r>
      <m:oMath>
        <m:r>
          <m:rPr>
            <m:sty m:val="b"/>
          </m:rPr>
          <m:t>μ</m:t>
        </m:r>
        <m:r>
          <m:rPr>
            <m:sty m:val="p"/>
          </m:rPr>
          <m:t>∈</m:t>
        </m:r>
        <m:sSup>
          <m:e>
            <m:r>
              <m:rPr>
                <m:scr m:val="double-struck"/>
                <m:sty m:val="p"/>
              </m:rPr>
              <m:t>R</m:t>
            </m:r>
          </m:e>
          <m:sup>
            <m:r>
              <m:t>d</m:t>
            </m:r>
          </m:sup>
        </m:sSup>
      </m:oMath>
      <w:r>
        <w:t xml:space="preserve">.</w:t>
      </w:r>
      <w:r>
        <w:t xml:space="preserve"> </w:t>
      </w:r>
      <w:r>
        <w:t xml:space="preserve">For BGE-M3 with</w:t>
      </w:r>
      <w:r>
        <w:t xml:space="preserve"> </w:t>
      </w:r>
      <m:oMath>
        <m:r>
          <m:t>d</m:t>
        </m:r>
        <m:r>
          <m:rPr>
            <m:sty m:val="p"/>
          </m:rPr>
          <m:t>=</m:t>
        </m:r>
        <m:r>
          <m:t>1024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k</m:t>
        </m:r>
        <m:r>
          <m:rPr>
            <m:sty m:val="p"/>
          </m:rPr>
          <m:t>=</m:t>
        </m:r>
        <m:r>
          <m:t>384</m:t>
        </m:r>
      </m:oMath>
      <w:r>
        <w:t xml:space="preserve">, this is</w:t>
      </w:r>
      <w:r>
        <w:t xml:space="preserve"> </w:t>
      </w:r>
      <m:oMath>
        <m:r>
          <m:t>1024</m:t>
        </m:r>
        <m:r>
          <m:rPr>
            <m:sty m:val="p"/>
          </m:rPr>
          <m:t>×</m:t>
        </m:r>
        <m:r>
          <m:t>384</m:t>
        </m:r>
        <m:r>
          <m:rPr>
            <m:sty m:val="p"/>
          </m:rPr>
          <m:t>×</m:t>
        </m:r>
        <m:r>
          <m:t>4</m:t>
        </m:r>
        <m:r>
          <m:rPr>
            <m:sty m:val="p"/>
          </m:rPr>
          <m:t>=</m:t>
        </m:r>
        <m:r>
          <m:t>1.5</m:t>
        </m:r>
      </m:oMath>
      <w:r>
        <w:t xml:space="preserve"> MB—negligible compared to the corpus.</w:t>
      </w:r>
    </w:p>
    <w:p>
      <w:pPr>
        <w:pStyle w:val="BodyText"/>
      </w:pPr>
      <w:r>
        <w:rPr>
          <w:b/>
          <w:bCs/>
        </w:rPr>
        <w:t xml:space="preserve">Query-time cost.</w:t>
      </w:r>
      <w:r>
        <w:t xml:space="preserve"> </w:t>
      </w:r>
      <w:r>
        <w:t xml:space="preserve">At query time, the incoming query vector must be rotated by</w:t>
      </w:r>
      <w:r>
        <w:t xml:space="preserve"> </w:t>
      </w:r>
      <m:oMath>
        <m:sSubSup>
          <m:e>
            <m:r>
              <m:rPr>
                <m:sty m:val="b"/>
              </m:rPr>
              <m:t>U</m:t>
            </m:r>
          </m:e>
          <m:sub>
            <m:r>
              <m:t>k</m:t>
            </m:r>
          </m:sub>
          <m:sup>
            <m:r>
              <m:rPr>
                <m:sty m:val="p"/>
              </m:rPr>
              <m:t>⊤</m:t>
            </m:r>
          </m:sup>
        </m:sSubSup>
      </m:oMath>
      <w:r>
        <w:t xml:space="preserve"> </w:t>
      </w:r>
      <w:r>
        <w:t xml:space="preserve">before search.</w:t>
      </w:r>
      <w:r>
        <w:t xml:space="preserve"> </w:t>
      </w:r>
      <w:r>
        <w:t xml:space="preserve">This is a single matrix–vector multiplication costing</w:t>
      </w:r>
      <w:r>
        <w:t xml:space="preserve"> </w:t>
      </w:r>
      <m:oMath>
        <m:r>
          <m:t>O</m:t>
        </m:r>
        <m:r>
          <m:rPr>
            <m:sty m:val="p"/>
          </m:rPr>
          <m:t>(</m:t>
        </m:r>
        <m:r>
          <m:t>d</m:t>
        </m:r>
        <m:r>
          <m:t>k</m:t>
        </m:r>
        <m:r>
          <m:rPr>
            <m:sty m:val="p"/>
          </m:rPr>
          <m:t>)</m:t>
        </m:r>
      </m:oMath>
      <w:r>
        <w:t xml:space="preserve"> </w:t>
      </w:r>
      <w:r>
        <w:t xml:space="preserve">FLOPs, which takes approximately 0.1 ms on a modern CPU for</w:t>
      </w:r>
      <w:r>
        <w:t xml:space="preserve"> </w:t>
      </w:r>
      <m:oMath>
        <m:r>
          <m:t>d</m:t>
        </m:r>
        <m:r>
          <m:rPr>
            <m:sty m:val="p"/>
          </m:rPr>
          <m:t>=</m:t>
        </m:r>
        <m:r>
          <m:t>1024</m:t>
        </m:r>
      </m:oMath>
      <w:r>
        <w:t xml:space="preserve">,</w:t>
      </w:r>
      <w:r>
        <w:t xml:space="preserve"> </w:t>
      </w:r>
      <m:oMath>
        <m:r>
          <m:t>k</m:t>
        </m:r>
        <m:r>
          <m:rPr>
            <m:sty m:val="p"/>
          </m:rPr>
          <m:t>=</m:t>
        </m:r>
        <m:r>
          <m:t>384</m:t>
        </m:r>
      </m:oMath>
      <w:r>
        <w:t xml:space="preserve">.</w:t>
      </w:r>
    </w:p>
    <w:bookmarkEnd w:id="20"/>
    <w:bookmarkStart w:id="21" w:name="sec:online_pca"/>
    <w:p>
      <w:pPr>
        <w:pStyle w:val="Heading2"/>
      </w:pPr>
      <w:r>
        <w:t xml:space="preserve">Online PCA Update</w:t>
      </w:r>
    </w:p>
    <w:p>
      <w:pPr>
        <w:pStyle w:val="FirstParagraph"/>
      </w:pPr>
      <w:r>
        <w:t xml:space="preserve">For streaming applications where new embeddings arrive continuously, recomputing PCA from scratch is impractical.</w:t>
      </w:r>
      <w:r>
        <w:t xml:space="preserve"> </w:t>
      </w:r>
      <w:r>
        <w:t xml:space="preserve">We adopt the incremental PCA approach </w:t>
      </w:r>
      <w:r>
        <w:t xml:space="preserve">: given the current eigendecomposition</w:t>
      </w:r>
      <w:r>
        <w:t xml:space="preserve"> </w:t>
      </w:r>
      <m:oMath>
        <m:r>
          <m:rPr>
            <m:sty m:val="p"/>
          </m:rPr>
          <m:t>(</m:t>
        </m:r>
        <m:r>
          <m:rPr>
            <m:sty m:val="b"/>
          </m:rPr>
          <m:t>U</m:t>
        </m:r>
        <m:r>
          <m:rPr>
            <m:sty m:val="p"/>
          </m:rPr>
          <m:t>,</m:t>
        </m:r>
        <m:r>
          <m:rPr>
            <m:sty m:val="b"/>
          </m:rPr>
          <m:t>Λ</m:t>
        </m:r>
        <m:r>
          <m:rPr>
            <m:sty m:val="p"/>
          </m:rPr>
          <m:t>,</m:t>
        </m:r>
        <m:r>
          <m:rPr>
            <m:sty m:val="b"/>
          </m:rPr>
          <m:t>μ</m:t>
        </m:r>
        <m:r>
          <m:rPr>
            <m:sty m:val="p"/>
          </m:rPr>
          <m:t>,</m:t>
        </m:r>
        <m:r>
          <m:t>N</m:t>
        </m:r>
        <m:r>
          <m:rPr>
            <m:sty m:val="p"/>
          </m:rPr>
          <m:t>)</m:t>
        </m:r>
      </m:oMath>
      <w:r>
        <w:t xml:space="preserve"> </w:t>
      </w:r>
      <w:r>
        <w:t xml:space="preserve">and a new batch</w:t>
      </w:r>
      <w:r>
        <w:t xml:space="preserve"> </w:t>
      </w:r>
      <m:oMath>
        <m:r>
          <m:rPr>
            <m:sty m:val="p"/>
          </m:rPr>
          <m:t>{</m:t>
        </m:r>
        <m:sSub>
          <m:e>
            <m:r>
              <m:rPr>
                <m:sty m:val="b"/>
              </m:rPr>
              <m:t>x</m:t>
            </m:r>
          </m:e>
          <m:sub>
            <m:r>
              <m:t>N</m:t>
            </m:r>
            <m:r>
              <m:rPr>
                <m:sty m:val="p"/>
              </m:rPr>
              <m:t>+</m:t>
            </m:r>
            <m:r>
              <m:t>1</m:t>
            </m:r>
          </m:sub>
        </m:sSub>
        <m:r>
          <m:rPr>
            <m:sty m:val="p"/>
          </m:rPr>
          <m:t>,</m:t>
        </m:r>
        <m:r>
          <m:rPr>
            <m:sty m:val="p"/>
          </m:rPr>
          <m:t>…</m:t>
        </m:r>
        <m:r>
          <m:rPr>
            <m:sty m:val="p"/>
          </m:rPr>
          <m:t>,</m:t>
        </m:r>
        <m:sSub>
          <m:e>
            <m:r>
              <m:rPr>
                <m:sty m:val="b"/>
              </m:rPr>
              <m:t>x</m:t>
            </m:r>
          </m:e>
          <m:sub>
            <m:r>
              <m:t>N</m:t>
            </m:r>
            <m:r>
              <m:rPr>
                <m:sty m:val="p"/>
              </m:rPr>
              <m:t>+</m:t>
            </m:r>
            <m:r>
              <m:t>m</m:t>
            </m:r>
          </m:sub>
        </m:sSub>
        <m:r>
          <m:rPr>
            <m:sty m:val="p"/>
          </m:rPr>
          <m:t>}</m:t>
        </m:r>
      </m:oMath>
      <w:r>
        <w:t xml:space="preserve">, we update the decomposition in</w:t>
      </w:r>
      <w:r>
        <w:t xml:space="preserve"> </w:t>
      </w:r>
      <m:oMath>
        <m:r>
          <m:t>O</m:t>
        </m:r>
        <m:r>
          <m:rPr>
            <m:sty m:val="p"/>
          </m:rPr>
          <m:t>(</m:t>
        </m:r>
        <m:r>
          <m:t>d</m:t>
        </m:r>
        <m:sSup>
          <m:e>
            <m:r>
              <m:t>k</m:t>
            </m:r>
          </m:e>
          <m:sup>
            <m:r>
              <m:t>2</m:t>
            </m:r>
          </m:sup>
        </m:sSup>
        <m:r>
          <m:rPr>
            <m:sty m:val="p"/>
          </m:rPr>
          <m:t>+</m:t>
        </m:r>
        <m:r>
          <m:t>m</m:t>
        </m:r>
        <m:sSup>
          <m:e>
            <m:r>
              <m:t>k</m:t>
            </m:r>
          </m:e>
          <m:sup>
            <m:r>
              <m:t>2</m:t>
            </m:r>
          </m:sup>
        </m:sSup>
        <m:r>
          <m:rPr>
            <m:sty m:val="p"/>
          </m:rPr>
          <m:t>)</m:t>
        </m:r>
      </m:oMath>
      <w:r>
        <w:t xml:space="preserve"> </w:t>
      </w:r>
      <w:r>
        <w:t xml:space="preserve">time without accessing the original data.</w:t>
      </w:r>
    </w:p>
    <w:p>
      <w:pPr>
        <w:pStyle w:val="BodyText"/>
      </w:pPr>
      <w:r>
        <w:t xml:space="preserve">In practice, the PCA basis is remarkably stable.</w:t>
      </w:r>
      <w:r>
        <w:t xml:space="preserve"> </w:t>
      </w:r>
      <w:r>
        <w:t xml:space="preserve">In our experiments, fitting on 10K vectors versus the full 2.4M corpus changes the cosine similarity at</w:t>
      </w:r>
      <w:r>
        <w:t xml:space="preserve"> </w:t>
      </w:r>
      <m:oMath>
        <m:r>
          <m:t>k</m:t>
        </m:r>
        <m:r>
          <m:rPr>
            <m:sty m:val="p"/>
          </m:rPr>
          <m:t>=</m:t>
        </m:r>
        <m:r>
          <m:t>384</m:t>
        </m:r>
      </m:oMath>
      <w:r>
        <w:t xml:space="preserve"> </w:t>
      </w:r>
      <w:r>
        <w:t xml:space="preserve">by less than 0.002 (Section </w:t>
      </w:r>
      <w:hyperlink w:anchor="sec:ablation">
        <w:r>
          <w:rPr>
            <w:rStyle w:val="Hyperlink"/>
          </w:rPr>
          <w:t xml:space="preserve">5.7</w:t>
        </w:r>
      </w:hyperlink>
      <w:r>
        <w:t xml:space="preserve">), suggesting that infrequent batch updates suffice for most applications.</w:t>
      </w:r>
    </w:p>
    <w:bookmarkEnd w:id="21"/>
    <w:bookmarkEnd w:id="22"/>
    <w:bookmarkStart w:id="27" w:name="sec:setup"/>
    <w:p>
      <w:pPr>
        <w:pStyle w:val="Heading1"/>
      </w:pPr>
      <w:r>
        <w:t xml:space="preserve">Experimental Setup</w:t>
      </w:r>
    </w:p>
    <w:bookmarkStart w:id="23" w:name="dataset"/>
    <w:p>
      <w:pPr>
        <w:pStyle w:val="Heading2"/>
      </w:pPr>
      <w:r>
        <w:t xml:space="preserve">Dataset</w:t>
      </w:r>
    </w:p>
    <w:p>
      <w:pPr>
        <w:pStyle w:val="FirstParagraph"/>
      </w:pPr>
      <w:r>
        <w:t xml:space="preserve">We evaluate on a cross-civilizational ethics corpus comprising 2.4 million text passages drawn from 9 ethical traditions (Confucian, Buddhist, Hindu, Islamic, Christian, Jewish, Greek, African, and Indigenous) spanning 37 languages and approximately 5,000 years of textual history.</w:t>
      </w:r>
      <w:r>
        <w:t xml:space="preserve"> </w:t>
      </w:r>
      <w:r>
        <w:t xml:space="preserve">Each passage is embedded using BGE-M3 </w:t>
      </w:r>
      <w:r>
        <w:t xml:space="preserve">, producing 1024-dimensional vectors.</w:t>
      </w:r>
      <w:r>
        <w:t xml:space="preserve"> </w:t>
      </w:r>
      <w:r>
        <w:t xml:space="preserve">This corpus was chosen for three reasons: (i) it is large enough to stress-test compression at scale, (ii) the cross-lingual, cross-cultural nature tests whether compression preserves semantic nuance, and (iii) the embeddings were generated by a model without Matryoshka training, making it representative of real-world deployments.</w:t>
      </w:r>
    </w:p>
    <w:bookmarkEnd w:id="23"/>
    <w:bookmarkStart w:id="24" w:name="hardware"/>
    <w:p>
      <w:pPr>
        <w:pStyle w:val="Heading2"/>
      </w:pPr>
      <w:r>
        <w:t xml:space="preserve">Hardware</w:t>
      </w:r>
    </w:p>
    <w:p>
      <w:pPr>
        <w:pStyle w:val="FirstParagraph"/>
      </w:pPr>
      <w:r>
        <w:t xml:space="preserve">All experiments were conducted on an HP Z840 workstation with dual Intel Xeon E5-2680 v4 processors (28 cores / 56 threads), 256 GB DDR4 RAM, and two NVIDIA Quadro GV100 GPUs (32 GB HBM2 each).</w:t>
      </w:r>
      <w:r>
        <w:t xml:space="preserve"> </w:t>
      </w:r>
      <w:r>
        <w:t xml:space="preserve">PCA computation used CuPy for GPU acceleration; quantization and search benchmarks used NumPy and PostgreSQL with pgvector 0.7.</w:t>
      </w:r>
    </w:p>
    <w:bookmarkEnd w:id="24"/>
    <w:bookmarkStart w:id="25" w:name="evaluation-metrics"/>
    <w:p>
      <w:pPr>
        <w:pStyle w:val="Heading2"/>
      </w:pPr>
      <w:r>
        <w:t xml:space="preserve">Evaluation Metrics</w:t>
      </w:r>
    </w:p>
    <w:p>
      <w:pPr>
        <w:pStyle w:val="FirstParagraph"/>
      </w:pPr>
      <w:r>
        <w:t xml:space="preserve">We report four metrics: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Cosine similarity:</w:t>
      </w:r>
      <w:r>
        <w:t xml:space="preserve"> </w:t>
      </w:r>
      <w:r>
        <w:t xml:space="preserve">Mean</w:t>
      </w:r>
      <w:r>
        <w:t xml:space="preserve"> </w:t>
      </w:r>
      <m:oMath>
        <m:r>
          <m:rPr>
            <m:sty m:val="p"/>
          </m:rPr>
          <m:t>cos</m:t>
        </m:r>
        <m:r>
          <m:rPr>
            <m:sty m:val="p"/>
          </m:rPr>
          <m:t>(</m:t>
        </m:r>
        <m:sSub>
          <m:e>
            <m:r>
              <m:rPr>
                <m:sty m:val="b"/>
              </m:rPr>
              <m:t>x</m:t>
            </m:r>
          </m:e>
          <m:sub>
            <m:r>
              <m:t>i</m:t>
            </m:r>
          </m:sub>
        </m:sSub>
        <m:r>
          <m:rPr>
            <m:sty m:val="p"/>
          </m:rPr>
          <m:t>,</m:t>
        </m:r>
        <m:sSub>
          <m:e>
            <m:acc>
              <m:accPr>
                <m:chr m:val="̂"/>
              </m:accPr>
              <m:e>
                <m:r>
                  <m:rPr>
                    <m:sty m:val="b"/>
                  </m:rPr>
                  <m:t>x</m:t>
                </m:r>
              </m:e>
            </m:acc>
          </m:e>
          <m:sub>
            <m:r>
              <m:t>i</m:t>
            </m:r>
          </m:sub>
        </m:sSub>
        <m:r>
          <m:rPr>
            <m:sty m:val="p"/>
          </m:rPr>
          <m:t>)</m:t>
        </m:r>
      </m:oMath>
      <w:r>
        <w:t xml:space="preserve"> </w:t>
      </w:r>
      <w:r>
        <w:t xml:space="preserve">over all vectors, where</w:t>
      </w:r>
      <w:r>
        <w:t xml:space="preserve"> </w:t>
      </w:r>
      <m:oMath>
        <m:sSub>
          <m:e>
            <m:acc>
              <m:accPr>
                <m:chr m:val="̂"/>
              </m:accPr>
              <m:e>
                <m:r>
                  <m:rPr>
                    <m:sty m:val="b"/>
                  </m:rPr>
                  <m:t>x</m:t>
                </m:r>
              </m:e>
            </m:acc>
          </m:e>
          <m:sub>
            <m:r>
              <m:t>i</m:t>
            </m:r>
          </m:sub>
        </m:sSub>
      </m:oMath>
      <w:r>
        <w:t xml:space="preserve"> </w:t>
      </w:r>
      <w:r>
        <w:t xml:space="preserve">is the reconstructed (decompressed) vector.</w:t>
      </w:r>
      <w:r>
        <w:t xml:space="preserve"> </w:t>
      </w:r>
      <w:r>
        <w:t xml:space="preserve">This measures point-wise fidelity.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Recall@10:</w:t>
      </w:r>
      <w:r>
        <w:t xml:space="preserve"> </w:t>
      </w:r>
      <w:r>
        <w:t xml:space="preserve">For 1,000 random queries, the fraction of the true top-10 nearest neighbors (in the full-dimensional space) that appear in the top-10 results from the compressed index.</w:t>
      </w:r>
      <w:r>
        <w:t xml:space="preserve"> </w:t>
      </w:r>
      <w:r>
        <w:t xml:space="preserve">This measures retrieval quality.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Compression ratio:</w:t>
      </w:r>
      <w:r>
        <w:t xml:space="preserve"> </w:t>
      </w:r>
      <m:oMath>
        <m:r>
          <m:t>ρ</m:t>
        </m:r>
        <m:r>
          <m:rPr>
            <m:sty m:val="p"/>
          </m:rPr>
          <m:t>=</m:t>
        </m:r>
      </m:oMath>
      <w:r>
        <w:t xml:space="preserve"> </w:t>
      </w:r>
      <w:r>
        <w:t xml:space="preserve">(original size) / (compressed size) in bytes.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Throughput:</w:t>
      </w:r>
      <w:r>
        <w:t xml:space="preserve"> </w:t>
      </w:r>
      <w:r>
        <w:t xml:space="preserve">Vectors compressed per second and queries answered per second.</w:t>
      </w:r>
    </w:p>
    <w:bookmarkEnd w:id="25"/>
    <w:bookmarkStart w:id="26" w:name="baselines"/>
    <w:p>
      <w:pPr>
        <w:pStyle w:val="Heading2"/>
      </w:pPr>
      <w:r>
        <w:t xml:space="preserve">Baselines</w:t>
      </w:r>
    </w:p>
    <w:p>
      <w:pPr>
        <w:pStyle w:val="FirstParagraph"/>
      </w:pPr>
      <w:r>
        <w:t xml:space="preserve">We compare 15 compression configurations spanning five method families: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Naı̈ve truncation:</w:t>
      </w:r>
      <w:r>
        <w:t xml:space="preserve"> </w:t>
      </w:r>
      <w:r>
        <w:t xml:space="preserve">Drop trailing dimensions (dims 128, 256, 384, 512).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PCA-Matryoshka:</w:t>
      </w:r>
      <w:r>
        <w:t xml:space="preserve"> </w:t>
      </w:r>
      <w:r>
        <w:t xml:space="preserve">PCA rotation + truncation (dims 128, 256, 384, 512).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Scalar quantization:</w:t>
      </w:r>
      <w:r>
        <w:t xml:space="preserve"> </w:t>
      </w:r>
      <w:r>
        <w:t xml:space="preserve">int8 (4</w:t>
      </w:r>
      <m:oMath>
        <m:r>
          <m:rPr>
            <m:sty m:val="p"/>
          </m:rPr>
          <m:t>×</m:t>
        </m:r>
      </m:oMath>
      <w:r>
        <w:t xml:space="preserve">), int4 (8</w:t>
      </w:r>
      <m:oMath>
        <m:r>
          <m:rPr>
            <m:sty m:val="p"/>
          </m:rPr>
          <m:t>×</m:t>
        </m:r>
      </m:oMath>
      <w:r>
        <w:t xml:space="preserve">).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TurboQuant:</w:t>
      </w:r>
      <w:r>
        <w:t xml:space="preserve"> </w:t>
      </w:r>
      <w:r>
        <w:t xml:space="preserve"> </w:t>
      </w:r>
      <w:r>
        <w:t xml:space="preserve">3-bit (10.6</w:t>
      </w:r>
      <m:oMath>
        <m:r>
          <m:rPr>
            <m:sty m:val="p"/>
          </m:rPr>
          <m:t>×</m:t>
        </m:r>
      </m:oMath>
      <w:r>
        <w:t xml:space="preserve">).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PCA-Matryoshka + TurboQuant 3-bit:</w:t>
      </w:r>
      <w:r>
        <w:t xml:space="preserve"> </w:t>
      </w:r>
      <w:r>
        <w:t xml:space="preserve">Combined (dims 128, 256, 384, 512).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Binary quantization:</w:t>
      </w:r>
      <w:r>
        <w:t xml:space="preserve"> </w:t>
      </w:r>
      <w:r>
        <w:t xml:space="preserve">1-bit per dimension (32</w:t>
      </w:r>
      <m:oMath>
        <m:r>
          <m:rPr>
            <m:sty m:val="p"/>
          </m:rPr>
          <m:t>×</m:t>
        </m:r>
      </m:oMath>
      <w:r>
        <w:t xml:space="preserve">).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Product quantization:</w:t>
      </w:r>
      <w:r>
        <w:t xml:space="preserve"> </w:t>
      </w:r>
      <m:oMath>
        <m:r>
          <m:t>M</m:t>
        </m:r>
        <m:r>
          <m:rPr>
            <m:sty m:val="p"/>
          </m:rPr>
          <m:t>=</m:t>
        </m:r>
        <m:r>
          <m:t>16</m:t>
        </m:r>
      </m:oMath>
      <w:r>
        <w:t xml:space="preserve"> </w:t>
      </w:r>
      <w:r>
        <w:t xml:space="preserve">subspaces,</w:t>
      </w:r>
      <w:r>
        <w:t xml:space="preserve"> </w:t>
      </w:r>
      <m:oMath>
        <m:r>
          <m:t>K</m:t>
        </m:r>
        <m:r>
          <m:rPr>
            <m:sty m:val="p"/>
          </m:rPr>
          <m:t>=</m:t>
        </m:r>
        <m:r>
          <m:t>256</m:t>
        </m:r>
      </m:oMath>
      <w:r>
        <w:t xml:space="preserve"> </w:t>
      </w:r>
      <w:r>
        <w:t xml:space="preserve">centroids (256</w:t>
      </w:r>
      <m:oMath>
        <m:r>
          <m:rPr>
            <m:sty m:val="p"/>
          </m:rPr>
          <m:t>×</m:t>
        </m:r>
      </m:oMath>
      <w:r>
        <w:t xml:space="preserve">).</w:t>
      </w:r>
    </w:p>
    <w:bookmarkEnd w:id="26"/>
    <w:bookmarkEnd w:id="27"/>
    <w:bookmarkStart w:id="57" w:name="sec:results"/>
    <w:p>
      <w:pPr>
        <w:pStyle w:val="Heading1"/>
      </w:pPr>
      <w:r>
        <w:t xml:space="preserve">Results</w:t>
      </w:r>
    </w:p>
    <w:bookmarkStart w:id="33" w:name="sec:pca_vs_naive"/>
    <w:p>
      <w:pPr>
        <w:pStyle w:val="Heading2"/>
      </w:pPr>
      <w:r>
        <w:t xml:space="preserve">PCA vs. Naı̈ve Truncation</w:t>
      </w:r>
    </w:p>
    <w:p>
      <w:pPr>
        <w:pStyle w:val="FirstParagraph"/>
      </w:pPr>
      <w:r>
        <w:t xml:space="preserve">Table </w:t>
      </w:r>
      <w:hyperlink w:anchor="tab:pca_vs_naive">
        <w:r>
          <w:rPr>
            <w:rStyle w:val="Hyperlink"/>
          </w:rPr>
          <w:t xml:space="preserve">1</w:t>
        </w:r>
      </w:hyperlink>
      <w:r>
        <w:t xml:space="preserve"> </w:t>
      </w:r>
      <w:r>
        <w:t xml:space="preserve">presents the central result.</w:t>
      </w:r>
      <w:r>
        <w:t xml:space="preserve"> </w:t>
      </w:r>
      <w:r>
        <w:t xml:space="preserve">Naı̈ve truncation of BGE-M3 embeddings is catastrophic: at 256 dimensions, cosine similarity drops to 0.467, and at 128 dimensions to 0.333.</w:t>
      </w:r>
      <w:r>
        <w:t xml:space="preserve"> </w:t>
      </w:r>
      <w:r>
        <w:t xml:space="preserve">PCA-Matryoshka rotation before truncation transforms these results entirely.</w:t>
      </w:r>
    </w:p>
    <w:bookmarkStart w:id="28" w:name="tab:pca_vs_naive"/>
    <w:p>
      <w:pPr>
        <w:pStyle w:val="TableCaption"/>
      </w:pPr>
      <w:r>
        <w:t xml:space="preserve">Cosine similarity after dimension truncation: naı̈ve (standard basis) vs. PCA-Matryoshka (principal component basis). All results on 10K BGE-M3 1024-dim embeddings.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Cosine similarity after dimension truncation: naı̈ve (standard basis) vs. PCA-Matryoshka (principal component basis). All results on 10K BGE-M3 1024-dim embeddings.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Dims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Naı̈ve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PCA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Improvement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Var. Expl.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0.707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0.996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+40.9%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98.6%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384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0.609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+62.6%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96.4%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256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0.467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0.974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+108.6%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89.7%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128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0.333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0.933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+180.2%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75.8%</w:t>
            </w:r>
          </w:p>
        </w:tc>
      </w:tr>
    </w:tbl>
    <w:bookmarkEnd w:id="28"/>
    <w:p>
      <w:pPr>
        <w:pStyle w:val="BodyText"/>
      </w:pPr>
      <w:r>
        <w:t xml:space="preserve">At every truncation level, PCA-Matryoshka recovers cosine similarities above 0.93, while naı̈ve truncation is below 0.71.</w:t>
      </w:r>
      <w:r>
        <w:t xml:space="preserve"> </w:t>
      </w:r>
      <w:r>
        <w:t xml:space="preserve">The improvement is most dramatic at aggressive truncation: at 128 dimensions (8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dimension reduction), PCA achieves 0.933 cosine similarity, a 180% improvement over the 0.333 of naı̈ve truncation.</w:t>
      </w:r>
    </w:p>
    <w:bookmarkStart w:id="32" w:name="fig:eigenspectrum"/>
    <w:p>
      <w:pPr>
        <w:pStyle w:val="CaptionedFigure"/>
      </w:pPr>
      <w:r>
        <w:drawing>
          <wp:inline>
            <wp:extent cx="3302000" cy="2120900"/>
            <wp:effectExtent b="0" l="0" r="0" t="0"/>
            <wp:docPr descr="" title="" id="30" name="Picture"/>
            <a:graphic>
              <a:graphicData uri="http://schemas.openxmlformats.org/drawingml/2006/picture">
                <pic:pic>
                  <pic:nvPicPr>
                    <pic:cNvPr descr="fig_eigenspectrum.pdf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Cumulative variance explained as a function of retained dimensions for BGE-M3 embeddings. The eigenvalue spectrum decays rapidly: 256 principal components capture 89.7% of variance, while 256 standard-basis dimensions capture only</w:t>
      </w:r>
      <w:r>
        <w:t xml:space="preserve"> </w:t>
      </w:r>
      <m:oMath>
        <m:r>
          <m:rPr>
            <m:sty m:val="p"/>
          </m:rPr>
          <m:t>∼</m:t>
        </m:r>
      </m:oMath>
      <w:r>
        <w:t xml:space="preserve">25%. This gap explains why PCA rotation enables effective truncation.</w:t>
      </w:r>
    </w:p>
    <w:bookmarkEnd w:id="32"/>
    <w:bookmarkEnd w:id="33"/>
    <w:bookmarkStart w:id="38" w:name="eigenvalue-spectrum-analysis"/>
    <w:p>
      <w:pPr>
        <w:pStyle w:val="Heading2"/>
      </w:pPr>
      <w:r>
        <w:t xml:space="preserve">Eigenvalue Spectrum Analysis</w:t>
      </w:r>
    </w:p>
    <w:p>
      <w:pPr>
        <w:pStyle w:val="FirstParagraph"/>
      </w:pPr>
      <w:r>
        <w:t xml:space="preserve">Fig. </w:t>
      </w:r>
      <w:hyperlink w:anchor="fig:eigenspectrum">
        <w:r>
          <w:rPr>
            <w:rStyle w:val="Hyperlink"/>
          </w:rPr>
          <w:t xml:space="preserve">1</w:t>
        </w:r>
      </w:hyperlink>
      <w:r>
        <w:t xml:space="preserve"> </w:t>
      </w:r>
      <w:r>
        <w:t xml:space="preserve">shows the cumulative variance explained by the first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dimensions under the PCA basis versus the standard basis.</w:t>
      </w:r>
      <w:r>
        <w:t xml:space="preserve"> </w:t>
      </w:r>
      <w:r>
        <w:t xml:space="preserve">The eigenvalue spectrum of BGE-M3 decays rapidly: the first 128 components explain 75.8% of variance, the first 256 explain 89.7%, and the first 384 explain 96.4%.</w:t>
      </w:r>
      <w:r>
        <w:t xml:space="preserve"> </w:t>
      </w:r>
      <w:r>
        <w:t xml:space="preserve">Under the standard basis, variance is approximately uniformly distributed, with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dimensions explaining roughly</w:t>
      </w:r>
      <w:r>
        <w:t xml:space="preserve"> </w:t>
      </w:r>
      <m:oMath>
        <m:r>
          <m:t>k</m:t>
        </m:r>
        <m:r>
          <m:rPr>
            <m:sty m:val="p"/>
          </m:rPr>
          <m:t>/</m:t>
        </m:r>
        <m:r>
          <m:t>d</m:t>
        </m:r>
      </m:oMath>
      <w:r>
        <w:t xml:space="preserve"> </w:t>
      </w:r>
      <w:r>
        <w:t xml:space="preserve">of the total.</w:t>
      </w:r>
    </w:p>
    <w:p>
      <w:pPr>
        <w:pStyle w:val="BodyText"/>
      </w:pPr>
      <w:r>
        <w:t xml:space="preserve">This sharp eigenvalue decay is not unique to BGE-M3.</w:t>
      </w:r>
      <w:r>
        <w:t xml:space="preserve"> </w:t>
      </w:r>
      <w:r>
        <w:t xml:space="preserve">It reflects a fundamental property of learned embeddings: the effective dimensionality of the representation is much lower than the nominal dimensionality.</w:t>
      </w:r>
      <w:r>
        <w:t xml:space="preserve"> </w:t>
      </w:r>
      <w:r>
        <w:t xml:space="preserve">Models use high-dimensional spaces for representational capacity during training, but the learned manifold occupies a lower-dimensional subspace.</w:t>
      </w:r>
    </w:p>
    <w:bookmarkStart w:id="37" w:name="fig:cosine_comparison"/>
    <w:p>
      <w:pPr>
        <w:pStyle w:val="CaptionedFigure"/>
      </w:pPr>
      <w:r>
        <w:drawing>
          <wp:inline>
            <wp:extent cx="3314700" cy="2120900"/>
            <wp:effectExtent b="0" l="0" r="0" t="0"/>
            <wp:docPr descr="" title="" id="35" name="Picture"/>
            <a:graphic>
              <a:graphicData uri="http://schemas.openxmlformats.org/drawingml/2006/picture">
                <pic:pic>
                  <pic:nvPicPr>
                    <pic:cNvPr descr="fig_cosine_comparison.pdf" id="36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Cosine similarity vs. retained dimensions for naı̈ve truncation and PCA-Matryoshka. PCA-Matryoshka maintains cosine similarity above 0.93 even at 128 dimensions (8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reduction), while naı̈ve truncation degrades to 0.333.</w:t>
      </w:r>
    </w:p>
    <w:bookmarkEnd w:id="37"/>
    <w:bookmarkEnd w:id="38"/>
    <w:bookmarkStart w:id="40" w:name="combined-compression-pipeline"/>
    <w:p>
      <w:pPr>
        <w:pStyle w:val="Heading2"/>
      </w:pPr>
      <w:r>
        <w:t xml:space="preserve">Combined Compression Pipeline</w:t>
      </w:r>
    </w:p>
    <w:p>
      <w:pPr>
        <w:pStyle w:val="FirstParagraph"/>
      </w:pPr>
      <w:r>
        <w:t xml:space="preserve">Table </w:t>
      </w:r>
      <w:hyperlink w:anchor="tab:combined">
        <w:r>
          <w:rPr>
            <w:rStyle w:val="Hyperlink"/>
          </w:rPr>
          <w:t xml:space="preserve">2</w:t>
        </w:r>
      </w:hyperlink>
      <w:r>
        <w:t xml:space="preserve"> </w:t>
      </w:r>
      <w:r>
        <w:t xml:space="preserve">shows the results of combining PCA-Matryoshka with TurboQuant 3-bit quantization.</w:t>
      </w:r>
    </w:p>
    <w:bookmarkStart w:id="39" w:name="tab:combined"/>
    <w:p>
      <w:pPr>
        <w:pStyle w:val="TableCaption"/>
      </w:pPr>
      <w:r>
        <w:t xml:space="preserve">PCA-Matryoshka combined with TurboQuant 3-bit quantization. Compression ratio is computed relative to the original 1024-dim float32 representation.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PCA-Matryoshka combined with TurboQuant 3-bit quantization. Compression ratio is computed relative to the original 1024-dim float32 representation.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Method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Ratio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Cosine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Recall@10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PCA-128 + TQ3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78.8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0.923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73.0%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PCA-256 + TQ3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41.0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0.963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78.2%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PCA-384 + TQ3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27.7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0.979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76.4%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PCA-512 + TQ3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20.9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0.984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78.0%</w:t>
            </w:r>
          </w:p>
        </w:tc>
      </w:tr>
    </w:tbl>
    <w:bookmarkEnd w:id="39"/>
    <w:p>
      <w:pPr>
        <w:pStyle w:val="BodyText"/>
      </w:pPr>
      <w:r>
        <w:t xml:space="preserve">The PCA-384 + TQ3 configuration achieves 27.7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 at 0.979 cosine similarity.</w:t>
      </w:r>
      <w:r>
        <w:t xml:space="preserve"> </w:t>
      </w:r>
      <w:r>
        <w:t xml:space="preserve">This is a remarkable result: it matches the cosine similarity of standalone TurboQuant 3-bit (which achieves 0.978 at only 10.6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compression), while compressing 2.6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further.</w:t>
      </w:r>
      <w:r>
        <w:t xml:space="preserve"> </w:t>
      </w:r>
      <w:r>
        <w:t xml:space="preserve">The recall@10 of 76.4% is lower than TurboQuant alone (83.8%), reflecting the information loss from dimension reduction, but remains practical for many retrieval applications.</w:t>
      </w:r>
    </w:p>
    <w:bookmarkEnd w:id="40"/>
    <w:bookmarkStart w:id="50" w:name="comprehensive-comparison"/>
    <w:p>
      <w:pPr>
        <w:pStyle w:val="Heading2"/>
      </w:pPr>
      <w:r>
        <w:t xml:space="preserve">Comprehensive Comparison</w:t>
      </w:r>
    </w:p>
    <w:p>
      <w:pPr>
        <w:pStyle w:val="FirstParagraph"/>
      </w:pPr>
      <w:r>
        <w:t xml:space="preserve">Table </w:t>
      </w:r>
      <w:hyperlink w:anchor="tab:all_methods">
        <w:r>
          <w:rPr>
            <w:rStyle w:val="Hyperlink"/>
          </w:rPr>
          <w:t xml:space="preserve">3</w:t>
        </w:r>
      </w:hyperlink>
      <w:r>
        <w:t xml:space="preserve"> </w:t>
      </w:r>
      <w:r>
        <w:t xml:space="preserve">presents the full comparison across all 15 methods.</w:t>
      </w:r>
    </w:p>
    <w:bookmarkStart w:id="41" w:name="tab:all_methods"/>
    <w:p>
      <w:pPr>
        <w:pStyle w:val="TableCaption"/>
      </w:pPr>
      <w:r>
        <w:t xml:space="preserve">Comprehensive comparison of embedding compression methods on 10K BGE-M3 embeddings. Methods are ordered by compression ratio.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Comprehensive comparison of embedding compression methods on 10K BGE-M3 embeddings. Methods are ordered by compression ratio.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Method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Ratio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Cosine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Recall@10</w:t>
            </w:r>
          </w:p>
        </w:tc>
      </w:tr>
      <w:tr>
        <w:tc>
          <w:tcPr>
            <w:gridSpan w:val="4"/>
          </w:tcPr>
          <w:p>
            <w:pPr>
              <w:pStyle w:val="Compact"/>
              <w:jc w:val="left"/>
            </w:pPr>
            <w:r>
              <w:rPr>
                <w:i/>
                <w:iCs/>
              </w:rPr>
              <w:t xml:space="preserve">Low compression (high quality)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Scalar int8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0.9999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97.2%</w:t>
            </w:r>
          </w:p>
        </w:tc>
      </w:tr>
      <w:tr>
        <w:tc>
          <w:tcPr>
            <w:gridSpan w:val="4"/>
          </w:tcPr>
          <w:p>
            <w:pPr>
              <w:pStyle w:val="Compact"/>
              <w:jc w:val="left"/>
            </w:pPr>
            <w:r>
              <w:rPr>
                <w:i/>
                <w:iCs/>
              </w:rPr>
              <w:t xml:space="preserve">Medium compression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Scalar int4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0.993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90.4%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TurboQuant 3-bit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10.6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0.978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83.8%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PCA-512 + TQ3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20.9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0.984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78.0%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PCA-384 + TQ3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27.7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0.979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76.4%</w:t>
            </w:r>
          </w:p>
        </w:tc>
      </w:tr>
      <w:tr>
        <w:tc>
          <w:tcPr>
            <w:gridSpan w:val="4"/>
          </w:tcPr>
          <w:p>
            <w:pPr>
              <w:pStyle w:val="Compact"/>
              <w:jc w:val="left"/>
            </w:pPr>
            <w:r>
              <w:rPr>
                <w:i/>
                <w:iCs/>
              </w:rPr>
              <w:t xml:space="preserve">High compression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Binary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32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0.758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66.6%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PCA-256 + TQ3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41.0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0.963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78.2%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PCA-128 + TQ3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78.8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0.923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73.0%</w:t>
            </w:r>
          </w:p>
        </w:tc>
      </w:tr>
      <w:tr>
        <w:tc>
          <w:tcPr>
            <w:gridSpan w:val="4"/>
          </w:tcPr>
          <w:p>
            <w:pPr>
              <w:pStyle w:val="Compact"/>
              <w:jc w:val="left"/>
            </w:pPr>
            <w:r>
              <w:rPr>
                <w:i/>
                <w:iCs/>
              </w:rPr>
              <w:t xml:space="preserve">Extreme compression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PQ (</w:t>
            </w:r>
            <m:oMath>
              <m:r>
                <m:t>M</m:t>
              </m:r>
              <m:r>
                <m:t>​</m:t>
              </m:r>
              <m:r>
                <m:rPr>
                  <m:sty m:val="p"/>
                </m:rPr>
                <m:t>=</m:t>
              </m:r>
              <m:r>
                <m:t>​</m:t>
              </m:r>
              <m:r>
                <m:t>16</m:t>
              </m:r>
            </m:oMath>
            <w:r>
              <w:t xml:space="preserve">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256</w:t>
            </w:r>
            <m:oMath>
              <m:r>
                <m:rPr>
                  <m:sty m:val="p"/>
                </m:rPr>
                <m:t>×</m:t>
              </m:r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0.810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41.4%</w:t>
            </w:r>
          </w:p>
        </w:tc>
      </w:tr>
    </w:tbl>
    <w:bookmarkEnd w:id="41"/>
    <w:p>
      <w:pPr>
        <w:pStyle w:val="BodyText"/>
      </w:pPr>
      <w:r>
        <w:t xml:space="preserve">Several findings stand out:</w:t>
      </w:r>
    </w:p>
    <w:p>
      <w:pPr>
        <w:numPr>
          <w:ilvl w:val="0"/>
          <w:numId w:val="1006"/>
        </w:numPr>
      </w:pPr>
      <w:r>
        <w:t xml:space="preserve">PCA-256 + TQ3 at 41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 achieves</w:t>
      </w:r>
      <w:r>
        <w:t xml:space="preserve"> </w:t>
      </w:r>
      <w:r>
        <w:rPr>
          <w:i/>
          <w:iCs/>
        </w:rPr>
        <w:t xml:space="preserve">higher</w:t>
      </w:r>
      <w:r>
        <w:t xml:space="preserve"> </w:t>
      </w:r>
      <w:r>
        <w:t xml:space="preserve">cosine similarity (0.963) and</w:t>
      </w:r>
      <w:r>
        <w:t xml:space="preserve"> </w:t>
      </w:r>
      <w:r>
        <w:rPr>
          <w:i/>
          <w:iCs/>
        </w:rPr>
        <w:t xml:space="preserve">higher</w:t>
      </w:r>
      <w:r>
        <w:t xml:space="preserve"> </w:t>
      </w:r>
      <w:r>
        <w:t xml:space="preserve">recall@10 (78.2%) than binary quantization at 32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 (0.758 cosine, 66.6% recall).</w:t>
      </w:r>
      <w:r>
        <w:t xml:space="preserve"> </w:t>
      </w:r>
      <w:r>
        <w:t xml:space="preserve">This makes binary quantization strictly dominated.</w:t>
      </w:r>
    </w:p>
    <w:p>
      <w:pPr>
        <w:numPr>
          <w:ilvl w:val="0"/>
          <w:numId w:val="1006"/>
        </w:numPr>
      </w:pPr>
      <w:r>
        <w:t xml:space="preserve">PCA-384 + TQ3 at 27.7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matches TurboQuant’s cosine similarity (0.979 vs. 0.978) at 2.6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higher compression, though with a recall@10 trade-off (76.4% vs. 83.8%).</w:t>
      </w:r>
    </w:p>
    <w:p>
      <w:pPr>
        <w:numPr>
          <w:ilvl w:val="0"/>
          <w:numId w:val="1006"/>
        </w:numPr>
      </w:pPr>
      <w:r>
        <w:t xml:space="preserve">Product quantization at 256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achieves only 0.810 cosine and 41.4% recall—lower quality than PCA-128 + TQ3 at only 78.8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compression.</w:t>
      </w:r>
      <w:r>
        <w:t xml:space="preserve"> </w:t>
      </w:r>
      <w:r>
        <w:t xml:space="preserve">PCA-Matryoshka + TQ3 strictly dominates PQ across the practical compression range.</w:t>
      </w:r>
    </w:p>
    <w:bookmarkStart w:id="45" w:name="fig:recall_comparison"/>
    <w:p>
      <w:pPr>
        <w:pStyle w:val="CaptionedFigure"/>
      </w:pPr>
      <w:r>
        <w:drawing>
          <wp:inline>
            <wp:extent cx="3314700" cy="2400300"/>
            <wp:effectExtent b="0" l="0" r="0" t="0"/>
            <wp:docPr descr="" title="" id="43" name="Picture"/>
            <a:graphic>
              <a:graphicData uri="http://schemas.openxmlformats.org/drawingml/2006/picture">
                <pic:pic>
                  <pic:nvPicPr>
                    <pic:cNvPr descr="fig_recall_comparison.pdf" id="44" name="Picture"/>
                    <pic:cNvPicPr>
                      <a:picLocks noChangeArrowheads="1"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Recall@10 across all compression methods, ordered by compression ratio. PCA-Matryoshka + TQ3 variants (blue) occupy the gap between scalar quantization and binary/PQ methods, offering practical recall at much higher compression ratios.</w:t>
      </w:r>
    </w:p>
    <w:bookmarkEnd w:id="45"/>
    <w:bookmarkStart w:id="49" w:name="fig:pareto"/>
    <w:p>
      <w:pPr>
        <w:pStyle w:val="CaptionedFigure"/>
      </w:pPr>
      <w:r>
        <w:drawing>
          <wp:inline>
            <wp:extent cx="3314700" cy="2413000"/>
            <wp:effectExtent b="0" l="0" r="0" t="0"/>
            <wp:docPr descr="" title="" id="47" name="Picture"/>
            <a:graphic>
              <a:graphicData uri="http://schemas.openxmlformats.org/drawingml/2006/picture">
                <pic:pic>
                  <pic:nvPicPr>
                    <pic:cNvPr descr="fig_pareto_frontier.pdf" id="48" name="Picture"/>
                    <pic:cNvPicPr>
                      <a:picLocks noChangeArrowheads="1"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24130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Compression ratio vs. cosine similarity Pareto frontier. Each point represents a compression method. The Pareto-optimal frontier (connected line) includes scalar int8, TurboQuant 3-bit, PCA-384+TQ3, PCA-256+TQ3, and PCA-128+TQ3. Binary quantization and product quantization fall below the frontier.</w:t>
      </w:r>
    </w:p>
    <w:bookmarkEnd w:id="49"/>
    <w:bookmarkEnd w:id="50"/>
    <w:bookmarkStart w:id="52" w:name="sec:scaling"/>
    <w:p>
      <w:pPr>
        <w:pStyle w:val="Heading2"/>
      </w:pPr>
      <w:r>
        <w:t xml:space="preserve">Scaling Behavior</w:t>
      </w:r>
    </w:p>
    <w:p>
      <w:pPr>
        <w:pStyle w:val="FirstParagraph"/>
      </w:pPr>
      <w:r>
        <w:t xml:space="preserve">To assess whether PCA-Matryoshka quality holds at scale, we evaluated at three corpus sizes: 10K, 100K, and 2.4M vectors, with PCA fitted on each respective corpus.</w:t>
      </w:r>
    </w:p>
    <w:bookmarkStart w:id="51" w:name="tab:scaling"/>
    <w:p>
      <w:pPr>
        <w:pStyle w:val="TableCaption"/>
      </w:pPr>
      <w:r>
        <w:t xml:space="preserve">PCA-Matryoshka (384 dims) quality at different corpus scales. PCA fitted on the full corpus at each scale.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PCA-Matryoshka (384 dims) quality at different corpus scales. PCA fitted on the full corpus at each scale.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Corpus size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Cosine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Recall@10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Var. Expl.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87.2%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96.4%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100K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0.988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86.0%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95.8%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2.4M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0.987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85.4%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95.5%</w:t>
            </w:r>
          </w:p>
        </w:tc>
      </w:tr>
    </w:tbl>
    <w:bookmarkEnd w:id="51"/>
    <w:p>
      <w:pPr>
        <w:pStyle w:val="BodyText"/>
      </w:pPr>
      <w:r>
        <w:t xml:space="preserve">Quality degrades gracefully with scale: cosine similarity drops by only 0.003 from 10K to 2.4M vectors.</w:t>
      </w:r>
      <w:r>
        <w:t xml:space="preserve"> </w:t>
      </w:r>
      <w:r>
        <w:t xml:space="preserve">This is expected, as larger corpora span a wider region of the embedding manifold, but the intrinsic dimensionality does not increase proportionally.</w:t>
      </w:r>
    </w:p>
    <w:bookmarkEnd w:id="52"/>
    <w:bookmarkStart w:id="54" w:name="throughput"/>
    <w:p>
      <w:pPr>
        <w:pStyle w:val="Heading2"/>
      </w:pPr>
      <w:r>
        <w:t xml:space="preserve">Throughput</w:t>
      </w:r>
    </w:p>
    <w:bookmarkStart w:id="53" w:name="tab:throughput"/>
    <w:p>
      <w:pPr>
        <w:pStyle w:val="TableCaption"/>
      </w:pPr>
      <w:r>
        <w:t xml:space="preserve">Compression and search throughput.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Compression and search throughput.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Method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Compress (vec/s)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Search (QPS)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PCA-384 (CPU)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185K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PCA-384 (GPU)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2.1M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TQ3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450K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PCA-384 + TQ3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165K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Full float32 search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PCA-384 float32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295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PCA-384 + TQ3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1,840</w:t>
            </w:r>
          </w:p>
        </w:tc>
      </w:tr>
    </w:tbl>
    <w:bookmarkEnd w:id="53"/>
    <w:p>
      <w:pPr>
        <w:pStyle w:val="BodyText"/>
      </w:pPr>
      <w:r>
        <w:t xml:space="preserve">The PCA rotation is the bottleneck in the compression pipeline, but at 185K vectors/second on CPU (or 2.1M on GPU), it is fast enough for batch processing.</w:t>
      </w:r>
      <w:r>
        <w:t xml:space="preserve"> </w:t>
      </w:r>
      <w:r>
        <w:t xml:space="preserve">The search speedup is the primary benefit: PCA-384 + TQ3 achieves 1,840 queries per second, a 13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improvement over full float32 search, due to both the reduced dimension (fewer distance computations) and the compact representation (better cache utilization).</w:t>
      </w:r>
    </w:p>
    <w:bookmarkEnd w:id="54"/>
    <w:bookmarkStart w:id="56" w:name="sec:ablation"/>
    <w:p>
      <w:pPr>
        <w:pStyle w:val="Heading2"/>
      </w:pPr>
      <w:r>
        <w:t xml:space="preserve">Ablation: PCA Training Set Size</w:t>
      </w:r>
    </w:p>
    <w:p>
      <w:pPr>
        <w:pStyle w:val="FirstParagraph"/>
      </w:pPr>
      <w:r>
        <w:t xml:space="preserve">A practical question is how many vectors are needed to estimate a good PCA basis.</w:t>
      </w:r>
      <w:r>
        <w:t xml:space="preserve"> </w:t>
      </w:r>
      <w:r>
        <w:t xml:space="preserve">We fit PCA on random subsets of varying size and evaluate PCA-384 truncation quality on a held-out test set.</w:t>
      </w:r>
    </w:p>
    <w:bookmarkStart w:id="55" w:name="tab:pca_size"/>
    <w:p>
      <w:pPr>
        <w:pStyle w:val="TableCaption"/>
      </w:pPr>
      <w:r>
        <w:t xml:space="preserve">Effect of PCA training set size on PCA-384 truncation quality (cosine similarity on held-out test set).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Effect of PCA training set size on PCA-384 truncation quality (cosine similarity on held-out test set).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rPr>
                <w:b/>
                <w:bCs/>
              </w:rPr>
              <w:t xml:space="preserve">Training set size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Cosine</w:t>
            </w:r>
          </w:p>
        </w:tc>
        <w:tc>
          <w:tcPr/>
          <w:p>
            <w:pPr>
              <w:pStyle w:val="Compact"/>
              <w:jc w:val="center"/>
            </w:pPr>
            <m:oMath>
              <m:r>
                <m:rPr>
                  <m:sty m:val="p"/>
                </m:rPr>
                <m:t>Δ</m:t>
              </m:r>
            </m:oMath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vs. Full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0.984</w:t>
            </w:r>
          </w:p>
        </w:tc>
        <w:tc>
          <w:tcPr/>
          <w:p>
            <w:pPr>
              <w:pStyle w:val="Compact"/>
              <w:jc w:val="center"/>
            </w:pPr>
            <m:oMath>
              <m:r>
                <m:rPr>
                  <m:sty m:val="p"/>
                </m:rPr>
                <m:t>−</m:t>
              </m:r>
            </m:oMath>
            <w:r>
              <w:t xml:space="preserve">0.006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0.988</w:t>
            </w:r>
          </w:p>
        </w:tc>
        <w:tc>
          <w:tcPr/>
          <w:p>
            <w:pPr>
              <w:pStyle w:val="Compact"/>
              <w:jc w:val="center"/>
            </w:pPr>
            <m:oMath>
              <m:r>
                <m:rPr>
                  <m:sty m:val="p"/>
                </m:rPr>
                <m:t>−</m:t>
              </m:r>
            </m:oMath>
            <w:r>
              <w:t xml:space="preserve">0.002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10K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0.989</w:t>
            </w:r>
          </w:p>
        </w:tc>
        <w:tc>
          <w:tcPr/>
          <w:p>
            <w:pPr>
              <w:pStyle w:val="Compact"/>
              <w:jc w:val="center"/>
            </w:pPr>
            <m:oMath>
              <m:r>
                <m:rPr>
                  <m:sty m:val="p"/>
                </m:rPr>
                <m:t>−</m:t>
              </m:r>
            </m:oMath>
            <w:r>
              <w:t xml:space="preserve">0.001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50K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0.990</w:t>
            </w:r>
          </w:p>
        </w:tc>
        <w:tc>
          <w:tcPr/>
          <w:p>
            <w:pPr>
              <w:pStyle w:val="Compact"/>
              <w:jc w:val="center"/>
            </w:pPr>
            <m:oMath>
              <m:r>
                <m:rPr>
                  <m:sty m:val="p"/>
                </m:rPr>
                <m:t>−</m:t>
              </m:r>
            </m:oMath>
            <w:r>
              <w:t xml:space="preserve">0.000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Full (2.4M)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—</w:t>
            </w:r>
          </w:p>
        </w:tc>
      </w:tr>
    </w:tbl>
    <w:bookmarkEnd w:id="55"/>
    <w:p>
      <w:pPr>
        <w:pStyle w:val="BodyText"/>
      </w:pPr>
      <w:r>
        <w:t xml:space="preserve">The PCA basis converges rapidly: 5K vectors suffice to achieve within 0.002 of the full-corpus result, and 10K vectors close the gap to 0.001.</w:t>
      </w:r>
      <w:r>
        <w:t xml:space="preserve"> </w:t>
      </w:r>
      <w:r>
        <w:t xml:space="preserve">This has important practical implications: the PCA rotation matrix can be computed from a small sample, making PCA-Matryoshka viable even when the full corpus is too large to fit in memory.</w:t>
      </w:r>
    </w:p>
    <w:bookmarkEnd w:id="56"/>
    <w:bookmarkEnd w:id="57"/>
    <w:bookmarkStart w:id="61" w:name="sec:analysis"/>
    <w:p>
      <w:pPr>
        <w:pStyle w:val="Heading1"/>
      </w:pPr>
      <w:r>
        <w:t xml:space="preserve">Analysis</w:t>
      </w:r>
    </w:p>
    <w:bookmarkStart w:id="58" w:name="why-pca-matryoshka-works"/>
    <w:p>
      <w:pPr>
        <w:pStyle w:val="Heading2"/>
      </w:pPr>
      <w:r>
        <w:t xml:space="preserve">Why PCA-Matryoshka Works</w:t>
      </w:r>
    </w:p>
    <w:p>
      <w:pPr>
        <w:pStyle w:val="FirstParagraph"/>
      </w:pPr>
      <w:r>
        <w:t xml:space="preserve">The effectiveness of PCA-Matryoshka rests on two observations:</w:t>
      </w:r>
    </w:p>
    <w:p>
      <w:pPr>
        <w:pStyle w:val="BodyText"/>
      </w:pPr>
      <w:r>
        <w:rPr>
          <w:b/>
          <w:bCs/>
        </w:rPr>
        <w:t xml:space="preserve">Observation 1: Learned embeddings are approximately low-rank.</w:t>
      </w:r>
      <w:r>
        <w:t xml:space="preserve"> </w:t>
      </w:r>
      <w:r>
        <w:t xml:space="preserve">Despite using</w:t>
      </w:r>
      <w:r>
        <w:t xml:space="preserve"> </w:t>
      </w:r>
      <m:oMath>
        <m:r>
          <m:t>d</m:t>
        </m:r>
        <m:r>
          <m:rPr>
            <m:sty m:val="p"/>
          </m:rPr>
          <m:t>=</m:t>
        </m:r>
        <m:r>
          <m:t>1024</m:t>
        </m:r>
      </m:oMath>
      <w:r>
        <w:t xml:space="preserve"> </w:t>
      </w:r>
      <w:r>
        <w:t xml:space="preserve">dimensions, BGE-M3 embeddings have an effective dimensionality far below 1024.</w:t>
      </w:r>
      <w:r>
        <w:t xml:space="preserve"> </w:t>
      </w:r>
      <w:r>
        <w:t xml:space="preserve">The top 384 eigenvalues account for 96.4% of the variance, and the eigenvalue spectrum decays approximately as a power law:</w:t>
      </w:r>
      <w:r>
        <w:t xml:space="preserve"> </w:t>
      </w:r>
      <m:oMath>
        <m:sSub>
          <m:e>
            <m:r>
              <m:t>λ</m:t>
            </m:r>
          </m:e>
          <m:sub>
            <m:r>
              <m:t>k</m:t>
            </m:r>
          </m:sub>
        </m:sSub>
        <m:r>
          <m:rPr>
            <m:sty m:val="p"/>
          </m:rPr>
          <m:t>∝</m:t>
        </m:r>
        <m:sSup>
          <m:e>
            <m:r>
              <m:t>k</m:t>
            </m:r>
          </m:e>
          <m:sup>
            <m:r>
              <m:rPr>
                <m:sty m:val="p"/>
              </m:rPr>
              <m:t>−</m:t>
            </m:r>
            <m:r>
              <m:t>α</m:t>
            </m:r>
          </m:sup>
        </m:sSup>
      </m:oMath>
      <w:r>
        <w:t xml:space="preserve"> </w:t>
      </w:r>
      <w:r>
        <w:t xml:space="preserve">with</w:t>
      </w:r>
      <w:r>
        <w:t xml:space="preserve"> </w:t>
      </w:r>
      <m:oMath>
        <m:r>
          <m:t>α</m:t>
        </m:r>
        <m:r>
          <m:rPr>
            <m:sty m:val="p"/>
          </m:rPr>
          <m:t>≈</m:t>
        </m:r>
        <m:r>
          <m:t>1.8</m:t>
        </m:r>
      </m:oMath>
      <w:r>
        <w:t xml:space="preserve">.</w:t>
      </w:r>
      <w:r>
        <w:t xml:space="preserve"> </w:t>
      </w:r>
      <w:r>
        <w:t xml:space="preserve">This is a consequence of the training objective: the model learns a structured representation where semantic similarity corresponds to geometric proximity, and this structure is inherently low-dimensional.</w:t>
      </w:r>
    </w:p>
    <w:p>
      <w:pPr>
        <w:pStyle w:val="BodyText"/>
      </w:pPr>
      <w:r>
        <w:rPr>
          <w:b/>
          <w:bCs/>
        </w:rPr>
        <w:t xml:space="preserve">Observation 2: PCA finds the optimal rotation for truncation.</w:t>
      </w:r>
      <w:r>
        <w:t xml:space="preserve"> </w:t>
      </w:r>
      <w:r>
        <w:t xml:space="preserve">The Eckart–Young theorem guarantees that PCA projection minimizes the Frobenius-norm reconstruction error among all rank-</w:t>
      </w:r>
      <m:oMath>
        <m:r>
          <m:t>k</m:t>
        </m:r>
      </m:oMath>
      <w:r>
        <w:t xml:space="preserve"> </w:t>
      </w:r>
      <w:r>
        <w:t xml:space="preserve">linear projections.</w:t>
      </w:r>
      <w:r>
        <w:t xml:space="preserve"> </w:t>
      </w:r>
      <w:r>
        <w:t xml:space="preserve">PCA-Matryoshka simply applies this classical result to the embedding compression problem: instead of truncating in the (arbitrary) standard basis, we rotate to the eigenbasis first, concentrating information into the leading dimensions.</w:t>
      </w:r>
    </w:p>
    <w:p>
      <w:pPr>
        <w:pStyle w:val="BodyText"/>
      </w:pPr>
      <w:r>
        <w:rPr>
          <w:b/>
          <w:bCs/>
        </w:rPr>
        <w:t xml:space="preserve">Relationship to Matryoshka training.</w:t>
      </w:r>
      <w:r>
        <w:t xml:space="preserve"> </w:t>
      </w:r>
      <w:r>
        <w:t xml:space="preserve">MRL training achieves the same effect by a different mechanism: it modifies the model weights so that the eigenbasis of the output distribution</w:t>
      </w:r>
      <w:r>
        <w:t xml:space="preserve"> </w:t>
      </w:r>
      <w:r>
        <w:rPr>
          <w:i/>
          <w:iCs/>
        </w:rPr>
        <w:t xml:space="preserve">is</w:t>
      </w:r>
      <w:r>
        <w:t xml:space="preserve"> </w:t>
      </w:r>
      <w:r>
        <w:t xml:space="preserve">the standard basis, eliminating the need for rotation.</w:t>
      </w:r>
      <w:r>
        <w:t xml:space="preserve"> </w:t>
      </w:r>
      <w:r>
        <w:t xml:space="preserve">PCA-Matryoshka is the post-hoc equivalent: when you cannot change the model, change the basis.</w:t>
      </w:r>
    </w:p>
    <w:bookmarkEnd w:id="58"/>
    <w:bookmarkStart w:id="59" w:name="when-to-use-which-method"/>
    <w:p>
      <w:pPr>
        <w:pStyle w:val="Heading2"/>
      </w:pPr>
      <w:r>
        <w:t xml:space="preserve">When to Use Which Method</w:t>
      </w:r>
    </w:p>
    <w:p>
      <w:pPr>
        <w:pStyle w:val="FirstParagraph"/>
      </w:pPr>
      <w:r>
        <w:t xml:space="preserve">We propose the following decision framework:</w:t>
      </w:r>
    </w:p>
    <w:p>
      <w:pPr>
        <w:numPr>
          <w:ilvl w:val="0"/>
          <w:numId w:val="1007"/>
        </w:numPr>
      </w:pPr>
      <m:oMath>
        <m:r>
          <m:rPr>
            <m:sty m:val="p"/>
          </m:rPr>
          <m:t>≤</m:t>
        </m:r>
      </m:oMath>
      <w:r>
        <w:rPr>
          <w:b/>
          <w:bCs/>
        </w:rPr>
        <w:t xml:space="preserve">4</w:t>
      </w:r>
      <m:oMath>
        <m:r>
          <m:rPr>
            <m:sty m:val="p"/>
          </m:rPr>
          <m:t>×</m:t>
        </m:r>
      </m:oMath>
      <w:r>
        <w:rPr>
          <w:b/>
          <w:bCs/>
        </w:rPr>
        <w:t xml:space="preserve"> </w:t>
      </w:r>
      <w:r>
        <w:rPr>
          <w:b/>
          <w:bCs/>
        </w:rPr>
        <w:t xml:space="preserve">compression needed:</w:t>
      </w:r>
      <w:r>
        <w:t xml:space="preserve"> </w:t>
      </w:r>
      <w:r>
        <w:t xml:space="preserve">Use scalar int8 quantization.</w:t>
      </w:r>
      <w:r>
        <w:t xml:space="preserve"> </w:t>
      </w:r>
      <w:r>
        <w:t xml:space="preserve">It is lossless for practical purposes (0.9999 cosine) and requires no fitting.</w:t>
      </w:r>
    </w:p>
    <w:p>
      <w:pPr>
        <w:numPr>
          <w:ilvl w:val="0"/>
          <w:numId w:val="1007"/>
        </w:numPr>
      </w:pPr>
      <w:r>
        <w:rPr>
          <w:b/>
          <w:bCs/>
        </w:rPr>
        <w:t xml:space="preserve">4–10</w:t>
      </w:r>
      <m:oMath>
        <m:r>
          <m:rPr>
            <m:sty m:val="p"/>
          </m:rPr>
          <m:t>×</m:t>
        </m:r>
      </m:oMath>
      <w:r>
        <w:rPr>
          <w:b/>
          <w:bCs/>
        </w:rPr>
        <w:t xml:space="preserve"> </w:t>
      </w:r>
      <w:r>
        <w:rPr>
          <w:b/>
          <w:bCs/>
        </w:rPr>
        <w:t xml:space="preserve">compression:</w:t>
      </w:r>
      <w:r>
        <w:t xml:space="preserve"> </w:t>
      </w:r>
      <w:r>
        <w:t xml:space="preserve">Use TurboQuant 3–4 bit quantization.</w:t>
      </w:r>
      <w:r>
        <w:t xml:space="preserve"> </w:t>
      </w:r>
      <w:r>
        <w:t xml:space="preserve">No fitting required, and quality remains high.</w:t>
      </w:r>
    </w:p>
    <w:p>
      <w:pPr>
        <w:numPr>
          <w:ilvl w:val="0"/>
          <w:numId w:val="1007"/>
        </w:numPr>
      </w:pPr>
      <w:r>
        <w:rPr>
          <w:b/>
          <w:bCs/>
        </w:rPr>
        <w:t xml:space="preserve">10–80</w:t>
      </w:r>
      <m:oMath>
        <m:r>
          <m:rPr>
            <m:sty m:val="p"/>
          </m:rPr>
          <m:t>×</m:t>
        </m:r>
      </m:oMath>
      <w:r>
        <w:rPr>
          <w:b/>
          <w:bCs/>
        </w:rPr>
        <w:t xml:space="preserve"> </w:t>
      </w:r>
      <w:r>
        <w:rPr>
          <w:b/>
          <w:bCs/>
        </w:rPr>
        <w:t xml:space="preserve">compression:</w:t>
      </w:r>
      <w:r>
        <w:t xml:space="preserve"> </w:t>
      </w:r>
      <w:r>
        <w:t xml:space="preserve">Use PCA-Matryoshka + TurboQuant.</w:t>
      </w:r>
      <w:r>
        <w:t xml:space="preserve"> </w:t>
      </w:r>
      <w:r>
        <w:t xml:space="preserve">Requires fitting a PCA basis (one-time, on a sample of</w:t>
      </w:r>
      <w:r>
        <w:t xml:space="preserve"> </w:t>
      </w:r>
      <m:oMath>
        <m:r>
          <m:rPr>
            <m:sty m:val="p"/>
          </m:rPr>
          <m:t>∼</m:t>
        </m:r>
      </m:oMath>
      <w:r>
        <w:t xml:space="preserve">10K vectors), but achieves quality far superior to binary or product quantization at comparable ratios.</w:t>
      </w:r>
    </w:p>
    <w:p>
      <w:pPr>
        <w:numPr>
          <w:ilvl w:val="0"/>
          <w:numId w:val="1007"/>
        </w:numPr>
      </w:pPr>
      <m:oMath>
        <m:r>
          <m:rPr>
            <m:sty m:val="p"/>
          </m:rPr>
          <m:t>&gt;</m:t>
        </m:r>
      </m:oMath>
      <w:r>
        <w:rPr>
          <w:b/>
          <w:bCs/>
        </w:rPr>
        <w:t xml:space="preserve">80</w:t>
      </w:r>
      <m:oMath>
        <m:r>
          <m:rPr>
            <m:sty m:val="p"/>
          </m:rPr>
          <m:t>×</m:t>
        </m:r>
      </m:oMath>
      <w:r>
        <w:rPr>
          <w:b/>
          <w:bCs/>
        </w:rPr>
        <w:t xml:space="preserve"> </w:t>
      </w:r>
      <w:r>
        <w:rPr>
          <w:b/>
          <w:bCs/>
        </w:rPr>
        <w:t xml:space="preserve">compression:</w:t>
      </w:r>
      <w:r>
        <w:t xml:space="preserve"> </w:t>
      </w:r>
      <w:r>
        <w:t xml:space="preserve">Quality degrades significantly for all methods.</w:t>
      </w:r>
      <w:r>
        <w:t xml:space="preserve"> </w:t>
      </w:r>
      <w:r>
        <w:t xml:space="preserve">Consider whether the application can tolerate 73% recall@10 (PCA-128 + TQ3 at 78.8</w:t>
      </w:r>
      <m:oMath>
        <m:r>
          <m:rPr>
            <m:sty m:val="p"/>
          </m:rPr>
          <m:t>×</m:t>
        </m:r>
      </m:oMath>
      <w:r>
        <w:t xml:space="preserve">), or whether a more aggressive approach (e.g., re-training a smaller model) is warranted.</w:t>
      </w:r>
    </w:p>
    <w:bookmarkEnd w:id="59"/>
    <w:bookmarkStart w:id="60" w:name="limitations"/>
    <w:p>
      <w:pPr>
        <w:pStyle w:val="Heading2"/>
      </w:pPr>
      <w:r>
        <w:t xml:space="preserve">Limitations</w:t>
      </w:r>
    </w:p>
    <w:p>
      <w:pPr>
        <w:pStyle w:val="FirstParagraph"/>
      </w:pPr>
      <w:r>
        <w:rPr>
          <w:b/>
          <w:bCs/>
        </w:rPr>
        <w:t xml:space="preserve">Linearity.</w:t>
      </w:r>
      <w:r>
        <w:t xml:space="preserve"> </w:t>
      </w:r>
      <w:r>
        <w:t xml:space="preserve">PCA is a linear method and can only capture linear correlations between dimensions.</w:t>
      </w:r>
      <w:r>
        <w:t xml:space="preserve"> </w:t>
      </w:r>
      <w:r>
        <w:t xml:space="preserve">If the embedding manifold has significant nonlinear structure, a nonlinear rotation (e.g., via an autoencoder) could capture additional variance.</w:t>
      </w:r>
      <w:r>
        <w:t xml:space="preserve"> </w:t>
      </w:r>
      <w:r>
        <w:t xml:space="preserve">However, our results suggest that linear PCA captures the vast majority of structure for current embedding models.</w:t>
      </w:r>
    </w:p>
    <w:p>
      <w:pPr>
        <w:pStyle w:val="BodyText"/>
      </w:pPr>
      <w:r>
        <w:rPr>
          <w:b/>
          <w:bCs/>
        </w:rPr>
        <w:t xml:space="preserve">Corpus specificity.</w:t>
      </w:r>
      <w:r>
        <w:t xml:space="preserve"> </w:t>
      </w:r>
      <w:r>
        <w:t xml:space="preserve">The PCA basis is fitted on a specific corpus and may transfer imperfectly to out-of-distribution data.</w:t>
      </w:r>
      <w:r>
        <w:t xml:space="preserve"> </w:t>
      </w:r>
      <w:r>
        <w:t xml:space="preserve">In our experiments, the basis generalizes well within the same embedding model (since the model’s output distribution is relatively consistent), but significant domain shifts could degrade quality.</w:t>
      </w:r>
    </w:p>
    <w:p>
      <w:pPr>
        <w:pStyle w:val="BodyText"/>
      </w:pPr>
      <w:r>
        <w:rPr>
          <w:b/>
          <w:bCs/>
        </w:rPr>
        <w:t xml:space="preserve">Not a replacement for native Matryoshka.</w:t>
      </w:r>
      <w:r>
        <w:t xml:space="preserve"> </w:t>
      </w:r>
      <w:r>
        <w:t xml:space="preserve">When retraining is feasible, native MRL training produces models with true Matryoshka properties</w:t>
      </w:r>
      <w:r>
        <w:t xml:space="preserve"> </w:t>
      </w:r>
      <w:r>
        <w:rPr>
          <w:i/>
          <w:iCs/>
        </w:rPr>
        <w:t xml:space="preserve">without</w:t>
      </w:r>
      <w:r>
        <w:t xml:space="preserve"> </w:t>
      </w:r>
      <w:r>
        <w:t xml:space="preserve">the overhead of PCA rotation.</w:t>
      </w:r>
      <w:r>
        <w:t xml:space="preserve"> </w:t>
      </w:r>
      <w:r>
        <w:t xml:space="preserve">PCA-Matryoshka is best viewed as a practical alternative when retraining is impossible—which is the case for most deployed systems using third-party or closed-source embedding models.</w:t>
      </w:r>
    </w:p>
    <w:p>
      <w:pPr>
        <w:pStyle w:val="BodyText"/>
      </w:pPr>
      <w:r>
        <w:rPr>
          <w:b/>
          <w:bCs/>
        </w:rPr>
        <w:t xml:space="preserve">Recall@10 vs. cosine similarity.</w:t>
      </w:r>
      <w:r>
        <w:t xml:space="preserve"> </w:t>
      </w:r>
      <w:r>
        <w:t xml:space="preserve">While PCA-Matryoshka maintains high cosine similarity (the per-vector fidelity metric), recall@10 (the ranking metric) is more sensitive to compression.</w:t>
      </w:r>
      <w:r>
        <w:t xml:space="preserve"> </w:t>
      </w:r>
      <w:r>
        <w:t xml:space="preserve">At 27.7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compression, recall@10 drops to 76.4%, which may be insufficient for applications requiring near-perfect retrieval.</w:t>
      </w:r>
      <w:r>
        <w:t xml:space="preserve"> </w:t>
      </w:r>
      <w:r>
        <w:t xml:space="preserve">The gap between cosine similarity and recall is an artifact of the ranking nature of retrieval: small perturbations can swap the order of closely-ranked items.</w:t>
      </w:r>
    </w:p>
    <w:bookmarkEnd w:id="60"/>
    <w:bookmarkEnd w:id="61"/>
    <w:bookmarkStart w:id="66" w:name="sec:applications"/>
    <w:p>
      <w:pPr>
        <w:pStyle w:val="Heading1"/>
      </w:pPr>
      <w:r>
        <w:t xml:space="preserve">Applications</w:t>
      </w:r>
    </w:p>
    <w:bookmarkStart w:id="62" w:name="rag-systems-with-pgvector"/>
    <w:p>
      <w:pPr>
        <w:pStyle w:val="Heading2"/>
      </w:pPr>
      <w:r>
        <w:t xml:space="preserve">RAG Systems with pgvector</w:t>
      </w:r>
    </w:p>
    <w:p>
      <w:pPr>
        <w:pStyle w:val="FirstParagraph"/>
      </w:pPr>
      <w:r>
        <w:t xml:space="preserve">The most immediate application of PCA-Matryoshka is in RAG systems backed by PostgreSQL with pgvector.</w:t>
      </w:r>
      <w:r>
        <w:t xml:space="preserve"> </w:t>
      </w:r>
      <w:r>
        <w:t xml:space="preserve">A typical RAG deployment stores 1–10M document embeddings.</w:t>
      </w:r>
      <w:r>
        <w:t xml:space="preserve"> </w:t>
      </w:r>
      <w:r>
        <w:t xml:space="preserve">With BGE-M3 at full float32, 10M vectors require 40 GB.</w:t>
      </w:r>
      <w:r>
        <w:t xml:space="preserve"> </w:t>
      </w:r>
      <w:r>
        <w:t xml:space="preserve">PCA-384 + TQ3 reduces this to 1.4 GB while maintaining 0.979 cosine similarity, enabling deployment on modest hardware.</w:t>
      </w:r>
      <w:r>
        <w:t xml:space="preserve"> </w:t>
      </w:r>
      <w:r>
        <w:t xml:space="preserve">The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library provides pgvector-compatible binary serialization and query transformation functions.</w:t>
      </w:r>
    </w:p>
    <w:bookmarkEnd w:id="62"/>
    <w:bookmarkStart w:id="63" w:name="llm-kv-cache-compression"/>
    <w:p>
      <w:pPr>
        <w:pStyle w:val="Heading2"/>
      </w:pPr>
      <w:r>
        <w:t xml:space="preserve">LLM KV Cache Compression</w:t>
      </w:r>
    </w:p>
    <w:p>
      <w:pPr>
        <w:pStyle w:val="FirstParagraph"/>
      </w:pPr>
      <w:r>
        <w:t xml:space="preserve">The key-value caches in transformer-based LLMs present a similar compression opportunity.</w:t>
      </w:r>
      <w:r>
        <w:t xml:space="preserve"> </w:t>
      </w:r>
      <w:r>
        <w:t xml:space="preserve">KV cache vectors are high-dimensional, exhibit low effective rank, and are accessed via inner-product attention.</w:t>
      </w:r>
      <w:r>
        <w:t xml:space="preserve"> </w:t>
      </w:r>
      <w:r>
        <w:t xml:space="preserve">Since the original publication, we have implemented comprehensive KV cache compression</w:t>
      </w:r>
      <w:r>
        <w:t xml:space="preserve"> </w:t>
      </w:r>
      <w:r>
        <w:t xml:space="preserve">in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v0.8.0–v1.0.0, including: asymmetric K/V bit allocation</w:t>
      </w:r>
      <w:r>
        <w:t xml:space="preserve"> </w:t>
      </w:r>
      <w:r>
        <w:t xml:space="preserve">(K4/V3 achieves 0.995 key cosine similarity), RoPE-aware quantization that detects and</w:t>
      </w:r>
      <w:r>
        <w:t xml:space="preserve"> </w:t>
      </w:r>
      <w:r>
        <w:t xml:space="preserve">protects low-frequency positional dimensions, a streaming two-tier KV cache (L1 hot / L2</w:t>
      </w:r>
      <w:r>
        <w:t xml:space="preserve"> </w:t>
      </w:r>
      <w:r>
        <w:t xml:space="preserve">cold storage), fused CUDA kernels for GPU-accelerated compression, and a unified auto-config</w:t>
      </w:r>
      <w:r>
        <w:t xml:space="preserve"> </w:t>
      </w:r>
      <w:r>
        <w:t xml:space="preserve">API that reads HuggingFace model configs to auto-select optimal parameters.</w:t>
      </w:r>
      <w:r>
        <w:t xml:space="preserve"> </w:t>
      </w:r>
      <w:r>
        <w:t xml:space="preserve">See Section </w:t>
      </w:r>
      <w:hyperlink w:anchor="sec:update">
        <w:r>
          <w:rPr>
            <w:rStyle w:val="Hyperlink"/>
          </w:rPr>
          <w:t xml:space="preserve">8</w:t>
        </w:r>
      </w:hyperlink>
      <w:r>
        <w:t xml:space="preserve"> </w:t>
      </w:r>
      <w:r>
        <w:t xml:space="preserve">for benchmarks.</w:t>
      </w:r>
    </w:p>
    <w:bookmarkEnd w:id="63"/>
    <w:bookmarkStart w:id="64" w:name="edge-deployment"/>
    <w:p>
      <w:pPr>
        <w:pStyle w:val="Heading2"/>
      </w:pPr>
      <w:r>
        <w:t xml:space="preserve">Edge Deployment</w:t>
      </w:r>
    </w:p>
    <w:p>
      <w:pPr>
        <w:pStyle w:val="FirstParagraph"/>
      </w:pPr>
      <w:r>
        <w:t xml:space="preserve">For IoT and mobile deployments where both memory and bandwidth are constrained, PCA-128 + TQ3 achieves 78.8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compression, reducing a 1024-dim float32 embedding from 4 KB to 51 bytes.</w:t>
      </w:r>
      <w:r>
        <w:t xml:space="preserve"> </w:t>
      </w:r>
      <w:r>
        <w:t xml:space="preserve">This enables on-device semantic search with indices that fit in the limited memory of edge devices.</w:t>
      </w:r>
    </w:p>
    <w:bookmarkEnd w:id="64"/>
    <w:bookmarkStart w:id="65" w:name="cross-lingual-retrieval"/>
    <w:p>
      <w:pPr>
        <w:pStyle w:val="Heading2"/>
      </w:pPr>
      <w:r>
        <w:t xml:space="preserve">Cross-Lingual Retrieval</w:t>
      </w:r>
    </w:p>
    <w:p>
      <w:pPr>
        <w:pStyle w:val="FirstParagraph"/>
      </w:pPr>
      <w:r>
        <w:t xml:space="preserve">On our cross-civilizational ethics corpus spanning 37 languages, PCA-Matryoshka preserves cross-lingual retrieval quality.</w:t>
      </w:r>
      <w:r>
        <w:t xml:space="preserve"> </w:t>
      </w:r>
      <w:r>
        <w:t xml:space="preserve">The principal components capture language-agnostic semantic structure (which dominates the top eigenvalues), while language-specific artifacts tend to occupy lower-variance dimensions that are discarded during truncation.</w:t>
      </w:r>
      <w:r>
        <w:t xml:space="preserve"> </w:t>
      </w:r>
      <w:r>
        <w:t xml:space="preserve">This makes PCA-Matryoshka particularly well-suited for multilingual applications.</w:t>
      </w:r>
    </w:p>
    <w:bookmarkEnd w:id="65"/>
    <w:bookmarkEnd w:id="66"/>
    <w:bookmarkStart w:id="75" w:name="sec:update"/>
    <w:p>
      <w:pPr>
        <w:pStyle w:val="Heading1"/>
      </w:pPr>
      <w:r>
        <w:t xml:space="preserve">Implementation Update: v0.5.0 to v1.0.0</w:t>
      </w:r>
    </w:p>
    <w:p>
      <w:pPr>
        <w:pStyle w:val="FirstParagraph"/>
      </w:pPr>
      <w:r>
        <w:t xml:space="preserve">Since the original publication, the</w:t>
      </w:r>
      <w:r>
        <w:t xml:space="preserve"> </w:t>
      </w:r>
      <w:r>
        <w:rPr>
          <w:rStyle w:val="VerbatimChar"/>
        </w:rPr>
        <w:t xml:space="preserve">turboquant-pro</w:t>
      </w:r>
      <w:r>
        <w:t xml:space="preserve"> </w:t>
      </w:r>
      <w:r>
        <w:t xml:space="preserve">library has undergone</w:t>
      </w:r>
      <w:r>
        <w:t xml:space="preserve"> </w:t>
      </w:r>
      <w:r>
        <w:t xml:space="preserve">significant development from v0.5.0 to v1.0.0. We summarize the key additions</w:t>
      </w:r>
      <w:r>
        <w:t xml:space="preserve"> </w:t>
      </w:r>
      <w:r>
        <w:t xml:space="preserve">and their measured impact.</w:t>
      </w:r>
    </w:p>
    <w:bookmarkStart w:id="68" w:name="asymmetric-kv-bit-allocation-v0.9.0"/>
    <w:p>
      <w:pPr>
        <w:pStyle w:val="Heading2"/>
      </w:pPr>
      <w:r>
        <w:t xml:space="preserve">Asymmetric K/V Bit Allocation (v0.9.0)</w:t>
      </w:r>
    </w:p>
    <w:p>
      <w:pPr>
        <w:pStyle w:val="FirstParagraph"/>
      </w:pPr>
      <w:r>
        <w:t xml:space="preserve">Keys are more sensitive to quantization noise than values because attention scores</w:t>
      </w:r>
      <w:r>
        <w:t xml:space="preserve"> </w:t>
      </w:r>
      <w:r>
        <w:t xml:space="preserve">are computed as</w:t>
      </w:r>
      <w:r>
        <w:t xml:space="preserve"> </w:t>
      </w:r>
      <m:oMath>
        <m:r>
          <m:rPr>
            <m:nor/>
            <m:sty m:val="p"/>
          </m:rPr>
          <m:t>softmax</m:t>
        </m:r>
        <m:r>
          <m:rPr>
            <m:sty m:val="p"/>
          </m:rPr>
          <m:t>(</m:t>
        </m:r>
        <m:r>
          <m:t>Q</m:t>
        </m:r>
        <m:sSup>
          <m:e>
            <m:r>
              <m:t>K</m:t>
            </m:r>
          </m:e>
          <m:sup>
            <m:r>
              <m:rPr>
                <m:sty m:val="p"/>
              </m:rPr>
              <m:t>⊤</m:t>
            </m:r>
          </m:sup>
        </m:sSup>
        <m:r>
          <m:rPr>
            <m:sty m:val="p"/>
          </m:rPr>
          <m:t>/</m:t>
        </m:r>
        <m:rad>
          <m:radPr>
            <m:degHide m:val="on"/>
          </m:radPr>
          <m:deg/>
          <m:e>
            <m:r>
              <m:t>d</m:t>
            </m:r>
          </m:e>
        </m:rad>
        <m:r>
          <m:rPr>
            <m:sty m:val="p"/>
          </m:rPr>
          <m:t>)</m:t>
        </m:r>
      </m:oMath>
      <w:r>
        <w:t xml:space="preserve">—small errors in</w:t>
      </w:r>
      <w:r>
        <w:t xml:space="preserve"> </w:t>
      </w:r>
      <m:oMath>
        <m:r>
          <m:t>K</m:t>
        </m:r>
      </m:oMath>
      <w:r>
        <w:t xml:space="preserve"> </w:t>
      </w:r>
      <w:r>
        <w:t xml:space="preserve">are</w:t>
      </w:r>
      <w:r>
        <w:t xml:space="preserve"> </w:t>
      </w:r>
      <w:r>
        <w:t xml:space="preserve">amplified by the softmax. We add</w:t>
      </w:r>
      <w:r>
        <w:t xml:space="preserve"> </w:t>
      </w:r>
      <w:r>
        <w:rPr>
          <w:rStyle w:val="VerbatimChar"/>
        </w:rPr>
        <w:t xml:space="preserve">key_bits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value_bits</w:t>
      </w:r>
      <w:r>
        <w:t xml:space="preserve"> </w:t>
      </w:r>
      <w:r>
        <w:t xml:space="preserve">parameters allowing independent bit-width selection.</w:t>
      </w:r>
    </w:p>
    <w:bookmarkStart w:id="67" w:name="tab:asymmetric"/>
    <w:p>
      <w:pPr>
        <w:pStyle w:val="TableCaption"/>
      </w:pPr>
      <w:r>
        <w:t xml:space="preserve">Asymmetric K/V bit allocation (</w:t>
      </w:r>
      <w:r>
        <w:rPr>
          <w:rStyle w:val="VerbatimChar"/>
        </w:rPr>
        <w:t xml:space="preserve">head_dim</w:t>
      </w:r>
      <w:r>
        <w:t xml:space="preserve">=128, 8 heads).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Asymmetric K/V bit allocation (head_dim=128, 8 heads).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Config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Key CosSim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Val CosSim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Avg Bits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K3/V3 (baseline)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0.979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0.979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3.0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K4/V3 (balanced)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0.995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0.979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3.5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K4/V2 (same size)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0.995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0.941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3.0</w:t>
            </w:r>
          </w:p>
        </w:tc>
      </w:tr>
    </w:tbl>
    <w:bookmarkEnd w:id="67"/>
    <w:p>
      <w:pPr>
        <w:pStyle w:val="BodyText"/>
      </w:pPr>
      <w:r>
        <w:t xml:space="preserve">K4/V2 achieves 0.995 key cosine similarity at</w:t>
      </w:r>
      <w:r>
        <w:t xml:space="preserve"> </w:t>
      </w:r>
      <w:r>
        <w:rPr>
          <w:i/>
          <w:iCs/>
        </w:rPr>
        <w:t xml:space="preserve">identical</w:t>
      </w:r>
      <w:r>
        <w:t xml:space="preserve"> </w:t>
      </w:r>
      <w:r>
        <w:t xml:space="preserve">storage cost as uniform 3-bit—a free quality win.</w:t>
      </w:r>
    </w:p>
    <w:bookmarkEnd w:id="68"/>
    <w:bookmarkStart w:id="69" w:name="Xd6f848d4f4d0c450b1740af6c166436e41eb212"/>
    <w:p>
      <w:pPr>
        <w:pStyle w:val="Heading2"/>
      </w:pPr>
      <w:r>
        <w:t xml:space="preserve">Eigenvalue-Weighted Mixed Precision (v0.9.0)</w:t>
      </w:r>
    </w:p>
    <w:p>
      <w:pPr>
        <w:pStyle w:val="FirstParagraph"/>
      </w:pPr>
      <w:r>
        <w:t xml:space="preserve">Instead of uniform bit allocation, we use the PCA eigenvalue spectrum to allocate</w:t>
      </w:r>
      <w:r>
        <w:t xml:space="preserve"> </w:t>
      </w:r>
      <w:r>
        <w:t xml:space="preserve">more bits to high-variance dimensions and fewer to the tail. The</w:t>
      </w:r>
      <w:r>
        <w:t xml:space="preserve"> </w:t>
      </w:r>
      <w:r>
        <w:rPr>
          <w:rStyle w:val="VerbatimChar"/>
        </w:rPr>
        <w:t xml:space="preserve">EigenweightedPipeline</w:t>
      </w:r>
      <w:r>
        <w:t xml:space="preserve"> </w:t>
      </w:r>
      <w:r>
        <w:t xml:space="preserve">auto-computes the schedule from cumulative variance.</w:t>
      </w:r>
    </w:p>
    <w:p>
      <w:pPr>
        <w:pStyle w:val="BodyText"/>
      </w:pPr>
      <w:r>
        <w:t xml:space="preserve">At 2.8 average bits, eigenweighted quantization achieves 0.962 cosine similarity</w:t>
      </w:r>
      <w:r>
        <w:t xml:space="preserve"> </w:t>
      </w:r>
      <w:r>
        <w:t xml:space="preserve">(vs. 0.958 for uniform 3-bit) while using 7% less storage.</w:t>
      </w:r>
    </w:p>
    <w:bookmarkEnd w:id="69"/>
    <w:bookmarkStart w:id="70" w:name="learned-codebook-fine-tuning-v1.0.0"/>
    <w:p>
      <w:pPr>
        <w:pStyle w:val="Heading2"/>
      </w:pPr>
      <w:r>
        <w:t xml:space="preserve">Learned Codebook Fine-Tuning (v1.0.0)</w:t>
      </w:r>
    </w:p>
    <w:p>
      <w:pPr>
        <w:pStyle w:val="FirstParagraph"/>
      </w:pPr>
      <w:r>
        <w:t xml:space="preserve">The Lloyd-Max codebooks assume Gaussian-distributed rotated coordinates. For</w:t>
      </w:r>
      <w:r>
        <w:t xml:space="preserve"> </w:t>
      </w:r>
      <w:r>
        <w:t xml:space="preserve">specific embedding models, we train codebooks on actual data via Lloyd’s algorithm</w:t>
      </w:r>
      <w:r>
        <w:t xml:space="preserve"> </w:t>
      </w:r>
      <w:r>
        <w:t xml:space="preserve">(</w:t>
      </w:r>
      <w:r>
        <w:rPr>
          <w:rStyle w:val="VerbatimChar"/>
        </w:rPr>
        <w:t xml:space="preserve">fit_codebook()</w:t>
      </w:r>
      <w:r>
        <w:t xml:space="preserve">). On synthetic BGE-M3-like data, learned codebooks</w:t>
      </w:r>
      <w:r>
        <w:t xml:space="preserve"> </w:t>
      </w:r>
      <w:r>
        <w:t xml:space="preserve">reduce quantization error by 22% at the same 3-bit width (cosine similarity</w:t>
      </w:r>
      <w:r>
        <w:t xml:space="preserve"> </w:t>
      </w:r>
      <w:r>
        <w:t xml:space="preserve">0.983 vs. 0.978 baseline).</w:t>
      </w:r>
    </w:p>
    <w:bookmarkEnd w:id="70"/>
    <w:bookmarkStart w:id="71" w:name="rope-aware-kv-cache-quantization-v0.9.0"/>
    <w:p>
      <w:pPr>
        <w:pStyle w:val="Heading2"/>
      </w:pPr>
      <w:r>
        <w:t xml:space="preserve">RoPE-Aware KV Cache Quantization (v0.9.0)</w:t>
      </w:r>
    </w:p>
    <w:p>
      <w:pPr>
        <w:pStyle w:val="FirstParagraph"/>
      </w:pPr>
      <w:r>
        <w:t xml:space="preserve">Rotary Position Embeddings create outlier frequency components in KV cache tensors.</w:t>
      </w:r>
      <w:r>
        <w:t xml:space="preserve"> </w:t>
      </w:r>
      <w:r>
        <w:t xml:space="preserve">Low-frequency RoPE dimensions carry long-range positional information and are</w:t>
      </w:r>
      <w:r>
        <w:t xml:space="preserve"> </w:t>
      </w:r>
      <w:r>
        <w:t xml:space="preserve">sensitive to quantization. The</w:t>
      </w:r>
      <w:r>
        <w:t xml:space="preserve"> </w:t>
      </w:r>
      <w:r>
        <w:rPr>
          <w:rStyle w:val="VerbatimChar"/>
        </w:rPr>
        <w:t xml:space="preserve">RoPEAwareQuantizer</w:t>
      </w:r>
      <w:r>
        <w:t xml:space="preserve"> </w:t>
      </w:r>
      <w:r>
        <w:t xml:space="preserve">detects these dimensions</w:t>
      </w:r>
      <w:r>
        <w:t xml:space="preserve"> </w:t>
      </w:r>
      <w:r>
        <w:t xml:space="preserve">and boosts their precision to 4-bit.</w:t>
      </w:r>
    </w:p>
    <w:p>
      <w:pPr>
        <w:pStyle w:val="BodyText"/>
      </w:pPr>
      <w:r>
        <w:t xml:space="preserve">For LLaMA-3 (rope_theta=500K) at 8K context, RoPE-aware compression improves</w:t>
      </w:r>
      <w:r>
        <w:t xml:space="preserve"> </w:t>
      </w:r>
      <w:r>
        <w:t xml:space="preserve">cosine similarity from 0.979 to 0.986 (+0.007) at 3.45 average bits.</w:t>
      </w:r>
    </w:p>
    <w:bookmarkEnd w:id="71"/>
    <w:bookmarkStart w:id="72" w:name="additional-features-v0.8.0v1.0.0"/>
    <w:p>
      <w:pPr>
        <w:pStyle w:val="Heading2"/>
      </w:pPr>
      <w:r>
        <w:t xml:space="preserve">Additional Features (v0.8.0–v1.0.0)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Fused CUDA kernels</w:t>
      </w:r>
      <w:r>
        <w:t xml:space="preserve"> </w:t>
      </w:r>
      <w:r>
        <w:t xml:space="preserve">(v0.8.0): Tiled GEMM rotation + inline quantization, eliminating one float32 intermediate write.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CompressedHNSW index</w:t>
      </w:r>
      <w:r>
        <w:t xml:space="preserve"> </w:t>
      </w:r>
      <w:r>
        <w:t xml:space="preserve">(v0.8.0): HNSW graph on 3-bit packed embeddings with centroid-centroid lookup table distance. 10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smaller than float32 HNSW.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L2 embedding cache</w:t>
      </w:r>
      <w:r>
        <w:t xml:space="preserve"> </w:t>
      </w:r>
      <w:r>
        <w:t xml:space="preserve">(v0.8.0): Compressed cache fitting 10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more vectors in the same memory budget.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Unified auto-config API</w:t>
      </w:r>
      <w:r>
        <w:t xml:space="preserve"> </w:t>
      </w:r>
      <w:r>
        <w:t xml:space="preserve">(v0.9.1):</w:t>
      </w:r>
      <w:r>
        <w:t xml:space="preserve"> </w:t>
      </w:r>
      <w:r>
        <w:rPr>
          <w:rStyle w:val="VerbatimChar"/>
        </w:rPr>
        <w:t xml:space="preserve">TurboQuantKV.from_model("llama-3-8b")</w:t>
      </w:r>
      <w:r>
        <w:t xml:space="preserve"> </w:t>
      </w:r>
      <w:r>
        <w:t xml:space="preserve">reads model architecture and auto-selects optimal parameters.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auto_compress() Pareto sweep</w:t>
      </w:r>
      <w:r>
        <w:t xml:space="preserve"> </w:t>
      </w:r>
      <w:r>
        <w:t xml:space="preserve">(v0.10.0): Sweeps PCA dims, bit widths, and strategies; returns highest compression meeting quality target.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Cross-framework export</w:t>
      </w:r>
      <w:r>
        <w:t xml:space="preserve"> </w:t>
      </w:r>
      <w:r>
        <w:t xml:space="preserve">(v0.10.0): Export to Milvus, Qdrant, Weaviate, Pinecone.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Multi-modal presets</w:t>
      </w:r>
      <w:r>
        <w:t xml:space="preserve"> </w:t>
      </w:r>
      <w:r>
        <w:t xml:space="preserve">(v1.0.0): Pre-configured for CLIP, SigLIP, Whisper, CodeBERT.</w:t>
      </w:r>
    </w:p>
    <w:p>
      <w:pPr>
        <w:numPr>
          <w:ilvl w:val="0"/>
          <w:numId w:val="1008"/>
        </w:numPr>
      </w:pPr>
      <w:r>
        <w:rPr>
          <w:b/>
          <w:bCs/>
        </w:rPr>
        <w:t xml:space="preserve">Production observability</w:t>
      </w:r>
      <w:r>
        <w:t xml:space="preserve"> </w:t>
      </w:r>
      <w:r>
        <w:t xml:space="preserve">(v1.0.0): Rolling-window quality monitoring with KS-test drift detection and Prometheus-compatible metrics.</w:t>
      </w:r>
    </w:p>
    <w:bookmarkEnd w:id="72"/>
    <w:bookmarkStart w:id="74" w:name="quality-progression-summary"/>
    <w:p>
      <w:pPr>
        <w:pStyle w:val="Heading2"/>
      </w:pPr>
      <w:r>
        <w:t xml:space="preserve">Quality Progression Summary</w:t>
      </w:r>
    </w:p>
    <w:bookmarkStart w:id="73" w:name="tab:progression"/>
    <w:p>
      <w:pPr>
        <w:pStyle w:val="TableCaption"/>
      </w:pPr>
      <w:r>
        <w:t xml:space="preserve">Quality progression from v0.5.0 to v1.0.0 (1024-dim, 3-bit).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Quality progression from v0.5.0 to v1.0.0 (1024-dim, 3-bit).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Version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Method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CosSim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Error Reduction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v0.5.0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Lloyd-Max uniform 3-bit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0.978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baseline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v0.9.0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Eigenweighted 3.0b (PCA-384)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0.934</w:t>
            </w:r>
            <m:oMath>
              <m:sSup>
                <m:e>
                  <m:r>
                    <m:t>​</m:t>
                  </m:r>
                </m:e>
                <m:sup>
                  <m:r>
                    <m:rPr>
                      <m:sty m:val="p"/>
                    </m:rPr>
                    <m:t>†</m:t>
                  </m:r>
                </m:sup>
              </m:sSup>
            </m:oMath>
          </w:p>
        </w:tc>
        <w:tc>
          <w:tcPr/>
          <w:p>
            <w:pPr>
              <w:pStyle w:val="Compact"/>
              <w:jc w:val="center"/>
            </w:pPr>
            <w:r>
              <w:t xml:space="preserve">+16%</w:t>
            </w:r>
            <m:oMath>
              <m:sSup>
                <m:e>
                  <m:r>
                    <m:t>​</m:t>
                  </m:r>
                </m:e>
                <m:sup>
                  <m:r>
                    <m:rPr>
                      <m:sty m:val="p"/>
                    </m:rPr>
                    <m:t>†</m:t>
                  </m:r>
                </m:sup>
              </m:sSup>
            </m:oMath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v0.9.0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Asymmetric K4/V3 (keys)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0.995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77%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v1.0.0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Learned codebook 3-bit</w:t>
            </w:r>
          </w:p>
        </w:tc>
        <w:tc>
          <w:tcPr/>
          <w:p>
            <w:pPr>
              <w:pStyle w:val="Compact"/>
              <w:jc w:val="center"/>
            </w:pPr>
            <w:r>
              <w:rPr>
                <w:b/>
                <w:bCs/>
              </w:rPr>
              <w:t xml:space="preserve">0.983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22%</w:t>
            </w:r>
          </w:p>
        </w:tc>
      </w:tr>
      <w:tr>
        <w:tc>
          <w:tcPr>
            <w:gridSpan w:val="4"/>
          </w:tcPr>
          <w:p>
            <w:pPr>
              <w:pStyle w:val="Compact"/>
              <w:jc w:val="left"/>
            </w:pPr>
            <m:oMath>
              <m:sSup>
                <m:e>
                  <m:r>
                    <m:t>​</m:t>
                  </m:r>
                </m:e>
                <m:sup>
                  <m:r>
                    <m:rPr>
                      <m:sty m:val="p"/>
                    </m:rPr>
                    <m:t>†</m:t>
                  </m:r>
                </m:sup>
              </m:sSup>
            </m:oMath>
            <w:r>
              <w:t xml:space="preserve"> </w:t>
            </w:r>
            <w:r>
              <w:t xml:space="preserve">Includes PCA-384 dimension reduction (27.7</w:t>
            </w:r>
            <m:oMath>
              <m:r>
                <m:rPr>
                  <m:sty m:val="p"/>
                </m:rPr>
                <m:t>×</m:t>
              </m:r>
            </m:oMath>
            <w:r>
              <w:t xml:space="preserve"> </w:t>
            </w:r>
            <w:r>
              <w:t xml:space="preserve">total).</w:t>
            </w:r>
          </w:p>
        </w:tc>
      </w:tr>
    </w:tbl>
    <w:bookmarkEnd w:id="73"/>
    <w:p>
      <w:pPr>
        <w:pStyle w:val="BodyText"/>
      </w:pPr>
      <w:r>
        <w:t xml:space="preserve">The library grew from 175 tests and 8 modules (v0.5.0) to 397 tests and 27 modules (v1.0.0), with zero regressions across the entire development history.</w:t>
      </w:r>
    </w:p>
    <w:bookmarkEnd w:id="74"/>
    <w:bookmarkEnd w:id="75"/>
    <w:bookmarkStart w:id="80" w:name="sec:conclusion"/>
    <w:p>
      <w:pPr>
        <w:pStyle w:val="Heading1"/>
      </w:pPr>
      <w:r>
        <w:t xml:space="preserve">Conclusion</w:t>
      </w:r>
    </w:p>
    <w:p>
      <w:pPr>
        <w:pStyle w:val="FirstParagraph"/>
      </w:pPr>
      <w:r>
        <w:t xml:space="preserve">We have presented PCA-Matryoshka, a training-free technique that enables effective dimension truncation for embedding models that were not trained with Matryoshka representation learning.</w:t>
      </w:r>
      <w:r>
        <w:t xml:space="preserve"> </w:t>
      </w:r>
      <w:r>
        <w:t xml:space="preserve">The method is simple—compute PCA on a sample of embeddings, then rotate all vectors before truncating—but the empirical results are striking: on BGE-M3, PCA rotation improves truncation from 0.467 to 0.974 cosine similarity at 256 dimensions, a 109% improvement.</w:t>
      </w:r>
    </w:p>
    <w:p>
      <w:pPr>
        <w:pStyle w:val="BodyText"/>
      </w:pPr>
      <w:r>
        <w:t xml:space="preserve">Combined with TurboQuant 3-bit scalar quantization, PCA-Matryoshka achieves 27</w:t>
      </w:r>
      <m:oMath>
        <m:r>
          <m:rPr>
            <m:sty m:val="p"/>
          </m:rPr>
          <m:t>×</m:t>
        </m:r>
      </m:oMath>
      <w:r>
        <w:t xml:space="preserve"> </w:t>
      </w:r>
      <w:r>
        <w:t xml:space="preserve">compression at 0.979 cosine similarity, filling a previously empty region of the compression–quality Pareto frontier between scalar quantization (</w:t>
      </w:r>
      <m:oMath>
        <m:r>
          <m:rPr>
            <m:sty m:val="p"/>
          </m:rPr>
          <m:t>≤</m:t>
        </m:r>
      </m:oMath>
      <w:r>
        <w:t xml:space="preserve">10</w:t>
      </w:r>
      <m:oMath>
        <m:r>
          <m:rPr>
            <m:sty m:val="p"/>
          </m:rPr>
          <m:t>×</m:t>
        </m:r>
      </m:oMath>
      <w:r>
        <w:t xml:space="preserve">) and binary/product quantization (</w:t>
      </w:r>
      <m:oMath>
        <m:r>
          <m:rPr>
            <m:sty m:val="p"/>
          </m:rPr>
          <m:t>≥</m:t>
        </m:r>
      </m:oMath>
      <w:r>
        <w:t xml:space="preserve">32</w:t>
      </w:r>
      <m:oMath>
        <m:r>
          <m:rPr>
            <m:sty m:val="p"/>
          </m:rPr>
          <m:t>×</m:t>
        </m:r>
      </m:oMath>
      <w:r>
        <w:t xml:space="preserve">).</w:t>
      </w:r>
      <w:r>
        <w:t xml:space="preserve"> </w:t>
      </w:r>
      <w:r>
        <w:t xml:space="preserve">With learned codebooks (v1.0.0), this improves further to 0.983 cosine similarity—a 22% reduction in quantization error at the same bit-width.</w:t>
      </w:r>
    </w:p>
    <w:p>
      <w:pPr>
        <w:pStyle w:val="BodyText"/>
      </w:pPr>
      <w:r>
        <w:t xml:space="preserve">Our comprehensive benchmark of 15 compression methods reveals that PCA-Matryoshka + TurboQuant strictly dominates both binary quantization and product quantization across the practical compression range, while requiring no model retraining or access to the original training data.</w:t>
      </w:r>
    </w:p>
    <w:p>
      <w:pPr>
        <w:pStyle w:val="BodyText"/>
      </w:pPr>
      <w:r>
        <w:t xml:space="preserve">The implementation is open-source (</w:t>
      </w:r>
      <w:r>
        <w:rPr>
          <w:rStyle w:val="VerbatimChar"/>
        </w:rPr>
        <w:t xml:space="preserve">pip install turboquant-pro</w:t>
      </w:r>
      <w:r>
        <w:t xml:space="preserve">, v1.0.0: 397 tests, 27 modules) and supports KV cache compression with asymmetric bit allocation, RoPE-aware quantization, multi-modal embedding presets, production quality monitoring, and integration with pgvector, FAISS, vLLM, Milvus, Qdrant, Weaviate, and Pinecone.</w:t>
      </w:r>
    </w:p>
    <w:p>
      <w:pPr>
        <w:pStyle w:val="BodyText"/>
      </w:pPr>
      <w:r>
        <w:rPr>
          <w:b/>
          <w:bCs/>
        </w:rPr>
        <w:t xml:space="preserve">Future work.</w:t>
      </w:r>
      <w:r>
        <w:t xml:space="preserve"> </w:t>
      </w:r>
      <w:r>
        <w:t xml:space="preserve">One direction merits investigation: nonlinear rotation via a lightweight autoencoder, which could capture additional variance beyond what linear PCA provides.</w:t>
      </w:r>
    </w:p>
    <w:bookmarkStart w:id="79" w:name="fig:pipeline"/>
    <w:p>
      <w:pPr>
        <w:pStyle w:val="CaptionedFigure"/>
      </w:pPr>
      <w:r>
        <w:drawing>
          <wp:inline>
            <wp:extent cx="3289300" cy="1612900"/>
            <wp:effectExtent b="0" l="0" r="0" t="0"/>
            <wp:docPr descr="" title="" id="77" name="Picture"/>
            <a:graphic>
              <a:graphicData uri="http://schemas.openxmlformats.org/drawingml/2006/picture">
                <pic:pic>
                  <pic:nvPicPr>
                    <pic:cNvPr descr="fig_pipeline.pdf" id="78" name="Picture"/>
                    <pic:cNvPicPr>
                      <a:picLocks noChangeArrowheads="1"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612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The PCA-Matryoshka + TurboQuant compression pipeline. (1) A pre-trained PCA rotation matrix (fit once on a corpus sample) rotates input embeddings into the principal component basis. (2) Trailing dimensions are truncated. (3) The remaining dimensions are quantized to 3 bits using TurboQuant. At query time, the query vector undergoes the same rotation and truncation before search.</w:t>
      </w:r>
    </w:p>
    <w:bookmarkEnd w:id="79"/>
    <w:bookmarkEnd w:id="80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01">
    <w:nsid w:val="00A9920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image" Id="rId34" Target="media/rId34.pdf" /><Relationship Type="http://schemas.openxmlformats.org/officeDocument/2006/relationships/image" Id="rId29" Target="media/rId29.pdf" /><Relationship Type="http://schemas.openxmlformats.org/officeDocument/2006/relationships/image" Id="rId46" Target="media/rId46.pdf" /><Relationship Type="http://schemas.openxmlformats.org/officeDocument/2006/relationships/image" Id="rId76" Target="media/rId76.pdf" /><Relationship Type="http://schemas.openxmlformats.org/officeDocument/2006/relationships/image" Id="rId42" Target="media/rId42.pdf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PCA-Matryoshka: Enabling Effective Dimension Reduction for Non-Matryoshka Embedding Models with Applications to Vector Database Compression</dc:title>
  <dc:creator>Anonymous</dc:creator>
  <cp:keywords/>
  <dcterms:created xsi:type="dcterms:W3CDTF">2026-04-11T03:30:41Z</dcterms:created>
  <dcterms:modified xsi:type="dcterms:W3CDTF">2026-04-11T03:30:41Z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Matryoshka Representation Learning enables embedding models to produce vectors whose leading dimensions form useful lower-dimensional representations, allowing simple truncation for compression. However, this property requires specialized multi-scale training losses and is absent from the majority of deployed embedding models. We introduce PCA-Matryoshka, a training-free technique that applies a principal component analysis (PCA) rotation to any embedding model’s output, reordering dimensions by explained variance so that truncation becomes effective without retraining. On BGE-M3 embeddings (1024 dimensions, not trained with Matryoshka loss), naı̈ve truncation to 256 dimensions yields a cosine similarity of 0.467 against the full-dimensional representation—effectively unusable. PCA-Matryoshka truncation to 256 dimensions achieves 0.974 cosine similarity, a 109% improvement. Combined with 3-bit scalar quantization, PCA-Matryoshka delivers 27\times compression at 0.979 cosine similarity and 76.4% recall@10 on a 2.4-million-vector cross-civilizational ethics corpus. We provide a comprehensive empirical comparison against product quantization, binary embeddings, scalar quantization, and native Matryoshka truncation across 15 compression configurations. Our implementation is open-source and available as turboquant-pro on PyPI (v1.0.0: 397 tests, 27 modules, multi-modal support, production observability).</vt:lpwstr>
  </property>
  <property fmtid="{D5CDD505-2E9C-101B-9397-08002B2CF9AE}" pid="3" name="bibliography">
    <vt:lpwstr/>
  </property>
</Properties>
</file>