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626B9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AI量化系统产品需求文档（PRD）V1.0</w:t>
      </w:r>
    </w:p>
    <w:p w14:paraId="5A20B4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文档版本</w:t>
      </w:r>
      <w:r>
        <w:rPr>
          <w:rFonts w:ascii="Arial" w:hAnsi="Arial" w:eastAsia="等线" w:cs="Arial"/>
          <w:sz w:val="22"/>
        </w:rPr>
        <w:t>：V1.0</w:t>
      </w:r>
    </w:p>
    <w:p w14:paraId="6733B6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创建日期</w:t>
      </w:r>
      <w:r>
        <w:rPr>
          <w:rFonts w:ascii="Arial" w:hAnsi="Arial" w:eastAsia="等线" w:cs="Arial"/>
          <w:sz w:val="22"/>
        </w:rPr>
        <w:t>：2026年05月22日</w:t>
      </w:r>
    </w:p>
    <w:p w14:paraId="7BDD9A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文档状态</w:t>
      </w:r>
      <w:r>
        <w:rPr>
          <w:rFonts w:ascii="Arial" w:hAnsi="Arial" w:eastAsia="等线" w:cs="Arial"/>
          <w:sz w:val="22"/>
        </w:rPr>
        <w:t>：草稿</w:t>
      </w:r>
    </w:p>
    <w:p w14:paraId="61D384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适用范围</w:t>
      </w:r>
      <w:r>
        <w:rPr>
          <w:rFonts w:ascii="Arial" w:hAnsi="Arial" w:eastAsia="等线" w:cs="Arial"/>
          <w:sz w:val="22"/>
        </w:rPr>
        <w:t>：产品、研发、测试、运营团队</w:t>
      </w:r>
    </w:p>
    <w:p w14:paraId="584846FA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一、产品概述</w:t>
      </w:r>
      <w:bookmarkEnd w:id="0"/>
    </w:p>
    <w:p w14:paraId="53F01618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1.1 产品背景</w:t>
      </w:r>
      <w:bookmarkEnd w:id="1"/>
    </w:p>
    <w:p w14:paraId="130D90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当前加密货币量化交易手动操作繁琐、策略落地门槛高、交易执行不及时、收益数据不直观。为降低用户量化交易门槛，实现智能化、自动化交易，打造基于AI智能体的福纹AI量化系统，依托AI智能分析、专业交易引擎，完成全流程自动化交易，同时提供可视化收益数据与行业收益排行，最终实现</w:t>
      </w:r>
      <w:r>
        <w:rPr>
          <w:rFonts w:ascii="Arial" w:hAnsi="Arial" w:eastAsia="等线" w:cs="Arial"/>
          <w:b/>
          <w:sz w:val="22"/>
        </w:rPr>
        <w:t>手机IM端智能交易自动驾驶</w:t>
      </w:r>
      <w:r>
        <w:rPr>
          <w:rFonts w:ascii="Arial" w:hAnsi="Arial" w:eastAsia="等线" w:cs="Arial"/>
          <w:sz w:val="22"/>
        </w:rPr>
        <w:t>。</w:t>
      </w:r>
    </w:p>
    <w:p w14:paraId="5E100185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1.2 产品目标</w:t>
      </w:r>
      <w:bookmarkEnd w:id="2"/>
    </w:p>
    <w:p w14:paraId="76375A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打通OKX交易所API对接能力，依托CrewAI智能体实现数据采集、策略生成、交易信号输出全智能化。</w:t>
      </w:r>
    </w:p>
    <w:p w14:paraId="1C0FFA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搭载双交易引擎，完成开仓、平仓、仓位管理全自动化流程，实时同步交易数据至用户手机IM。</w:t>
      </w:r>
    </w:p>
    <w:p w14:paraId="1F0A94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搭建多周期收益排行榜，可视化展示用户交易核心数据，直观呈现交易能力与收益水平。</w:t>
      </w:r>
    </w:p>
    <w:p w14:paraId="4F0A15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最终实现用户无需手动操作，通过手机IM即可完成全流程智能量化交易，达成</w:t>
      </w:r>
      <w:r>
        <w:rPr>
          <w:rFonts w:ascii="Arial" w:hAnsi="Arial" w:eastAsia="等线" w:cs="Arial"/>
          <w:b/>
          <w:sz w:val="22"/>
        </w:rPr>
        <w:t>交易自动驾驶</w:t>
      </w:r>
      <w:r>
        <w:rPr>
          <w:rFonts w:ascii="Arial" w:hAnsi="Arial" w:eastAsia="等线" w:cs="Arial"/>
          <w:sz w:val="22"/>
        </w:rPr>
        <w:t>核心目标。</w:t>
      </w:r>
    </w:p>
    <w:p w14:paraId="31583A7D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1.3 核心价值</w:t>
      </w:r>
      <w:bookmarkEnd w:id="3"/>
    </w:p>
    <w:p w14:paraId="64E7AF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低门槛、全自动化、可视化、智能化，让普通用户无需量化专业知识，即可依托AI智能体实现专业级量化交易，规避人工操作滞后、情绪化交易问题，提升交易效率与收益稳定性。</w:t>
      </w:r>
    </w:p>
    <w:p w14:paraId="24CFEC9B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二、用户角色与使用场景</w:t>
      </w:r>
      <w:bookmarkEnd w:id="4"/>
    </w:p>
    <w:p w14:paraId="7AEAE007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2.1 目标用户</w:t>
      </w:r>
      <w:bookmarkEnd w:id="5"/>
    </w:p>
    <w:p w14:paraId="317ACF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加密货币量化交易爱好者、普通交易用户、轻量化量化交易者，具备OKX交易所账号，希望通过智能化工具实现自动化交易、无需实时盯盘的用户。</w:t>
      </w:r>
    </w:p>
    <w:p w14:paraId="3C8049CD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2.2 核心使用场景</w:t>
      </w:r>
      <w:bookmarkEnd w:id="6"/>
    </w:p>
    <w:p w14:paraId="706FF6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用户绑定OKX API KEY，授权系统对接交易所数据与交易权限。</w:t>
      </w:r>
    </w:p>
    <w:p w14:paraId="63E0ED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系统通过CrewAI自动采集市场数据、生成量化策略、输出交易信号。</w:t>
      </w:r>
    </w:p>
    <w:p w14:paraId="602D4D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交易引擎自动执行开仓、平仓、仓位调仓等操作，全程无需人工干预。</w:t>
      </w:r>
    </w:p>
    <w:p w14:paraId="034814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用户通过手机IM实时接收交易结果、查看资金收益曲线。</w:t>
      </w:r>
    </w:p>
    <w:p w14:paraId="63BAAA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用户查看日/周/月收益排行榜，参考自身及平台用户交易数据，优化交易配置。</w:t>
      </w:r>
    </w:p>
    <w:p w14:paraId="3C8592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长期依托手机IM智能体，实现全天候全自动交易自动驾驶。</w:t>
      </w:r>
    </w:p>
    <w:p w14:paraId="47F3D03B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三、整体产品流程</w:t>
      </w:r>
      <w:bookmarkEnd w:id="7"/>
    </w:p>
    <w:p w14:paraId="051F66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用户绑定OKX API KEY → 系统CrewAI智能抓取市场数据、生成交易策略与信号 → 福纹/Nautilus双交易引擎执行全流程交易操作 → 实时推送交易记录、资金曲线至手机IM → 平台统计用户交易数据，生成多周期收益排行榜 → 持续迭代策略，实现IM端全自动交易自动驾驶。</w:t>
      </w:r>
    </w:p>
    <w:p w14:paraId="3DD58422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四、核心功能需求（重点）</w:t>
      </w:r>
      <w:bookmarkEnd w:id="8"/>
    </w:p>
    <w:p w14:paraId="35AFA405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4.1 交易所API对接与AI智能策略模块</w:t>
      </w:r>
      <w:bookmarkEnd w:id="9"/>
    </w:p>
    <w:p w14:paraId="44AE7CF8">
      <w:pPr>
        <w:spacing w:before="260" w:after="120" w:line="288" w:lineRule="auto"/>
        <w:ind w:left="0"/>
        <w:jc w:val="left"/>
        <w:outlineLvl w:val="3"/>
      </w:pPr>
      <w:bookmarkStart w:id="10" w:name="heading_10"/>
      <w:r>
        <w:rPr>
          <w:rFonts w:ascii="Arial" w:hAnsi="Arial" w:eastAsia="等线" w:cs="Arial"/>
          <w:b/>
          <w:sz w:val="28"/>
        </w:rPr>
        <w:t>4.1.1 功能描述</w:t>
      </w:r>
      <w:bookmarkEnd w:id="10"/>
    </w:p>
    <w:p w14:paraId="1A3504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用户录入OKX API KEY完成授权绑定后，系统建立与OKX交易所的稳定连接，通过CrewAI智能体完成市场数据采集、量化策略自主生成、交易信号智能输出，为自动化交易提供核心依据。</w:t>
      </w:r>
    </w:p>
    <w:p w14:paraId="710CC49B">
      <w:pPr>
        <w:spacing w:before="260" w:after="120" w:line="288" w:lineRule="auto"/>
        <w:ind w:left="0"/>
        <w:jc w:val="left"/>
        <w:outlineLvl w:val="3"/>
      </w:pPr>
      <w:bookmarkStart w:id="11" w:name="heading_11"/>
      <w:r>
        <w:rPr>
          <w:rFonts w:ascii="Arial" w:hAnsi="Arial" w:eastAsia="等线" w:cs="Arial"/>
          <w:b/>
          <w:sz w:val="28"/>
        </w:rPr>
        <w:t>4.1.2 功能细则</w:t>
      </w:r>
      <w:bookmarkEnd w:id="11"/>
    </w:p>
    <w:p w14:paraId="7CD046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支持用户录入、绑定、解绑OKX API KEY，保障API信息加密存储，杜绝数据泄露。</w:t>
      </w:r>
    </w:p>
    <w:p w14:paraId="2170979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CrewAI智能体7×24小时自动抓取加密货币市场行情、价格、波动等核心交易数据。</w:t>
      </w:r>
    </w:p>
    <w:p w14:paraId="73247A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基于实时市场数据，AI自主分析行情趋势，生成适配当前市场的量化交易策略。</w:t>
      </w:r>
    </w:p>
    <w:p w14:paraId="0829D3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根据策略规则实时输出精准开仓、平仓交易信号，同步下发至交易引擎。</w:t>
      </w:r>
    </w:p>
    <w:p w14:paraId="7BE9280C">
      <w:pPr>
        <w:spacing w:before="260" w:after="120" w:line="288" w:lineRule="auto"/>
        <w:ind w:left="0"/>
        <w:jc w:val="left"/>
        <w:outlineLvl w:val="3"/>
      </w:pPr>
      <w:bookmarkStart w:id="12" w:name="heading_12"/>
      <w:r>
        <w:rPr>
          <w:rFonts w:ascii="Arial" w:hAnsi="Arial" w:eastAsia="等线" w:cs="Arial"/>
          <w:b/>
          <w:sz w:val="28"/>
        </w:rPr>
        <w:t>4.1.3 交互逻辑</w:t>
      </w:r>
      <w:bookmarkEnd w:id="12"/>
    </w:p>
    <w:p w14:paraId="667B11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用户绑定API KEY成功后，系统自动启动CrewAI数据采集与策略运算，无需用户手动触发，全程静默智能运行。</w:t>
      </w:r>
    </w:p>
    <w:p w14:paraId="56B96A02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4.2 全自动交易引擎模块</w:t>
      </w:r>
      <w:bookmarkEnd w:id="13"/>
    </w:p>
    <w:p w14:paraId="4121E192">
      <w:pPr>
        <w:spacing w:before="260" w:after="120" w:line="288" w:lineRule="auto"/>
        <w:ind w:left="0"/>
        <w:jc w:val="left"/>
        <w:outlineLvl w:val="3"/>
      </w:pPr>
      <w:bookmarkStart w:id="14" w:name="heading_14"/>
      <w:r>
        <w:rPr>
          <w:rFonts w:ascii="Arial" w:hAnsi="Arial" w:eastAsia="等线" w:cs="Arial"/>
          <w:b/>
          <w:sz w:val="28"/>
        </w:rPr>
        <w:t>4.2.1 功能描述</w:t>
      </w:r>
      <w:bookmarkEnd w:id="14"/>
    </w:p>
    <w:p w14:paraId="4725AB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系统提供双交易引擎可选（福纹交易引擎、Nautilus交易引擎），接收CrewAI交易信号，自动完成开仓、平仓、仓位调整、风控管理全流程交易操作，实现无人值守自动化交易。</w:t>
      </w:r>
    </w:p>
    <w:p w14:paraId="063DF303">
      <w:pPr>
        <w:spacing w:before="260" w:after="120" w:line="288" w:lineRule="auto"/>
        <w:ind w:left="0"/>
        <w:jc w:val="left"/>
        <w:outlineLvl w:val="3"/>
      </w:pPr>
      <w:bookmarkStart w:id="15" w:name="heading_15"/>
      <w:r>
        <w:rPr>
          <w:rFonts w:ascii="Arial" w:hAnsi="Arial" w:eastAsia="等线" w:cs="Arial"/>
          <w:b/>
          <w:sz w:val="28"/>
        </w:rPr>
        <w:t>4.2.2 功能细则</w:t>
      </w:r>
      <w:bookmarkEnd w:id="15"/>
    </w:p>
    <w:p w14:paraId="61343F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双引擎适配：支持用户自主选择福纹交易引擎或Nautilus交易引擎，满足不同交易场景需求。</w:t>
      </w:r>
    </w:p>
    <w:p w14:paraId="438F21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全流程交易：根据AI信号自动执行开仓、止盈平仓、止损平仓、仓位加减、持仓风控等操作。</w:t>
      </w:r>
    </w:p>
    <w:p w14:paraId="42A4ED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实时结果同步：每笔交易完成后，实时生成交易结果数据，包含交易时间、交易币种、开平仓价格、盈亏金额、持仓数量等信息。</w:t>
      </w:r>
    </w:p>
    <w:p w14:paraId="02C73F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资金曲线可视化：系统实时统计用户账户资金变动，生成动态资金收益曲线图，直观展示收益走势。</w:t>
      </w:r>
    </w:p>
    <w:p w14:paraId="499C6FCB">
      <w:pPr>
        <w:spacing w:before="260" w:after="120" w:line="288" w:lineRule="auto"/>
        <w:ind w:left="0"/>
        <w:jc w:val="left"/>
        <w:outlineLvl w:val="3"/>
      </w:pPr>
      <w:bookmarkStart w:id="16" w:name="heading_16"/>
      <w:r>
        <w:rPr>
          <w:rFonts w:ascii="Arial" w:hAnsi="Arial" w:eastAsia="等线" w:cs="Arial"/>
          <w:b/>
          <w:sz w:val="28"/>
        </w:rPr>
        <w:t>4.2.3 多平台IM消息推送能力</w:t>
      </w:r>
      <w:bookmarkEnd w:id="16"/>
    </w:p>
    <w:p w14:paraId="2E23E1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系统支持通过APIKey授权接入</w:t>
      </w:r>
      <w:r>
        <w:rPr>
          <w:rFonts w:ascii="Arial" w:hAnsi="Arial" w:eastAsia="等线" w:cs="Arial"/>
          <w:b/>
          <w:sz w:val="22"/>
        </w:rPr>
        <w:t>Telegram、WhatsApp、飞书</w:t>
      </w:r>
      <w:r>
        <w:rPr>
          <w:rFonts w:ascii="Arial" w:hAnsi="Arial" w:eastAsia="等线" w:cs="Arial"/>
          <w:sz w:val="22"/>
        </w:rPr>
        <w:t>三大主流移动端IM平台，替代单一手机IM推送，用户可自主绑定多个IM渠道，系统将账户查询结果、实时交易结果、动态资金收益曲线图、交易异常提醒等数据，通过对应平台API实时推送至用户绑定的IM账号，用户无需登录系统后台，可随时随地跨端查看账户交易与资金数据，实现多端轻量化管控。</w:t>
      </w:r>
    </w:p>
    <w:p w14:paraId="758297F5">
      <w:pPr>
        <w:spacing w:before="260" w:after="120" w:line="288" w:lineRule="auto"/>
        <w:ind w:left="0"/>
        <w:jc w:val="left"/>
        <w:outlineLvl w:val="3"/>
      </w:pPr>
      <w:bookmarkStart w:id="17" w:name="heading_17"/>
      <w:r>
        <w:rPr>
          <w:rFonts w:ascii="Arial" w:hAnsi="Arial" w:eastAsia="等线" w:cs="Arial"/>
          <w:b/>
          <w:sz w:val="28"/>
        </w:rPr>
        <w:t>4.2.4 多IM平台接入功能细则</w:t>
      </w:r>
      <w:bookmarkEnd w:id="17"/>
    </w:p>
    <w:p w14:paraId="473A88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接入方式：全程采用</w:t>
      </w:r>
      <w:r>
        <w:rPr>
          <w:rFonts w:ascii="Arial" w:hAnsi="Arial" w:eastAsia="等线" w:cs="Arial"/>
          <w:b/>
          <w:sz w:val="22"/>
        </w:rPr>
        <w:t>APIKey授权对接</w:t>
      </w:r>
      <w:r>
        <w:rPr>
          <w:rFonts w:ascii="Arial" w:hAnsi="Arial" w:eastAsia="等线" w:cs="Arial"/>
          <w:sz w:val="22"/>
        </w:rPr>
        <w:t>模式，用户分别获取Telegram、WhatsApp、飞书对应机器人APIKey/对接密钥，在系统内录入并完成授权绑定，建立安全通信通道。</w:t>
      </w:r>
    </w:p>
    <w:p w14:paraId="059BBB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绑定管理：支持单用户绑定单个或多个IM平台，同时支持任意平台的解绑、重新授权、密钥更新操作，所有接入密钥全程加密存储。</w:t>
      </w:r>
    </w:p>
    <w:p w14:paraId="56D6D7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推送内容统一：所有绑定的IM平台推送内容一致，包含账户资金查询结果、每笔开平仓交易明细、实时资金收益曲线缩略信息、策略运行状态、账户持仓查询结果、交易异常风控提醒。</w:t>
      </w:r>
    </w:p>
    <w:p w14:paraId="1D74D7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个性化推送配置：支持用户自主开启/关闭单平台推送、筛选推送内容（可单独开启交易通知、资金变动通知、风控提醒、账户查询结果推送），避免消息冗余。</w:t>
      </w:r>
    </w:p>
    <w:p w14:paraId="759A29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数据同步能力：用户在任意IM渠道发起简易账户查询指令，系统可实时调取账户数据、交易数据、收益数据，并将查询结果即时回推至对应IM平台。</w:t>
      </w:r>
    </w:p>
    <w:p w14:paraId="441F499F">
      <w:pPr>
        <w:spacing w:before="260" w:after="120" w:line="288" w:lineRule="auto"/>
        <w:ind w:left="0"/>
        <w:jc w:val="left"/>
        <w:outlineLvl w:val="3"/>
      </w:pPr>
      <w:bookmarkStart w:id="18" w:name="heading_18"/>
      <w:r>
        <w:rPr>
          <w:rFonts w:ascii="Arial" w:hAnsi="Arial" w:eastAsia="等线" w:cs="Arial"/>
          <w:b/>
          <w:sz w:val="28"/>
        </w:rPr>
        <w:t>4.2.5 交互逻辑</w:t>
      </w:r>
      <w:bookmarkEnd w:id="18"/>
    </w:p>
    <w:p w14:paraId="3BBC9D2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用户录入对应IM平台APIKey并授权成功后，系统自动激活对应渠道推送能力，无需额外配置；交易完成、资金变动、账户数据更新后，系统并行推送至用户所有已绑定的IM平台，全程实时静默推送，支持7×24小时不间断消息同步。</w:t>
      </w:r>
    </w:p>
    <w:p w14:paraId="7938E6E1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4.3 多周期收益排行榜模块</w:t>
      </w:r>
      <w:bookmarkEnd w:id="19"/>
    </w:p>
    <w:p w14:paraId="4A0D3B88">
      <w:pPr>
        <w:spacing w:before="260" w:after="120" w:line="288" w:lineRule="auto"/>
        <w:ind w:left="0"/>
        <w:jc w:val="left"/>
        <w:outlineLvl w:val="3"/>
      </w:pPr>
      <w:bookmarkStart w:id="20" w:name="heading_20"/>
      <w:r>
        <w:rPr>
          <w:rFonts w:ascii="Arial" w:hAnsi="Arial" w:eastAsia="等线" w:cs="Arial"/>
          <w:b/>
          <w:sz w:val="28"/>
        </w:rPr>
        <w:t>4.3.1 功能描述</w:t>
      </w:r>
      <w:bookmarkEnd w:id="20"/>
    </w:p>
    <w:p w14:paraId="410312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系统根据全平台用户交易数据，自动统计生成</w:t>
      </w:r>
      <w:r>
        <w:rPr>
          <w:rFonts w:ascii="Arial" w:hAnsi="Arial" w:eastAsia="等线" w:cs="Arial"/>
          <w:b/>
          <w:sz w:val="22"/>
        </w:rPr>
        <w:t>日、周、月</w:t>
      </w:r>
      <w:r>
        <w:rPr>
          <w:rFonts w:ascii="Arial" w:hAnsi="Arial" w:eastAsia="等线" w:cs="Arial"/>
          <w:sz w:val="22"/>
        </w:rPr>
        <w:t>三个时间周期的资金收益排行榜，支持点击查看用户详细交易数据，实现交易数据透明化、可视化。</w:t>
      </w:r>
    </w:p>
    <w:p w14:paraId="491E798D">
      <w:pPr>
        <w:spacing w:before="260" w:after="120" w:line="288" w:lineRule="auto"/>
        <w:ind w:left="0"/>
        <w:jc w:val="left"/>
        <w:outlineLvl w:val="3"/>
      </w:pPr>
      <w:bookmarkStart w:id="21" w:name="heading_21"/>
      <w:r>
        <w:rPr>
          <w:rFonts w:ascii="Arial" w:hAnsi="Arial" w:eastAsia="等线" w:cs="Arial"/>
          <w:b/>
          <w:sz w:val="28"/>
        </w:rPr>
        <w:t>4.3.2 功能细则</w:t>
      </w:r>
      <w:bookmarkEnd w:id="21"/>
    </w:p>
    <w:p w14:paraId="505BFD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榜单维度：分为日收益榜、周收益榜、月收益榜，支持用户自由切换查看。</w:t>
      </w:r>
    </w:p>
    <w:p w14:paraId="2F05AF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榜单展示：按周期收益率自动排序，展示用户排名、用户显示名称、周期收益概况。</w:t>
      </w:r>
    </w:p>
    <w:p w14:paraId="4CDFCE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详情查看：点击榜单内任意用户条目，可展开查看核心交易指标，包含</w:t>
      </w:r>
      <w:r>
        <w:rPr>
          <w:rFonts w:ascii="Arial" w:hAnsi="Arial" w:eastAsia="等线" w:cs="Arial"/>
          <w:b/>
          <w:sz w:val="22"/>
        </w:rPr>
        <w:t>收益率、胜率、盈亏比、夏普率</w:t>
      </w:r>
      <w:r>
        <w:rPr>
          <w:rFonts w:ascii="Arial" w:hAnsi="Arial" w:eastAsia="等线" w:cs="Arial"/>
          <w:sz w:val="22"/>
        </w:rPr>
        <w:t>等专业量化数据。</w:t>
      </w:r>
    </w:p>
    <w:p w14:paraId="3C40C5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数据更新：各周期榜单实时动态更新，同步用户最新交易收益数据。</w:t>
      </w:r>
    </w:p>
    <w:p w14:paraId="74DC1B9F">
      <w:pPr>
        <w:spacing w:before="300" w:after="120" w:line="288" w:lineRule="auto"/>
        <w:ind w:left="0"/>
        <w:jc w:val="left"/>
        <w:outlineLvl w:val="2"/>
      </w:pPr>
      <w:bookmarkStart w:id="22" w:name="heading_22"/>
      <w:r>
        <w:rPr>
          <w:rFonts w:ascii="Arial" w:hAnsi="Arial" w:eastAsia="等线" w:cs="Arial"/>
          <w:b/>
          <w:sz w:val="30"/>
        </w:rPr>
        <w:t>4.4 最终能力：手机IM交易自动驾驶</w:t>
      </w:r>
      <w:bookmarkEnd w:id="22"/>
    </w:p>
    <w:p w14:paraId="1D5A3E58">
      <w:pPr>
        <w:spacing w:before="260" w:after="120" w:line="288" w:lineRule="auto"/>
        <w:ind w:left="0"/>
        <w:jc w:val="left"/>
        <w:outlineLvl w:val="3"/>
      </w:pPr>
      <w:bookmarkStart w:id="23" w:name="heading_23"/>
      <w:r>
        <w:rPr>
          <w:rFonts w:ascii="Arial" w:hAnsi="Arial" w:eastAsia="等线" w:cs="Arial"/>
          <w:b/>
          <w:sz w:val="28"/>
        </w:rPr>
        <w:t>4.4.1 功能目标</w:t>
      </w:r>
      <w:bookmarkEnd w:id="23"/>
    </w:p>
    <w:p w14:paraId="5C503E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依托上述核心功能，实现产品终极形态：用户完成初始API绑定与引擎配置后，无需后台操作、无需盯盘、无需手动交易，全程由AI智能体自主完成数据分析、策略生成、交易执行、仓位管理。</w:t>
      </w:r>
    </w:p>
    <w:p w14:paraId="6F47E045">
      <w:pPr>
        <w:spacing w:before="260" w:after="120" w:line="288" w:lineRule="auto"/>
        <w:ind w:left="0"/>
        <w:jc w:val="left"/>
        <w:outlineLvl w:val="3"/>
      </w:pPr>
      <w:bookmarkStart w:id="24" w:name="heading_24"/>
      <w:r>
        <w:rPr>
          <w:rFonts w:ascii="Arial" w:hAnsi="Arial" w:eastAsia="等线" w:cs="Arial"/>
          <w:b/>
          <w:sz w:val="28"/>
        </w:rPr>
        <w:t>4.4.2 自动驾驶能力</w:t>
      </w:r>
      <w:bookmarkEnd w:id="24"/>
    </w:p>
    <w:p w14:paraId="452A8B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全自主运行：7×24小时无间断智能交易，适配全球加密货币市场不间断交易特性。</w:t>
      </w:r>
    </w:p>
    <w:p w14:paraId="6E8306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移动端管控：用户仅通过手机IM即可接收交易动态、查看收益数据，完成轻量化管控。</w:t>
      </w:r>
    </w:p>
    <w:p w14:paraId="4BD18E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智能迭代：AI持续学习市场行情，动态优化交易策略，适配市场波动变化。</w:t>
      </w:r>
    </w:p>
    <w:p w14:paraId="770461A0">
      <w:pPr>
        <w:spacing w:before="320" w:after="120" w:line="288" w:lineRule="auto"/>
        <w:ind w:left="0"/>
        <w:jc w:val="left"/>
        <w:outlineLvl w:val="1"/>
      </w:pPr>
      <w:bookmarkStart w:id="25" w:name="heading_25"/>
      <w:r>
        <w:rPr>
          <w:rFonts w:ascii="Arial" w:hAnsi="Arial" w:eastAsia="等线" w:cs="Arial"/>
          <w:b/>
          <w:sz w:val="32"/>
        </w:rPr>
        <w:t>五、非功能需求</w:t>
      </w:r>
      <w:bookmarkEnd w:id="25"/>
    </w:p>
    <w:p w14:paraId="0A609815">
      <w:pPr>
        <w:spacing w:before="300" w:after="120" w:line="288" w:lineRule="auto"/>
        <w:ind w:left="0"/>
        <w:jc w:val="left"/>
        <w:outlineLvl w:val="2"/>
      </w:pPr>
      <w:bookmarkStart w:id="26" w:name="heading_26"/>
      <w:r>
        <w:rPr>
          <w:rFonts w:ascii="Arial" w:hAnsi="Arial" w:eastAsia="等线" w:cs="Arial"/>
          <w:b/>
          <w:sz w:val="30"/>
        </w:rPr>
        <w:t>5.1 性能需求</w:t>
      </w:r>
      <w:bookmarkEnd w:id="26"/>
    </w:p>
    <w:p w14:paraId="083201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API对接响应延迟≤1s，行情数据实时同步，无明显滞后。</w:t>
      </w:r>
    </w:p>
    <w:p w14:paraId="7253C7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交易信号生成、引擎执行耗时≤2s，保证交易及时性，避免行情滑点。</w:t>
      </w:r>
    </w:p>
    <w:p w14:paraId="00AFFF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资金曲线、榜单数据更新延迟≤5s，IM多平台消息推送整体延迟≤3s，数据展示实时准确。</w:t>
      </w:r>
    </w:p>
    <w:p w14:paraId="1357A772">
      <w:pPr>
        <w:spacing w:before="300" w:after="120" w:line="288" w:lineRule="auto"/>
        <w:ind w:left="0"/>
        <w:jc w:val="left"/>
        <w:outlineLvl w:val="2"/>
      </w:pPr>
      <w:bookmarkStart w:id="27" w:name="heading_27"/>
      <w:r>
        <w:rPr>
          <w:rFonts w:ascii="Arial" w:hAnsi="Arial" w:eastAsia="等线" w:cs="Arial"/>
          <w:b/>
          <w:sz w:val="30"/>
        </w:rPr>
        <w:t>5.2 安全需求</w:t>
      </w:r>
      <w:bookmarkEnd w:id="27"/>
    </w:p>
    <w:p w14:paraId="18A097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用户OKX API KEY加密存储，仅用户本人可见，系统不明文展示、不泄露用户交易隐私。</w:t>
      </w:r>
    </w:p>
    <w:p w14:paraId="580AED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交易操作全程合规，仅执行用户授权范围内的交易权限，无超额操作风险。</w:t>
      </w:r>
    </w:p>
    <w:p w14:paraId="3DD7DB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用户交易数据、收益数据、各IM平台接入密钥数据加密存储，防止数据篡改、丢失、泄露。</w:t>
      </w:r>
    </w:p>
    <w:p w14:paraId="272972EB">
      <w:pPr>
        <w:spacing w:before="300" w:after="120" w:line="288" w:lineRule="auto"/>
        <w:ind w:left="0"/>
        <w:jc w:val="left"/>
        <w:outlineLvl w:val="2"/>
      </w:pPr>
      <w:bookmarkStart w:id="28" w:name="heading_28"/>
      <w:r>
        <w:rPr>
          <w:rFonts w:ascii="Arial" w:hAnsi="Arial" w:eastAsia="等线" w:cs="Arial"/>
          <w:b/>
          <w:sz w:val="30"/>
        </w:rPr>
        <w:t>5.3 稳定性需求</w:t>
      </w:r>
      <w:bookmarkEnd w:id="28"/>
    </w:p>
    <w:p w14:paraId="67CD48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系统全年运行稳定性≥99.9%，无频繁宕机、断连问题。</w:t>
      </w:r>
    </w:p>
    <w:p w14:paraId="577A99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极端行情下，交易引擎不卡顿、不失效，正常执行止盈止损、仓位风控操作。</w:t>
      </w:r>
    </w:p>
    <w:p w14:paraId="59C8C98E">
      <w:pPr>
        <w:spacing w:before="320" w:after="120" w:line="288" w:lineRule="auto"/>
        <w:ind w:left="0"/>
        <w:jc w:val="left"/>
        <w:outlineLvl w:val="1"/>
      </w:pPr>
      <w:bookmarkStart w:id="29" w:name="heading_29"/>
      <w:r>
        <w:rPr>
          <w:rFonts w:ascii="Arial" w:hAnsi="Arial" w:eastAsia="等线" w:cs="Arial"/>
          <w:b/>
          <w:sz w:val="32"/>
        </w:rPr>
        <w:t>六、版本迭代范围（V1.0）</w:t>
      </w:r>
      <w:bookmarkEnd w:id="29"/>
    </w:p>
    <w:p w14:paraId="78B45D90">
      <w:pPr>
        <w:spacing w:before="300" w:after="120" w:line="288" w:lineRule="auto"/>
        <w:ind w:left="0"/>
        <w:jc w:val="left"/>
        <w:outlineLvl w:val="2"/>
      </w:pPr>
      <w:bookmarkStart w:id="30" w:name="heading_30"/>
      <w:r>
        <w:rPr>
          <w:rFonts w:ascii="Arial" w:hAnsi="Arial" w:eastAsia="等线" w:cs="Arial"/>
          <w:b/>
          <w:sz w:val="30"/>
        </w:rPr>
        <w:t>6.1 本期上线功能</w:t>
      </w:r>
      <w:bookmarkEnd w:id="30"/>
    </w:p>
    <w:p w14:paraId="609C34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OKX API KEY绑定、解绑、加密存储功能。</w:t>
      </w:r>
    </w:p>
    <w:p w14:paraId="2C0ED9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CrewAI数据采集、策略生成、交易信号输出功能。</w:t>
      </w:r>
    </w:p>
    <w:p w14:paraId="2205A9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福纹、Nautilus双交易引擎全流程自动交易与仓位管理功能。</w:t>
      </w:r>
    </w:p>
    <w:p w14:paraId="7462ED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交易结果、资金收益曲线、账户查询结果，多端（Telegram/WhatsApp/飞书）IM实时推送功能。</w:t>
      </w:r>
    </w:p>
    <w:p w14:paraId="725AF1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日/周/月三周期收益排行榜及用户交易详情查看功能。</w:t>
      </w:r>
    </w:p>
    <w:p w14:paraId="472B4FB4">
      <w:pPr>
        <w:spacing w:before="300" w:after="120" w:line="288" w:lineRule="auto"/>
        <w:ind w:left="0"/>
        <w:jc w:val="left"/>
        <w:outlineLvl w:val="2"/>
      </w:pPr>
      <w:bookmarkStart w:id="31" w:name="heading_31"/>
      <w:r>
        <w:rPr>
          <w:rFonts w:ascii="Arial" w:hAnsi="Arial" w:eastAsia="等线" w:cs="Arial"/>
          <w:b/>
          <w:sz w:val="30"/>
        </w:rPr>
        <w:t>6.2 下期迭代目标</w:t>
      </w:r>
      <w:bookmarkEnd w:id="31"/>
    </w:p>
    <w:p w14:paraId="1AD359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完善手机多端IM（Telegram/WhatsApp/飞书）智能体交互能力，优化AI策略模型，升级全自动交易自动驾驶体验，支持更多交易所API对接、自定义风控参数、IM推送模板自定义等功能。</w:t>
      </w:r>
    </w:p>
    <w:p w14:paraId="6BADFBB3">
      <w:pPr>
        <w:spacing w:before="320" w:after="120" w:line="288" w:lineRule="auto"/>
        <w:ind w:left="0"/>
        <w:jc w:val="left"/>
        <w:outlineLvl w:val="1"/>
      </w:pPr>
      <w:bookmarkStart w:id="32" w:name="heading_32"/>
      <w:r>
        <w:rPr>
          <w:rFonts w:ascii="Arial" w:hAnsi="Arial" w:eastAsia="等线" w:cs="Arial"/>
          <w:b/>
          <w:sz w:val="32"/>
        </w:rPr>
        <w:t>七、风险说明</w:t>
      </w:r>
      <w:bookmarkEnd w:id="32"/>
    </w:p>
    <w:p w14:paraId="141E6AC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市场行情极端波动可能导致量化策略收益波动，系统仅提供智能交易工具，不承诺固定收益。</w:t>
      </w:r>
    </w:p>
    <w:p w14:paraId="5C8FAD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依赖OKX交易所API稳定性，若交易所接口异常，会短暂影响交易执行。</w:t>
      </w:r>
    </w:p>
    <w:p w14:paraId="5B958C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需提醒用户妥善保管OKX API KEY及各IM平台对接密钥，避免密钥泄露导致账户风险；同时需保障IM平台账号安全，防止消息被非法获取。</w:t>
      </w:r>
    </w:p>
    <w:p w14:paraId="374CF696">
      <w:pPr>
        <w:spacing w:before="120" w:after="120" w:line="288" w:lineRule="auto"/>
        <w:ind w:left="0"/>
        <w:jc w:val="left"/>
      </w:pPr>
      <w:bookmarkStart w:id="33" w:name="_GoBack"/>
      <w:bookmarkEnd w:id="33"/>
    </w:p>
    <w:p w14:paraId="4662FD64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7FE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CB77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913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3179</Words>
  <Characters>3601</Characters>
  <TotalTime>0</TotalTime>
  <ScaleCrop>false</ScaleCrop>
  <LinksUpToDate>false</LinksUpToDate>
  <CharactersWithSpaces>3700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2026-05-22T11:23:00Z</dcterms:created>
  <dc:creator>Apache POI</dc:creator>
  <cp:lastModifiedBy>欧阳福,Forde</cp:lastModifiedBy>
  <dcterms:modified xsi:type="dcterms:W3CDTF">2026-05-22T11:26:19Z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eyJoZGlkIjoiZjFmODc5MTNhNmQyM2Q2Yzg1OGZiMmM4ODQ5MzIxODgiLCJ1c2VySWQiOiIyNDUyNzg4MzMifQ==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E093EC92846540D7A65CCF1ED5CD1362_13</vt:lpwstr>
  </property>
</Properties>
</file>