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800"/>
      </w:tblGrid>
      <w:tr w:rsidR="003A5020" w14:paraId="73F4E6EC" w14:textId="77777777">
        <w:tc>
          <w:tcPr>
            <w:tcW w:w="10800" w:type="dxa"/>
            <w:shd w:val="clear" w:color="auto" w:fill="080D18"/>
            <w:tcMar>
              <w:top w:w="200" w:type="dxa"/>
              <w:left w:w="200" w:type="dxa"/>
              <w:bottom w:w="200" w:type="dxa"/>
              <w:right w:w="200" w:type="dxa"/>
            </w:tcMar>
          </w:tcPr>
          <w:p w14:paraId="12DAEE4E" w14:textId="77777777" w:rsidR="003A5020" w:rsidRDefault="00000000">
            <w:r>
              <w:rPr>
                <w:b/>
                <w:color w:val="FFFFFF"/>
                <w:sz w:val="36"/>
              </w:rPr>
              <w:t>pf</w:t>
            </w:r>
          </w:p>
        </w:tc>
      </w:tr>
    </w:tbl>
    <w:p w14:paraId="154BDB9B" w14:textId="77777777" w:rsidR="003A5020" w:rsidRDefault="00000000">
      <w:pPr>
        <w:spacing w:after="0"/>
      </w:pPr>
      <w:r>
        <w:rPr>
          <w:color w:val="9B2335"/>
          <w:sz w:val="8"/>
        </w:rPr>
        <w:t>━━━━━━━━━━━━━━━━━━━━━━━━━━━━━━━━━━━━━━━━━━━━━━━━━━━━━━━━━━━━━━━━━━━━━━━━━━━━━━━━</w:t>
      </w:r>
    </w:p>
    <w:p w14:paraId="1A348421" w14:textId="77777777" w:rsidR="003A5020" w:rsidRDefault="003A5020">
      <w:pPr>
        <w:spacing w:after="120"/>
      </w:pPr>
    </w:p>
    <w:p w14:paraId="6BBDB004" w14:textId="77777777" w:rsidR="003A5020" w:rsidRDefault="003A5020">
      <w:pPr>
        <w:spacing w:after="120"/>
      </w:pPr>
    </w:p>
    <w:p w14:paraId="671674F9" w14:textId="77777777" w:rsidR="003A5020" w:rsidRDefault="00000000">
      <w:r>
        <w:rPr>
          <w:b/>
          <w:color w:val="080D18"/>
          <w:sz w:val="44"/>
        </w:rPr>
        <w:t>MCP TOOL ROSTER</w:t>
      </w:r>
      <w:r>
        <w:br/>
      </w:r>
    </w:p>
    <w:p w14:paraId="63926778" w14:textId="77777777" w:rsidR="003A5020" w:rsidRDefault="00000000">
      <w:pPr>
        <w:spacing w:before="80" w:after="80"/>
      </w:pPr>
      <w:r>
        <w:rPr>
          <w:color w:val="B8CCDB"/>
          <w:sz w:val="12"/>
        </w:rPr>
        <w:t>━━━━━━━━━━━━━━━━━━━━━━━━━━━━━━━━━━━━━━━━━━━━━━━━━━</w:t>
      </w:r>
    </w:p>
    <w:p w14:paraId="02985FD5" w14:textId="77777777" w:rsidR="003A5020" w:rsidRDefault="00000000">
      <w:r>
        <w:rPr>
          <w:color w:val="6B7278"/>
          <w:sz w:val="24"/>
        </w:rPr>
        <w:t>PinchFin v0.1.0 — Beta Release</w:t>
      </w:r>
    </w:p>
    <w:p w14:paraId="2AA11DCF" w14:textId="77777777" w:rsidR="003A5020" w:rsidRDefault="003A5020">
      <w:pPr>
        <w:spacing w:after="120"/>
      </w:pPr>
    </w:p>
    <w:p w14:paraId="02016738" w14:textId="77777777" w:rsidR="003A5020" w:rsidRDefault="003A5020">
      <w:pPr>
        <w:spacing w:after="120"/>
      </w:pPr>
    </w:p>
    <w:p w14:paraId="0AE191BC" w14:textId="77777777" w:rsidR="003A5020" w:rsidRDefault="003A5020">
      <w:pPr>
        <w:spacing w:after="120"/>
      </w:pPr>
    </w:p>
    <w:p w14:paraId="0AA08A3B" w14:textId="77777777" w:rsidR="003A5020" w:rsidRDefault="00000000">
      <w:r>
        <w:br w:type="page"/>
      </w:r>
    </w:p>
    <w:p w14:paraId="4BE3B4FE" w14:textId="77777777" w:rsidR="003A5020" w:rsidRDefault="003A5020">
      <w:pPr>
        <w:spacing w:after="80"/>
      </w:pPr>
    </w:p>
    <w:tbl>
      <w:tblPr>
        <w:tblW w:w="0" w:type="auto"/>
        <w:tblLook w:val="04A0" w:firstRow="1" w:lastRow="0" w:firstColumn="1" w:lastColumn="0" w:noHBand="0" w:noVBand="1"/>
      </w:tblPr>
      <w:tblGrid>
        <w:gridCol w:w="10800"/>
      </w:tblGrid>
      <w:tr w:rsidR="003A5020" w14:paraId="090233C9" w14:textId="77777777">
        <w:tc>
          <w:tcPr>
            <w:tcW w:w="10800" w:type="dxa"/>
            <w:shd w:val="clear" w:color="auto" w:fill="080D18"/>
            <w:tcMar>
              <w:top w:w="40" w:type="dxa"/>
              <w:left w:w="80" w:type="dxa"/>
              <w:bottom w:w="40" w:type="dxa"/>
              <w:right w:w="80" w:type="dxa"/>
            </w:tcMar>
          </w:tcPr>
          <w:p w14:paraId="79A34E5D" w14:textId="77777777" w:rsidR="003A5020" w:rsidRDefault="00000000">
            <w:pPr>
              <w:spacing w:after="0"/>
            </w:pPr>
            <w:r>
              <w:rPr>
                <w:b/>
                <w:color w:val="FFFFFF"/>
              </w:rPr>
              <w:t>PLATFORM OVERVIEW</w:t>
            </w:r>
          </w:p>
        </w:tc>
      </w:tr>
    </w:tbl>
    <w:p w14:paraId="34894C02" w14:textId="77777777" w:rsidR="003A5020" w:rsidRDefault="003A5020">
      <w:pPr>
        <w:spacing w:after="60"/>
      </w:pPr>
    </w:p>
    <w:p w14:paraId="1235C617" w14:textId="77777777" w:rsidR="003A5020" w:rsidRDefault="00000000">
      <w:pPr>
        <w:spacing w:before="40" w:after="80"/>
      </w:pPr>
      <w:r>
        <w:t>PinchFin MCP exposes 24 tools through the Model Context Protocol, enabling institutional-grade CRE underwriting directly inside Claude Code. 17 tools are billable analysis modules; 7 are free account and utility tools. All analysis uses deterministic financial calculations with Claude providing institutional narrative synthesis.</w:t>
      </w:r>
    </w:p>
    <w:tbl>
      <w:tblPr>
        <w:tblW w:w="0" w:type="auto"/>
        <w:tblBorders>
          <w:insideV w:val="single" w:sz="2" w:space="0" w:color="EEEDEA"/>
        </w:tblBorders>
        <w:tblLook w:val="04A0" w:firstRow="1" w:lastRow="0" w:firstColumn="1" w:lastColumn="0" w:noHBand="0" w:noVBand="1"/>
      </w:tblPr>
      <w:tblGrid>
        <w:gridCol w:w="2160"/>
        <w:gridCol w:w="2160"/>
        <w:gridCol w:w="2160"/>
        <w:gridCol w:w="2160"/>
        <w:gridCol w:w="2160"/>
      </w:tblGrid>
      <w:tr w:rsidR="003A5020" w14:paraId="5B52DF68" w14:textId="77777777">
        <w:tc>
          <w:tcPr>
            <w:tcW w:w="2160" w:type="dxa"/>
            <w:shd w:val="clear" w:color="auto" w:fill="F8F7F4"/>
            <w:tcMar>
              <w:top w:w="25" w:type="dxa"/>
              <w:left w:w="15" w:type="dxa"/>
              <w:bottom w:w="25" w:type="dxa"/>
              <w:right w:w="15" w:type="dxa"/>
            </w:tcMar>
          </w:tcPr>
          <w:p w14:paraId="33FD2045" w14:textId="77777777" w:rsidR="003A5020" w:rsidRDefault="00000000">
            <w:pPr>
              <w:spacing w:after="0"/>
              <w:jc w:val="center"/>
            </w:pPr>
            <w:r>
              <w:rPr>
                <w:color w:val="6B7278"/>
                <w:sz w:val="14"/>
              </w:rPr>
              <w:t>TOTAL TOOLS</w:t>
            </w:r>
            <w:r>
              <w:rPr>
                <w:color w:val="6B7278"/>
                <w:sz w:val="14"/>
              </w:rPr>
              <w:br/>
            </w:r>
            <w:r>
              <w:rPr>
                <w:b/>
                <w:color w:val="080D18"/>
                <w:sz w:val="20"/>
              </w:rPr>
              <w:t>24</w:t>
            </w:r>
          </w:p>
        </w:tc>
        <w:tc>
          <w:tcPr>
            <w:tcW w:w="2160" w:type="dxa"/>
            <w:shd w:val="clear" w:color="auto" w:fill="F8F7F4"/>
            <w:tcMar>
              <w:top w:w="25" w:type="dxa"/>
              <w:left w:w="15" w:type="dxa"/>
              <w:bottom w:w="25" w:type="dxa"/>
              <w:right w:w="15" w:type="dxa"/>
            </w:tcMar>
          </w:tcPr>
          <w:p w14:paraId="10CBCE96" w14:textId="77777777" w:rsidR="003A5020" w:rsidRDefault="00000000">
            <w:pPr>
              <w:spacing w:after="0"/>
              <w:jc w:val="center"/>
            </w:pPr>
            <w:r>
              <w:rPr>
                <w:color w:val="6B7278"/>
                <w:sz w:val="14"/>
              </w:rPr>
              <w:t>BILLABLE</w:t>
            </w:r>
            <w:r>
              <w:rPr>
                <w:color w:val="6B7278"/>
                <w:sz w:val="14"/>
              </w:rPr>
              <w:br/>
            </w:r>
            <w:r>
              <w:rPr>
                <w:b/>
                <w:color w:val="080D18"/>
                <w:sz w:val="20"/>
              </w:rPr>
              <w:t>17</w:t>
            </w:r>
          </w:p>
        </w:tc>
        <w:tc>
          <w:tcPr>
            <w:tcW w:w="2160" w:type="dxa"/>
            <w:shd w:val="clear" w:color="auto" w:fill="F8F7F4"/>
            <w:tcMar>
              <w:top w:w="25" w:type="dxa"/>
              <w:left w:w="15" w:type="dxa"/>
              <w:bottom w:w="25" w:type="dxa"/>
              <w:right w:w="15" w:type="dxa"/>
            </w:tcMar>
          </w:tcPr>
          <w:p w14:paraId="75C109F6" w14:textId="77777777" w:rsidR="003A5020" w:rsidRDefault="00000000">
            <w:pPr>
              <w:spacing w:after="0"/>
              <w:jc w:val="center"/>
            </w:pPr>
            <w:r>
              <w:rPr>
                <w:color w:val="6B7278"/>
                <w:sz w:val="14"/>
              </w:rPr>
              <w:t>FREE</w:t>
            </w:r>
            <w:r>
              <w:rPr>
                <w:color w:val="6B7278"/>
                <w:sz w:val="14"/>
              </w:rPr>
              <w:br/>
            </w:r>
            <w:r>
              <w:rPr>
                <w:b/>
                <w:color w:val="080D18"/>
                <w:sz w:val="20"/>
              </w:rPr>
              <w:t>7</w:t>
            </w:r>
          </w:p>
        </w:tc>
        <w:tc>
          <w:tcPr>
            <w:tcW w:w="2160" w:type="dxa"/>
            <w:shd w:val="clear" w:color="auto" w:fill="F8F7F4"/>
            <w:tcMar>
              <w:top w:w="25" w:type="dxa"/>
              <w:left w:w="15" w:type="dxa"/>
              <w:bottom w:w="25" w:type="dxa"/>
              <w:right w:w="15" w:type="dxa"/>
            </w:tcMar>
          </w:tcPr>
          <w:p w14:paraId="09A8086C" w14:textId="70FE1BA8" w:rsidR="003A5020" w:rsidRDefault="00000000">
            <w:pPr>
              <w:spacing w:after="0"/>
              <w:jc w:val="center"/>
            </w:pPr>
            <w:r>
              <w:rPr>
                <w:color w:val="6B7278"/>
                <w:sz w:val="14"/>
              </w:rPr>
              <w:t>ANALYSIS ENGINE</w:t>
            </w:r>
            <w:r>
              <w:rPr>
                <w:color w:val="6B7278"/>
                <w:sz w:val="14"/>
              </w:rPr>
              <w:br/>
            </w:r>
            <w:r>
              <w:rPr>
                <w:b/>
                <w:color w:val="080D18"/>
                <w:sz w:val="20"/>
              </w:rPr>
              <w:t>Claude + Valeri Data</w:t>
            </w:r>
          </w:p>
        </w:tc>
        <w:tc>
          <w:tcPr>
            <w:tcW w:w="2160" w:type="dxa"/>
            <w:shd w:val="clear" w:color="auto" w:fill="F8F7F4"/>
            <w:tcMar>
              <w:top w:w="25" w:type="dxa"/>
              <w:left w:w="15" w:type="dxa"/>
              <w:bottom w:w="25" w:type="dxa"/>
              <w:right w:w="15" w:type="dxa"/>
            </w:tcMar>
          </w:tcPr>
          <w:p w14:paraId="0E57DA00" w14:textId="77777777" w:rsidR="003A5020" w:rsidRDefault="00000000">
            <w:pPr>
              <w:spacing w:after="0"/>
              <w:jc w:val="center"/>
            </w:pPr>
            <w:r>
              <w:rPr>
                <w:color w:val="6B7278"/>
                <w:sz w:val="14"/>
              </w:rPr>
              <w:t>OUTPUT FORMATS</w:t>
            </w:r>
            <w:r>
              <w:rPr>
                <w:color w:val="6B7278"/>
                <w:sz w:val="14"/>
              </w:rPr>
              <w:br/>
            </w:r>
            <w:r>
              <w:rPr>
                <w:b/>
                <w:color w:val="080D18"/>
                <w:sz w:val="20"/>
              </w:rPr>
              <w:t>JSON + DOCX</w:t>
            </w:r>
          </w:p>
        </w:tc>
      </w:tr>
    </w:tbl>
    <w:p w14:paraId="15517578" w14:textId="77777777" w:rsidR="003A5020" w:rsidRDefault="003A5020"/>
    <w:p w14:paraId="71144A84" w14:textId="77777777" w:rsidR="003A5020" w:rsidRDefault="003A5020">
      <w:pPr>
        <w:spacing w:after="80"/>
      </w:pPr>
    </w:p>
    <w:tbl>
      <w:tblPr>
        <w:tblW w:w="0" w:type="auto"/>
        <w:tblLook w:val="04A0" w:firstRow="1" w:lastRow="0" w:firstColumn="1" w:lastColumn="0" w:noHBand="0" w:noVBand="1"/>
      </w:tblPr>
      <w:tblGrid>
        <w:gridCol w:w="10800"/>
      </w:tblGrid>
      <w:tr w:rsidR="003A5020" w14:paraId="4CB1987C" w14:textId="77777777">
        <w:tc>
          <w:tcPr>
            <w:tcW w:w="10800" w:type="dxa"/>
            <w:shd w:val="clear" w:color="auto" w:fill="080D18"/>
            <w:tcMar>
              <w:top w:w="40" w:type="dxa"/>
              <w:left w:w="80" w:type="dxa"/>
              <w:bottom w:w="40" w:type="dxa"/>
              <w:right w:w="80" w:type="dxa"/>
            </w:tcMar>
          </w:tcPr>
          <w:p w14:paraId="327BA68F" w14:textId="77777777" w:rsidR="003A5020" w:rsidRDefault="00000000">
            <w:pPr>
              <w:spacing w:after="0"/>
            </w:pPr>
            <w:r>
              <w:rPr>
                <w:b/>
                <w:color w:val="FFFFFF"/>
              </w:rPr>
              <w:t>TIER 1 — DETERMINISTIC TOOLS</w:t>
            </w:r>
          </w:p>
        </w:tc>
      </w:tr>
    </w:tbl>
    <w:p w14:paraId="5433B366" w14:textId="77777777" w:rsidR="003A5020" w:rsidRDefault="003A5020">
      <w:pPr>
        <w:spacing w:after="60"/>
      </w:pPr>
    </w:p>
    <w:p w14:paraId="5E762E8A" w14:textId="77777777" w:rsidR="003A5020" w:rsidRDefault="00000000">
      <w:pPr>
        <w:spacing w:before="40" w:after="80"/>
      </w:pPr>
      <w:r>
        <w:t>Fast, low-cost tools powered primarily by deterministic Python calculations (constraint waterfall, rate math, sensitivity analysis) with Claude providing narrative synthesis. SOFR and macro data pulled live from Federal Reserve via Valeri Data Services.</w:t>
      </w:r>
    </w:p>
    <w:tbl>
      <w:tblPr>
        <w:tblW w:w="0" w:type="auto"/>
        <w:tblLook w:val="04A0" w:firstRow="1" w:lastRow="0" w:firstColumn="1" w:lastColumn="0" w:noHBand="0" w:noVBand="1"/>
      </w:tblPr>
      <w:tblGrid>
        <w:gridCol w:w="3600"/>
        <w:gridCol w:w="3600"/>
        <w:gridCol w:w="3600"/>
      </w:tblGrid>
      <w:tr w:rsidR="003A5020" w14:paraId="0BBEAE68" w14:textId="77777777">
        <w:tc>
          <w:tcPr>
            <w:tcW w:w="3600" w:type="dxa"/>
            <w:tcBorders>
              <w:bottom w:val="single" w:sz="8" w:space="0" w:color="080D18"/>
            </w:tcBorders>
            <w:tcMar>
              <w:top w:w="25" w:type="dxa"/>
              <w:left w:w="40" w:type="dxa"/>
              <w:bottom w:w="25" w:type="dxa"/>
              <w:right w:w="40" w:type="dxa"/>
            </w:tcMar>
          </w:tcPr>
          <w:p w14:paraId="76E43FD8" w14:textId="77777777" w:rsidR="003A5020" w:rsidRDefault="00000000">
            <w:pPr>
              <w:spacing w:after="0"/>
            </w:pPr>
            <w:r>
              <w:rPr>
                <w:b/>
                <w:color w:val="080D18"/>
                <w:sz w:val="16"/>
              </w:rPr>
              <w:t>Tool</w:t>
            </w:r>
          </w:p>
        </w:tc>
        <w:tc>
          <w:tcPr>
            <w:tcW w:w="3600" w:type="dxa"/>
            <w:tcBorders>
              <w:bottom w:val="single" w:sz="8" w:space="0" w:color="080D18"/>
            </w:tcBorders>
            <w:tcMar>
              <w:top w:w="25" w:type="dxa"/>
              <w:left w:w="40" w:type="dxa"/>
              <w:bottom w:w="25" w:type="dxa"/>
              <w:right w:w="40" w:type="dxa"/>
            </w:tcMar>
          </w:tcPr>
          <w:p w14:paraId="2D7227E6" w14:textId="77777777" w:rsidR="003A5020" w:rsidRDefault="00000000">
            <w:pPr>
              <w:spacing w:after="0"/>
            </w:pPr>
            <w:r>
              <w:rPr>
                <w:b/>
                <w:color w:val="080D18"/>
                <w:sz w:val="16"/>
              </w:rPr>
              <w:t>Description</w:t>
            </w:r>
          </w:p>
        </w:tc>
        <w:tc>
          <w:tcPr>
            <w:tcW w:w="3600" w:type="dxa"/>
            <w:tcBorders>
              <w:bottom w:val="single" w:sz="8" w:space="0" w:color="080D18"/>
            </w:tcBorders>
            <w:tcMar>
              <w:top w:w="25" w:type="dxa"/>
              <w:left w:w="40" w:type="dxa"/>
              <w:bottom w:w="25" w:type="dxa"/>
              <w:right w:w="40" w:type="dxa"/>
            </w:tcMar>
          </w:tcPr>
          <w:p w14:paraId="0F7161B9" w14:textId="77777777" w:rsidR="003A5020" w:rsidRDefault="00000000">
            <w:pPr>
              <w:spacing w:after="0"/>
              <w:jc w:val="right"/>
            </w:pPr>
            <w:r>
              <w:rPr>
                <w:b/>
                <w:color w:val="080D18"/>
                <w:sz w:val="16"/>
              </w:rPr>
              <w:t>Cost</w:t>
            </w:r>
          </w:p>
        </w:tc>
      </w:tr>
      <w:tr w:rsidR="003A5020" w14:paraId="04373FE5" w14:textId="77777777">
        <w:tc>
          <w:tcPr>
            <w:tcW w:w="3600" w:type="dxa"/>
            <w:tcBorders>
              <w:bottom w:val="single" w:sz="2" w:space="0" w:color="EEEDEA"/>
            </w:tcBorders>
            <w:tcMar>
              <w:top w:w="25" w:type="dxa"/>
              <w:left w:w="40" w:type="dxa"/>
              <w:bottom w:w="25" w:type="dxa"/>
              <w:right w:w="40" w:type="dxa"/>
            </w:tcMar>
          </w:tcPr>
          <w:p w14:paraId="2D35881A" w14:textId="77777777" w:rsidR="003A5020" w:rsidRDefault="00000000">
            <w:pPr>
              <w:spacing w:after="0"/>
            </w:pPr>
            <w:r>
              <w:rPr>
                <w:b/>
              </w:rPr>
              <w:t>pinchfin_deal_screen</w:t>
            </w:r>
          </w:p>
        </w:tc>
        <w:tc>
          <w:tcPr>
            <w:tcW w:w="3600" w:type="dxa"/>
            <w:tcBorders>
              <w:bottom w:val="single" w:sz="2" w:space="0" w:color="EEEDEA"/>
            </w:tcBorders>
            <w:tcMar>
              <w:top w:w="25" w:type="dxa"/>
              <w:left w:w="40" w:type="dxa"/>
              <w:bottom w:w="25" w:type="dxa"/>
              <w:right w:w="40" w:type="dxa"/>
            </w:tcMar>
          </w:tcPr>
          <w:p w14:paraId="79B30962" w14:textId="77777777" w:rsidR="003A5020" w:rsidRDefault="00000000">
            <w:pPr>
              <w:spacing w:after="0"/>
            </w:pPr>
            <w:r>
              <w:rPr>
                <w:b/>
                <w:color w:val="1B6B3A"/>
              </w:rPr>
              <w:t>Credit box pass/fail screening. Runs the 6-constraint waterfall (LTV As-Is, LTV Stabilized, DSCR, Debt Yield, LTC, Max Loan) against Veleta credit parameters. Identifies binding constraint. Pulls live SOFR and property context data. Returns pass/fail with narrative.</w:t>
            </w:r>
          </w:p>
        </w:tc>
        <w:tc>
          <w:tcPr>
            <w:tcW w:w="3600" w:type="dxa"/>
            <w:tcBorders>
              <w:bottom w:val="single" w:sz="2" w:space="0" w:color="EEEDEA"/>
            </w:tcBorders>
            <w:tcMar>
              <w:top w:w="25" w:type="dxa"/>
              <w:left w:w="40" w:type="dxa"/>
              <w:bottom w:w="25" w:type="dxa"/>
              <w:right w:w="40" w:type="dxa"/>
            </w:tcMar>
          </w:tcPr>
          <w:p w14:paraId="647C00CA" w14:textId="77777777" w:rsidR="003A5020" w:rsidRDefault="00000000">
            <w:pPr>
              <w:spacing w:after="0"/>
              <w:jc w:val="right"/>
            </w:pPr>
            <w:r>
              <w:t>$0.10–$0.50</w:t>
            </w:r>
          </w:p>
        </w:tc>
      </w:tr>
      <w:tr w:rsidR="003A5020" w14:paraId="6473881D" w14:textId="77777777">
        <w:tc>
          <w:tcPr>
            <w:tcW w:w="3600" w:type="dxa"/>
            <w:tcBorders>
              <w:bottom w:val="single" w:sz="2" w:space="0" w:color="EEEDEA"/>
            </w:tcBorders>
            <w:tcMar>
              <w:top w:w="25" w:type="dxa"/>
              <w:left w:w="40" w:type="dxa"/>
              <w:bottom w:w="25" w:type="dxa"/>
              <w:right w:w="40" w:type="dxa"/>
            </w:tcMar>
          </w:tcPr>
          <w:p w14:paraId="569AE6FE" w14:textId="77777777" w:rsidR="003A5020" w:rsidRDefault="00000000">
            <w:pPr>
              <w:spacing w:after="0"/>
            </w:pPr>
            <w:r>
              <w:rPr>
                <w:b/>
              </w:rPr>
              <w:t>pinchfin_debt_sizing_preview</w:t>
            </w:r>
          </w:p>
        </w:tc>
        <w:tc>
          <w:tcPr>
            <w:tcW w:w="3600" w:type="dxa"/>
            <w:tcBorders>
              <w:bottom w:val="single" w:sz="2" w:space="0" w:color="EEEDEA"/>
            </w:tcBorders>
            <w:tcMar>
              <w:top w:w="25" w:type="dxa"/>
              <w:left w:w="40" w:type="dxa"/>
              <w:bottom w:w="25" w:type="dxa"/>
              <w:right w:w="40" w:type="dxa"/>
            </w:tcMar>
          </w:tcPr>
          <w:p w14:paraId="0F9C7DF6" w14:textId="77777777" w:rsidR="003A5020" w:rsidRDefault="00000000">
            <w:pPr>
              <w:spacing w:after="0"/>
            </w:pPr>
            <w:r>
              <w:t>Quick 'how much can I borrow?' answer. Lightweight version of the full loan sizer — shows max loan by each constraint without full narrative. Ideal for initial sponsor conversations.</w:t>
            </w:r>
          </w:p>
        </w:tc>
        <w:tc>
          <w:tcPr>
            <w:tcW w:w="3600" w:type="dxa"/>
            <w:tcBorders>
              <w:bottom w:val="single" w:sz="2" w:space="0" w:color="EEEDEA"/>
            </w:tcBorders>
            <w:tcMar>
              <w:top w:w="25" w:type="dxa"/>
              <w:left w:w="40" w:type="dxa"/>
              <w:bottom w:w="25" w:type="dxa"/>
              <w:right w:w="40" w:type="dxa"/>
            </w:tcMar>
          </w:tcPr>
          <w:p w14:paraId="0198F820" w14:textId="77777777" w:rsidR="003A5020" w:rsidRDefault="00000000">
            <w:pPr>
              <w:spacing w:after="0"/>
              <w:jc w:val="right"/>
            </w:pPr>
            <w:r>
              <w:t>$0.25–$0.75</w:t>
            </w:r>
          </w:p>
        </w:tc>
      </w:tr>
      <w:tr w:rsidR="003A5020" w14:paraId="3F2B2866" w14:textId="77777777">
        <w:tc>
          <w:tcPr>
            <w:tcW w:w="3600" w:type="dxa"/>
            <w:tcBorders>
              <w:bottom w:val="single" w:sz="2" w:space="0" w:color="EEEDEA"/>
            </w:tcBorders>
            <w:tcMar>
              <w:top w:w="25" w:type="dxa"/>
              <w:left w:w="40" w:type="dxa"/>
              <w:bottom w:w="25" w:type="dxa"/>
              <w:right w:w="40" w:type="dxa"/>
            </w:tcMar>
          </w:tcPr>
          <w:p w14:paraId="3F39ABFC" w14:textId="77777777" w:rsidR="003A5020" w:rsidRDefault="00000000">
            <w:pPr>
              <w:spacing w:after="0"/>
            </w:pPr>
            <w:r>
              <w:rPr>
                <w:b/>
              </w:rPr>
              <w:t>pinchfin_loan_sizer</w:t>
            </w:r>
          </w:p>
        </w:tc>
        <w:tc>
          <w:tcPr>
            <w:tcW w:w="3600" w:type="dxa"/>
            <w:tcBorders>
              <w:bottom w:val="single" w:sz="2" w:space="0" w:color="EEEDEA"/>
            </w:tcBorders>
            <w:tcMar>
              <w:top w:w="25" w:type="dxa"/>
              <w:left w:w="40" w:type="dxa"/>
              <w:bottom w:w="25" w:type="dxa"/>
              <w:right w:w="40" w:type="dxa"/>
            </w:tcMar>
          </w:tcPr>
          <w:p w14:paraId="2287B39F" w14:textId="77777777" w:rsidR="003A5020" w:rsidRDefault="00000000">
            <w:pPr>
              <w:spacing w:after="0"/>
            </w:pPr>
            <w:r>
              <w:t>Full 6-constraint waterfall loan sizing with sensitivity analysis. Shows max loan from each constraint, binding constraint detail, rate stress (+100bps), NOI stress (-10%), and comparison to broker request. Includes refinance exit test.</w:t>
            </w:r>
          </w:p>
        </w:tc>
        <w:tc>
          <w:tcPr>
            <w:tcW w:w="3600" w:type="dxa"/>
            <w:tcBorders>
              <w:bottom w:val="single" w:sz="2" w:space="0" w:color="EEEDEA"/>
            </w:tcBorders>
            <w:tcMar>
              <w:top w:w="25" w:type="dxa"/>
              <w:left w:w="40" w:type="dxa"/>
              <w:bottom w:w="25" w:type="dxa"/>
              <w:right w:w="40" w:type="dxa"/>
            </w:tcMar>
          </w:tcPr>
          <w:p w14:paraId="4B02A2C4" w14:textId="77777777" w:rsidR="003A5020" w:rsidRDefault="00000000">
            <w:pPr>
              <w:spacing w:after="0"/>
              <w:jc w:val="right"/>
            </w:pPr>
            <w:r>
              <w:t>$0.25–$1.00</w:t>
            </w:r>
          </w:p>
        </w:tc>
      </w:tr>
      <w:tr w:rsidR="003A5020" w14:paraId="571DCBA8" w14:textId="77777777">
        <w:tc>
          <w:tcPr>
            <w:tcW w:w="3600" w:type="dxa"/>
            <w:tcBorders>
              <w:bottom w:val="single" w:sz="2" w:space="0" w:color="EEEDEA"/>
            </w:tcBorders>
            <w:tcMar>
              <w:top w:w="25" w:type="dxa"/>
              <w:left w:w="40" w:type="dxa"/>
              <w:bottom w:w="25" w:type="dxa"/>
              <w:right w:w="40" w:type="dxa"/>
            </w:tcMar>
          </w:tcPr>
          <w:p w14:paraId="75B999CF" w14:textId="77777777" w:rsidR="003A5020" w:rsidRDefault="00000000">
            <w:pPr>
              <w:spacing w:after="0"/>
            </w:pPr>
            <w:r>
              <w:rPr>
                <w:b/>
              </w:rPr>
              <w:t>pinchfin_loan_pricing</w:t>
            </w:r>
          </w:p>
        </w:tc>
        <w:tc>
          <w:tcPr>
            <w:tcW w:w="3600" w:type="dxa"/>
            <w:tcBorders>
              <w:bottom w:val="single" w:sz="2" w:space="0" w:color="EEEDEA"/>
            </w:tcBorders>
            <w:tcMar>
              <w:top w:w="25" w:type="dxa"/>
              <w:left w:w="40" w:type="dxa"/>
              <w:bottom w:w="25" w:type="dxa"/>
              <w:right w:w="40" w:type="dxa"/>
            </w:tcMar>
          </w:tcPr>
          <w:p w14:paraId="6C4E8259" w14:textId="77777777" w:rsidR="003A5020" w:rsidRDefault="00000000">
            <w:pPr>
              <w:spacing w:after="0"/>
            </w:pPr>
            <w:r>
              <w:rPr>
                <w:b/>
                <w:color w:val="B22234"/>
              </w:rPr>
              <w:t>Rate build-up analysis: index (SOFR) + spread = all-in rate. Rate cap strike and estimated cost. Interest reserve sizing (month-by-month shortfall method). Annual and monthly debt service. DSCR at pricing.</w:t>
            </w:r>
          </w:p>
        </w:tc>
        <w:tc>
          <w:tcPr>
            <w:tcW w:w="3600" w:type="dxa"/>
            <w:tcBorders>
              <w:bottom w:val="single" w:sz="2" w:space="0" w:color="EEEDEA"/>
            </w:tcBorders>
            <w:tcMar>
              <w:top w:w="25" w:type="dxa"/>
              <w:left w:w="40" w:type="dxa"/>
              <w:bottom w:w="25" w:type="dxa"/>
              <w:right w:w="40" w:type="dxa"/>
            </w:tcMar>
          </w:tcPr>
          <w:p w14:paraId="1AEB7CC2" w14:textId="77777777" w:rsidR="003A5020" w:rsidRDefault="00000000">
            <w:pPr>
              <w:spacing w:after="0"/>
              <w:jc w:val="right"/>
            </w:pPr>
            <w:r>
              <w:t>$0.25–$1.00</w:t>
            </w:r>
          </w:p>
        </w:tc>
      </w:tr>
      <w:tr w:rsidR="003A5020" w14:paraId="2ADF37E8" w14:textId="77777777">
        <w:tc>
          <w:tcPr>
            <w:tcW w:w="3600" w:type="dxa"/>
            <w:tcBorders>
              <w:bottom w:val="single" w:sz="2" w:space="0" w:color="EEEDEA"/>
            </w:tcBorders>
            <w:tcMar>
              <w:top w:w="25" w:type="dxa"/>
              <w:left w:w="40" w:type="dxa"/>
              <w:bottom w:w="25" w:type="dxa"/>
              <w:right w:w="40" w:type="dxa"/>
            </w:tcMar>
          </w:tcPr>
          <w:p w14:paraId="2D1ADA2D" w14:textId="77777777" w:rsidR="003A5020" w:rsidRDefault="00000000">
            <w:pPr>
              <w:spacing w:after="0"/>
            </w:pPr>
            <w:r>
              <w:rPr>
                <w:b/>
              </w:rPr>
              <w:t>pinchfin_pref_equity_qr</w:t>
            </w:r>
          </w:p>
        </w:tc>
        <w:tc>
          <w:tcPr>
            <w:tcW w:w="3600" w:type="dxa"/>
            <w:tcBorders>
              <w:bottom w:val="single" w:sz="2" w:space="0" w:color="EEEDEA"/>
            </w:tcBorders>
            <w:tcMar>
              <w:top w:w="25" w:type="dxa"/>
              <w:left w:w="40" w:type="dxa"/>
              <w:bottom w:w="25" w:type="dxa"/>
              <w:right w:w="40" w:type="dxa"/>
            </w:tcMar>
          </w:tcPr>
          <w:p w14:paraId="7A30CAA2" w14:textId="77777777" w:rsidR="003A5020" w:rsidRDefault="00000000">
            <w:pPr>
              <w:spacing w:after="0"/>
            </w:pPr>
            <w:r>
              <w:rPr>
                <w:b/>
                <w:color w:val="1B6B3A"/>
              </w:rPr>
              <w:t>Preferred equity sizing and quick review. Two-pass constraint system: Pass 1 validates senior debt independently, Pass 2 sizes pref equity against 9 constraints (combined LTV ≤80%, combined LTC ≤85%, pref IRR ≥14%, MOIC ≥1.40x, sponsor equity ≥10%, pref:common ≤2.0x, $25M cap). Quarterly-compounding PIK accrual model with 50% flag. 5-scenario exit waterfall. Sponsor with/without comparison. Full 22-section DOCX output.</w:t>
            </w:r>
          </w:p>
        </w:tc>
        <w:tc>
          <w:tcPr>
            <w:tcW w:w="3600" w:type="dxa"/>
            <w:tcBorders>
              <w:bottom w:val="single" w:sz="2" w:space="0" w:color="EEEDEA"/>
            </w:tcBorders>
            <w:tcMar>
              <w:top w:w="25" w:type="dxa"/>
              <w:left w:w="40" w:type="dxa"/>
              <w:bottom w:w="25" w:type="dxa"/>
              <w:right w:w="40" w:type="dxa"/>
            </w:tcMar>
          </w:tcPr>
          <w:p w14:paraId="3CDAA455" w14:textId="77777777" w:rsidR="003A5020" w:rsidRDefault="00000000">
            <w:pPr>
              <w:spacing w:after="0"/>
              <w:jc w:val="right"/>
            </w:pPr>
            <w:r>
              <w:t>$3.00–$8.00</w:t>
            </w:r>
          </w:p>
        </w:tc>
      </w:tr>
    </w:tbl>
    <w:p w14:paraId="50708FC1" w14:textId="77777777" w:rsidR="003A5020" w:rsidRDefault="003A5020"/>
    <w:p w14:paraId="0947BC1A" w14:textId="77777777" w:rsidR="003A5020" w:rsidRDefault="003A5020">
      <w:pPr>
        <w:spacing w:after="80"/>
      </w:pPr>
    </w:p>
    <w:tbl>
      <w:tblPr>
        <w:tblW w:w="0" w:type="auto"/>
        <w:tblLook w:val="04A0" w:firstRow="1" w:lastRow="0" w:firstColumn="1" w:lastColumn="0" w:noHBand="0" w:noVBand="1"/>
      </w:tblPr>
      <w:tblGrid>
        <w:gridCol w:w="10800"/>
      </w:tblGrid>
      <w:tr w:rsidR="003A5020" w14:paraId="6C4A47DC" w14:textId="77777777">
        <w:tc>
          <w:tcPr>
            <w:tcW w:w="10800" w:type="dxa"/>
            <w:shd w:val="clear" w:color="auto" w:fill="080D18"/>
            <w:tcMar>
              <w:top w:w="40" w:type="dxa"/>
              <w:left w:w="80" w:type="dxa"/>
              <w:bottom w:w="40" w:type="dxa"/>
              <w:right w:w="80" w:type="dxa"/>
            </w:tcMar>
          </w:tcPr>
          <w:p w14:paraId="2007F4E2" w14:textId="77777777" w:rsidR="003A5020" w:rsidRDefault="00000000">
            <w:pPr>
              <w:spacing w:after="0"/>
            </w:pPr>
            <w:r>
              <w:rPr>
                <w:b/>
                <w:color w:val="FFFFFF"/>
              </w:rPr>
              <w:t>TIER 2 — RESEARCH TOOLS</w:t>
            </w:r>
          </w:p>
        </w:tc>
      </w:tr>
    </w:tbl>
    <w:p w14:paraId="78B3A0E1" w14:textId="77777777" w:rsidR="003A5020" w:rsidRDefault="003A5020">
      <w:pPr>
        <w:spacing w:after="60"/>
      </w:pPr>
    </w:p>
    <w:p w14:paraId="1E2FCF8D" w14:textId="70A79D5E" w:rsidR="003A5020" w:rsidRDefault="00000000">
      <w:pPr>
        <w:spacing w:before="40" w:after="80"/>
      </w:pPr>
      <w:r>
        <w:t>Deep research modules that combine web intelligence, Valeri Data Services (Census, BLS, FRED, FEMA, HUD, Walk Score), and Claude synthesis. Each tool runs 5–8 parallel research queries and produces institutional-grade narrative with structured data.</w:t>
      </w:r>
    </w:p>
    <w:tbl>
      <w:tblPr>
        <w:tblW w:w="0" w:type="auto"/>
        <w:tblLook w:val="04A0" w:firstRow="1" w:lastRow="0" w:firstColumn="1" w:lastColumn="0" w:noHBand="0" w:noVBand="1"/>
      </w:tblPr>
      <w:tblGrid>
        <w:gridCol w:w="3600"/>
        <w:gridCol w:w="3600"/>
        <w:gridCol w:w="3600"/>
      </w:tblGrid>
      <w:tr w:rsidR="003A5020" w14:paraId="30D3A867" w14:textId="77777777">
        <w:tc>
          <w:tcPr>
            <w:tcW w:w="3600" w:type="dxa"/>
            <w:tcBorders>
              <w:bottom w:val="single" w:sz="8" w:space="0" w:color="080D18"/>
            </w:tcBorders>
            <w:tcMar>
              <w:top w:w="25" w:type="dxa"/>
              <w:left w:w="40" w:type="dxa"/>
              <w:bottom w:w="25" w:type="dxa"/>
              <w:right w:w="40" w:type="dxa"/>
            </w:tcMar>
          </w:tcPr>
          <w:p w14:paraId="2B3A18C9" w14:textId="77777777" w:rsidR="003A5020" w:rsidRDefault="00000000">
            <w:pPr>
              <w:spacing w:after="0"/>
            </w:pPr>
            <w:r>
              <w:rPr>
                <w:b/>
                <w:color w:val="080D18"/>
                <w:sz w:val="16"/>
              </w:rPr>
              <w:t>Tool</w:t>
            </w:r>
          </w:p>
        </w:tc>
        <w:tc>
          <w:tcPr>
            <w:tcW w:w="3600" w:type="dxa"/>
            <w:tcBorders>
              <w:bottom w:val="single" w:sz="8" w:space="0" w:color="080D18"/>
            </w:tcBorders>
            <w:tcMar>
              <w:top w:w="25" w:type="dxa"/>
              <w:left w:w="40" w:type="dxa"/>
              <w:bottom w:w="25" w:type="dxa"/>
              <w:right w:w="40" w:type="dxa"/>
            </w:tcMar>
          </w:tcPr>
          <w:p w14:paraId="6ED59236" w14:textId="77777777" w:rsidR="003A5020" w:rsidRDefault="00000000">
            <w:pPr>
              <w:spacing w:after="0"/>
            </w:pPr>
            <w:r>
              <w:rPr>
                <w:b/>
                <w:color w:val="080D18"/>
                <w:sz w:val="16"/>
              </w:rPr>
              <w:t>Description</w:t>
            </w:r>
          </w:p>
        </w:tc>
        <w:tc>
          <w:tcPr>
            <w:tcW w:w="3600" w:type="dxa"/>
            <w:tcBorders>
              <w:bottom w:val="single" w:sz="8" w:space="0" w:color="080D18"/>
            </w:tcBorders>
            <w:tcMar>
              <w:top w:w="25" w:type="dxa"/>
              <w:left w:w="40" w:type="dxa"/>
              <w:bottom w:w="25" w:type="dxa"/>
              <w:right w:w="40" w:type="dxa"/>
            </w:tcMar>
          </w:tcPr>
          <w:p w14:paraId="12570E7E" w14:textId="77777777" w:rsidR="003A5020" w:rsidRDefault="00000000">
            <w:pPr>
              <w:spacing w:after="0"/>
              <w:jc w:val="right"/>
            </w:pPr>
            <w:r>
              <w:rPr>
                <w:b/>
                <w:color w:val="080D18"/>
                <w:sz w:val="16"/>
              </w:rPr>
              <w:t>Cost</w:t>
            </w:r>
          </w:p>
        </w:tc>
      </w:tr>
      <w:tr w:rsidR="003A5020" w14:paraId="3329E5ED" w14:textId="77777777">
        <w:tc>
          <w:tcPr>
            <w:tcW w:w="3600" w:type="dxa"/>
            <w:tcBorders>
              <w:bottom w:val="single" w:sz="2" w:space="0" w:color="EEEDEA"/>
            </w:tcBorders>
            <w:tcMar>
              <w:top w:w="25" w:type="dxa"/>
              <w:left w:w="40" w:type="dxa"/>
              <w:bottom w:w="25" w:type="dxa"/>
              <w:right w:w="40" w:type="dxa"/>
            </w:tcMar>
          </w:tcPr>
          <w:p w14:paraId="42F04CD6" w14:textId="77777777" w:rsidR="003A5020" w:rsidRDefault="00000000">
            <w:pPr>
              <w:spacing w:after="0"/>
            </w:pPr>
            <w:r>
              <w:rPr>
                <w:b/>
              </w:rPr>
              <w:t>pinchfin_sponsor_analysis</w:t>
            </w:r>
          </w:p>
        </w:tc>
        <w:tc>
          <w:tcPr>
            <w:tcW w:w="3600" w:type="dxa"/>
            <w:tcBorders>
              <w:bottom w:val="single" w:sz="2" w:space="0" w:color="EEEDEA"/>
            </w:tcBorders>
            <w:tcMar>
              <w:top w:w="25" w:type="dxa"/>
              <w:left w:w="40" w:type="dxa"/>
              <w:bottom w:w="25" w:type="dxa"/>
              <w:right w:w="40" w:type="dxa"/>
            </w:tcMar>
          </w:tcPr>
          <w:p w14:paraId="17C08A48" w14:textId="77777777" w:rsidR="003A5020" w:rsidRDefault="00000000">
            <w:pPr>
              <w:spacing w:after="0"/>
            </w:pPr>
            <w:r>
              <w:rPr>
                <w:b/>
                <w:color w:val="1B6B3A"/>
              </w:rPr>
              <w:t xml:space="preserve">Institutional sponsor due diligence. Entity verification, portfolio overview, track record analysis (deals, units, markets), financial capacity assessment, litigation and bankruptcy screening, operational capability evaluation. Returns sponsor tier (A/B/C/D), experience </w:t>
            </w:r>
            <w:r>
              <w:rPr>
                <w:b/>
                <w:color w:val="1B6B3A"/>
              </w:rPr>
              <w:lastRenderedPageBreak/>
              <w:t>score (0–12), GO/NO-GO recommendation. 8 parallel research queries.</w:t>
            </w:r>
          </w:p>
        </w:tc>
        <w:tc>
          <w:tcPr>
            <w:tcW w:w="3600" w:type="dxa"/>
            <w:tcBorders>
              <w:bottom w:val="single" w:sz="2" w:space="0" w:color="EEEDEA"/>
            </w:tcBorders>
            <w:tcMar>
              <w:top w:w="25" w:type="dxa"/>
              <w:left w:w="40" w:type="dxa"/>
              <w:bottom w:w="25" w:type="dxa"/>
              <w:right w:w="40" w:type="dxa"/>
            </w:tcMar>
          </w:tcPr>
          <w:p w14:paraId="5085AC25" w14:textId="77777777" w:rsidR="003A5020" w:rsidRDefault="00000000">
            <w:pPr>
              <w:spacing w:after="0"/>
              <w:jc w:val="right"/>
            </w:pPr>
            <w:r>
              <w:lastRenderedPageBreak/>
              <w:t>$0.50–$2.00</w:t>
            </w:r>
          </w:p>
        </w:tc>
      </w:tr>
      <w:tr w:rsidR="003A5020" w14:paraId="671D5B5B" w14:textId="77777777">
        <w:tc>
          <w:tcPr>
            <w:tcW w:w="3600" w:type="dxa"/>
            <w:tcBorders>
              <w:bottom w:val="single" w:sz="2" w:space="0" w:color="EEEDEA"/>
            </w:tcBorders>
            <w:tcMar>
              <w:top w:w="25" w:type="dxa"/>
              <w:left w:w="40" w:type="dxa"/>
              <w:bottom w:w="25" w:type="dxa"/>
              <w:right w:w="40" w:type="dxa"/>
            </w:tcMar>
          </w:tcPr>
          <w:p w14:paraId="696690CF" w14:textId="77777777" w:rsidR="003A5020" w:rsidRDefault="00000000">
            <w:pPr>
              <w:spacing w:after="0"/>
            </w:pPr>
            <w:r>
              <w:rPr>
                <w:b/>
              </w:rPr>
              <w:t>pinchfin_market_research</w:t>
            </w:r>
          </w:p>
        </w:tc>
        <w:tc>
          <w:tcPr>
            <w:tcW w:w="3600" w:type="dxa"/>
            <w:tcBorders>
              <w:bottom w:val="single" w:sz="2" w:space="0" w:color="EEEDEA"/>
            </w:tcBorders>
            <w:tcMar>
              <w:top w:w="25" w:type="dxa"/>
              <w:left w:w="40" w:type="dxa"/>
              <w:bottom w:w="25" w:type="dxa"/>
              <w:right w:w="40" w:type="dxa"/>
            </w:tcMar>
          </w:tcPr>
          <w:p w14:paraId="1ECE3BA1" w14:textId="77777777" w:rsidR="003A5020" w:rsidRDefault="00000000">
            <w:pPr>
              <w:spacing w:after="0"/>
            </w:pPr>
            <w:r>
              <w:rPr>
                <w:b/>
                <w:color w:val="1B6B3A"/>
              </w:rPr>
              <w:t>MSA and submarket fundamentals. Population growth, median household income, employment drivers, unemployment rate, multifamily vacancy and rent trends, absorption, supply pipeline (units under construction as % of inventory), regulatory environment. Returns market rating (strong/moderate/weak) with supportable assumptions. 8 parallel queries.</w:t>
            </w:r>
          </w:p>
        </w:tc>
        <w:tc>
          <w:tcPr>
            <w:tcW w:w="3600" w:type="dxa"/>
            <w:tcBorders>
              <w:bottom w:val="single" w:sz="2" w:space="0" w:color="EEEDEA"/>
            </w:tcBorders>
            <w:tcMar>
              <w:top w:w="25" w:type="dxa"/>
              <w:left w:w="40" w:type="dxa"/>
              <w:bottom w:w="25" w:type="dxa"/>
              <w:right w:w="40" w:type="dxa"/>
            </w:tcMar>
          </w:tcPr>
          <w:p w14:paraId="68D24E93" w14:textId="77777777" w:rsidR="003A5020" w:rsidRDefault="00000000">
            <w:pPr>
              <w:spacing w:after="0"/>
              <w:jc w:val="right"/>
            </w:pPr>
            <w:r>
              <w:t>$0.50–$1.50</w:t>
            </w:r>
          </w:p>
        </w:tc>
      </w:tr>
      <w:tr w:rsidR="003A5020" w14:paraId="6200BA1D" w14:textId="77777777">
        <w:tc>
          <w:tcPr>
            <w:tcW w:w="3600" w:type="dxa"/>
            <w:tcBorders>
              <w:bottom w:val="single" w:sz="2" w:space="0" w:color="EEEDEA"/>
            </w:tcBorders>
            <w:tcMar>
              <w:top w:w="25" w:type="dxa"/>
              <w:left w:w="40" w:type="dxa"/>
              <w:bottom w:w="25" w:type="dxa"/>
              <w:right w:w="40" w:type="dxa"/>
            </w:tcMar>
          </w:tcPr>
          <w:p w14:paraId="6C4698DC" w14:textId="77777777" w:rsidR="003A5020" w:rsidRDefault="00000000">
            <w:pPr>
              <w:spacing w:after="0"/>
            </w:pPr>
            <w:r>
              <w:rPr>
                <w:b/>
              </w:rPr>
              <w:t>pinchfin_comp_analysis</w:t>
            </w:r>
          </w:p>
        </w:tc>
        <w:tc>
          <w:tcPr>
            <w:tcW w:w="3600" w:type="dxa"/>
            <w:tcBorders>
              <w:bottom w:val="single" w:sz="2" w:space="0" w:color="EEEDEA"/>
            </w:tcBorders>
            <w:tcMar>
              <w:top w:w="25" w:type="dxa"/>
              <w:left w:w="40" w:type="dxa"/>
              <w:bottom w:w="25" w:type="dxa"/>
              <w:right w:w="40" w:type="dxa"/>
            </w:tcMar>
          </w:tcPr>
          <w:p w14:paraId="6B6311DA" w14:textId="77777777" w:rsidR="003A5020" w:rsidRDefault="00000000">
            <w:pPr>
              <w:spacing w:after="0"/>
            </w:pPr>
            <w:r>
              <w:t>Comparable sales and rent analysis. Identifies 5–7 rent comps and 3–5 sales comps within the submarket. Applies adjustments for vintage, condition, amenities, and location. Derives market rent conclusion, loss-to-lease estimate, implied value range, and cap rate bracket. 5 parallel research queries.</w:t>
            </w:r>
          </w:p>
        </w:tc>
        <w:tc>
          <w:tcPr>
            <w:tcW w:w="3600" w:type="dxa"/>
            <w:tcBorders>
              <w:bottom w:val="single" w:sz="2" w:space="0" w:color="EEEDEA"/>
            </w:tcBorders>
            <w:tcMar>
              <w:top w:w="25" w:type="dxa"/>
              <w:left w:w="40" w:type="dxa"/>
              <w:bottom w:w="25" w:type="dxa"/>
              <w:right w:w="40" w:type="dxa"/>
            </w:tcMar>
          </w:tcPr>
          <w:p w14:paraId="52B0C19E" w14:textId="77777777" w:rsidR="003A5020" w:rsidRDefault="00000000">
            <w:pPr>
              <w:spacing w:after="0"/>
              <w:jc w:val="right"/>
            </w:pPr>
            <w:r>
              <w:t>$0.50–$1.50</w:t>
            </w:r>
          </w:p>
        </w:tc>
      </w:tr>
    </w:tbl>
    <w:p w14:paraId="50F0E411" w14:textId="77777777" w:rsidR="003A5020" w:rsidRDefault="003A5020"/>
    <w:p w14:paraId="446A51D8" w14:textId="77777777" w:rsidR="003A5020" w:rsidRDefault="003A5020">
      <w:pPr>
        <w:spacing w:after="80"/>
      </w:pPr>
    </w:p>
    <w:tbl>
      <w:tblPr>
        <w:tblW w:w="0" w:type="auto"/>
        <w:tblLook w:val="04A0" w:firstRow="1" w:lastRow="0" w:firstColumn="1" w:lastColumn="0" w:noHBand="0" w:noVBand="1"/>
      </w:tblPr>
      <w:tblGrid>
        <w:gridCol w:w="10800"/>
      </w:tblGrid>
      <w:tr w:rsidR="003A5020" w14:paraId="5284973F" w14:textId="77777777">
        <w:tc>
          <w:tcPr>
            <w:tcW w:w="10800" w:type="dxa"/>
            <w:shd w:val="clear" w:color="auto" w:fill="080D18"/>
            <w:tcMar>
              <w:top w:w="40" w:type="dxa"/>
              <w:left w:w="80" w:type="dxa"/>
              <w:bottom w:w="40" w:type="dxa"/>
              <w:right w:w="80" w:type="dxa"/>
            </w:tcMar>
          </w:tcPr>
          <w:p w14:paraId="3DD29400" w14:textId="77777777" w:rsidR="003A5020" w:rsidRDefault="00000000">
            <w:pPr>
              <w:spacing w:after="0"/>
            </w:pPr>
            <w:r>
              <w:rPr>
                <w:b/>
                <w:color w:val="FFFFFF"/>
              </w:rPr>
              <w:t>TIER 3 — SYNTHESIS &amp; JUDGMENT TOOLS</w:t>
            </w:r>
          </w:p>
        </w:tc>
      </w:tr>
    </w:tbl>
    <w:p w14:paraId="43AB1E28" w14:textId="77777777" w:rsidR="003A5020" w:rsidRDefault="003A5020">
      <w:pPr>
        <w:spacing w:after="60"/>
      </w:pPr>
    </w:p>
    <w:p w14:paraId="16B0CF4F" w14:textId="77777777" w:rsidR="003A5020" w:rsidRDefault="00000000">
      <w:pPr>
        <w:spacing w:before="40" w:after="80"/>
      </w:pPr>
      <w:r>
        <w:t>Complex analysis tools that combine multiple data sources, apply institutional methodology via loaded skill files, and produce deep analytical output. These tools use full SKILL.md methodology (150–600 lines each) with multi-skill composition and structured JSON output validation.</w:t>
      </w:r>
    </w:p>
    <w:tbl>
      <w:tblPr>
        <w:tblW w:w="0" w:type="auto"/>
        <w:tblLook w:val="04A0" w:firstRow="1" w:lastRow="0" w:firstColumn="1" w:lastColumn="0" w:noHBand="0" w:noVBand="1"/>
      </w:tblPr>
      <w:tblGrid>
        <w:gridCol w:w="3600"/>
        <w:gridCol w:w="3600"/>
        <w:gridCol w:w="3600"/>
      </w:tblGrid>
      <w:tr w:rsidR="003A5020" w14:paraId="009614A7" w14:textId="77777777">
        <w:tc>
          <w:tcPr>
            <w:tcW w:w="3600" w:type="dxa"/>
            <w:tcBorders>
              <w:bottom w:val="single" w:sz="8" w:space="0" w:color="080D18"/>
            </w:tcBorders>
            <w:tcMar>
              <w:top w:w="25" w:type="dxa"/>
              <w:left w:w="40" w:type="dxa"/>
              <w:bottom w:w="25" w:type="dxa"/>
              <w:right w:w="40" w:type="dxa"/>
            </w:tcMar>
          </w:tcPr>
          <w:p w14:paraId="180DB6F5" w14:textId="77777777" w:rsidR="003A5020" w:rsidRDefault="00000000">
            <w:pPr>
              <w:spacing w:after="0"/>
            </w:pPr>
            <w:r>
              <w:rPr>
                <w:b/>
                <w:color w:val="080D18"/>
                <w:sz w:val="16"/>
              </w:rPr>
              <w:t>Tool</w:t>
            </w:r>
          </w:p>
        </w:tc>
        <w:tc>
          <w:tcPr>
            <w:tcW w:w="3600" w:type="dxa"/>
            <w:tcBorders>
              <w:bottom w:val="single" w:sz="8" w:space="0" w:color="080D18"/>
            </w:tcBorders>
            <w:tcMar>
              <w:top w:w="25" w:type="dxa"/>
              <w:left w:w="40" w:type="dxa"/>
              <w:bottom w:w="25" w:type="dxa"/>
              <w:right w:w="40" w:type="dxa"/>
            </w:tcMar>
          </w:tcPr>
          <w:p w14:paraId="6130A3C0" w14:textId="77777777" w:rsidR="003A5020" w:rsidRDefault="00000000">
            <w:pPr>
              <w:spacing w:after="0"/>
            </w:pPr>
            <w:r>
              <w:rPr>
                <w:b/>
                <w:color w:val="080D18"/>
                <w:sz w:val="16"/>
              </w:rPr>
              <w:t>Description</w:t>
            </w:r>
          </w:p>
        </w:tc>
        <w:tc>
          <w:tcPr>
            <w:tcW w:w="3600" w:type="dxa"/>
            <w:tcBorders>
              <w:bottom w:val="single" w:sz="8" w:space="0" w:color="080D18"/>
            </w:tcBorders>
            <w:tcMar>
              <w:top w:w="25" w:type="dxa"/>
              <w:left w:w="40" w:type="dxa"/>
              <w:bottom w:w="25" w:type="dxa"/>
              <w:right w:w="40" w:type="dxa"/>
            </w:tcMar>
          </w:tcPr>
          <w:p w14:paraId="2206F948" w14:textId="77777777" w:rsidR="003A5020" w:rsidRDefault="00000000">
            <w:pPr>
              <w:spacing w:after="0"/>
              <w:jc w:val="right"/>
            </w:pPr>
            <w:r>
              <w:rPr>
                <w:b/>
                <w:color w:val="080D18"/>
                <w:sz w:val="16"/>
              </w:rPr>
              <w:t>Cost</w:t>
            </w:r>
          </w:p>
        </w:tc>
      </w:tr>
      <w:tr w:rsidR="003A5020" w14:paraId="0795C098" w14:textId="77777777">
        <w:tc>
          <w:tcPr>
            <w:tcW w:w="3600" w:type="dxa"/>
            <w:tcBorders>
              <w:bottom w:val="single" w:sz="2" w:space="0" w:color="EEEDEA"/>
            </w:tcBorders>
            <w:tcMar>
              <w:top w:w="25" w:type="dxa"/>
              <w:left w:w="40" w:type="dxa"/>
              <w:bottom w:w="25" w:type="dxa"/>
              <w:right w:w="40" w:type="dxa"/>
            </w:tcMar>
          </w:tcPr>
          <w:p w14:paraId="18A307D0" w14:textId="77777777" w:rsidR="003A5020" w:rsidRDefault="00000000">
            <w:pPr>
              <w:spacing w:after="0"/>
            </w:pPr>
            <w:r>
              <w:rPr>
                <w:b/>
              </w:rPr>
              <w:t>pinchfin_rent_roll_analyzer</w:t>
            </w:r>
          </w:p>
        </w:tc>
        <w:tc>
          <w:tcPr>
            <w:tcW w:w="3600" w:type="dxa"/>
            <w:tcBorders>
              <w:bottom w:val="single" w:sz="2" w:space="0" w:color="EEEDEA"/>
            </w:tcBorders>
            <w:tcMar>
              <w:top w:w="25" w:type="dxa"/>
              <w:left w:w="40" w:type="dxa"/>
              <w:bottom w:w="25" w:type="dxa"/>
              <w:right w:w="40" w:type="dxa"/>
            </w:tcMar>
          </w:tcPr>
          <w:p w14:paraId="416F726E" w14:textId="77777777" w:rsidR="003A5020" w:rsidRDefault="00000000">
            <w:pPr>
              <w:spacing w:after="0"/>
            </w:pPr>
            <w:r>
              <w:t>Rent roll parsing and anomaly detection. Unit mix aggregation, physical and economic occupancy, loss-to-lease by unit type, concession analysis, renovation segmentation (classic vs. renovated), lease expiration waterfall, and T-12 reconciliation flags.</w:t>
            </w:r>
          </w:p>
        </w:tc>
        <w:tc>
          <w:tcPr>
            <w:tcW w:w="3600" w:type="dxa"/>
            <w:tcBorders>
              <w:bottom w:val="single" w:sz="2" w:space="0" w:color="EEEDEA"/>
            </w:tcBorders>
            <w:tcMar>
              <w:top w:w="25" w:type="dxa"/>
              <w:left w:w="40" w:type="dxa"/>
              <w:bottom w:w="25" w:type="dxa"/>
              <w:right w:w="40" w:type="dxa"/>
            </w:tcMar>
          </w:tcPr>
          <w:p w14:paraId="6B85D052" w14:textId="77777777" w:rsidR="003A5020" w:rsidRDefault="00000000">
            <w:pPr>
              <w:spacing w:after="0"/>
              <w:jc w:val="right"/>
            </w:pPr>
            <w:r>
              <w:t>$0.25–$1.00</w:t>
            </w:r>
          </w:p>
        </w:tc>
      </w:tr>
      <w:tr w:rsidR="003A5020" w14:paraId="6423470C" w14:textId="77777777">
        <w:tc>
          <w:tcPr>
            <w:tcW w:w="3600" w:type="dxa"/>
            <w:tcBorders>
              <w:bottom w:val="single" w:sz="2" w:space="0" w:color="EEEDEA"/>
            </w:tcBorders>
            <w:tcMar>
              <w:top w:w="25" w:type="dxa"/>
              <w:left w:w="40" w:type="dxa"/>
              <w:bottom w:w="25" w:type="dxa"/>
              <w:right w:w="40" w:type="dxa"/>
            </w:tcMar>
          </w:tcPr>
          <w:p w14:paraId="170A42CA" w14:textId="77777777" w:rsidR="003A5020" w:rsidRDefault="00000000">
            <w:pPr>
              <w:spacing w:after="0"/>
            </w:pPr>
            <w:r>
              <w:rPr>
                <w:b/>
              </w:rPr>
              <w:t>pinchfin_cash_flow</w:t>
            </w:r>
          </w:p>
        </w:tc>
        <w:tc>
          <w:tcPr>
            <w:tcW w:w="3600" w:type="dxa"/>
            <w:tcBorders>
              <w:bottom w:val="single" w:sz="2" w:space="0" w:color="EEEDEA"/>
            </w:tcBorders>
            <w:tcMar>
              <w:top w:w="25" w:type="dxa"/>
              <w:left w:w="40" w:type="dxa"/>
              <w:bottom w:w="25" w:type="dxa"/>
              <w:right w:w="40" w:type="dxa"/>
            </w:tcMar>
          </w:tcPr>
          <w:p w14:paraId="7FB1025D" w14:textId="77777777" w:rsidR="003A5020" w:rsidRDefault="00000000">
            <w:pPr>
              <w:spacing w:after="0"/>
            </w:pPr>
            <w:r>
              <w:t>Dual-scenario cash flow underwriting. Builds both Lender Underwrite and Sponsor Proforma scenarios. Income breakdown (GPR, other income, vacancy, concessions, bad debt), expense normalization, NOI derivation, 5-year projections, and 6-constraint sizing waterfall. All financial math is deterministic — Claude provides narrative only.</w:t>
            </w:r>
          </w:p>
        </w:tc>
        <w:tc>
          <w:tcPr>
            <w:tcW w:w="3600" w:type="dxa"/>
            <w:tcBorders>
              <w:bottom w:val="single" w:sz="2" w:space="0" w:color="EEEDEA"/>
            </w:tcBorders>
            <w:tcMar>
              <w:top w:w="25" w:type="dxa"/>
              <w:left w:w="40" w:type="dxa"/>
              <w:bottom w:w="25" w:type="dxa"/>
              <w:right w:w="40" w:type="dxa"/>
            </w:tcMar>
          </w:tcPr>
          <w:p w14:paraId="44B4B8D3" w14:textId="77777777" w:rsidR="003A5020" w:rsidRDefault="00000000">
            <w:pPr>
              <w:spacing w:after="0"/>
              <w:jc w:val="right"/>
            </w:pPr>
            <w:r>
              <w:t>$0.50–$1.50</w:t>
            </w:r>
          </w:p>
        </w:tc>
      </w:tr>
      <w:tr w:rsidR="003A5020" w14:paraId="7221B712" w14:textId="77777777">
        <w:tc>
          <w:tcPr>
            <w:tcW w:w="3600" w:type="dxa"/>
            <w:tcBorders>
              <w:bottom w:val="single" w:sz="2" w:space="0" w:color="EEEDEA"/>
            </w:tcBorders>
            <w:tcMar>
              <w:top w:w="25" w:type="dxa"/>
              <w:left w:w="40" w:type="dxa"/>
              <w:bottom w:w="25" w:type="dxa"/>
              <w:right w:w="40" w:type="dxa"/>
            </w:tcMar>
          </w:tcPr>
          <w:p w14:paraId="386993BE" w14:textId="77777777" w:rsidR="003A5020" w:rsidRDefault="00000000">
            <w:pPr>
              <w:spacing w:after="0"/>
            </w:pPr>
            <w:r>
              <w:rPr>
                <w:b/>
              </w:rPr>
              <w:t>pinchfin_nuance_gate</w:t>
            </w:r>
          </w:p>
        </w:tc>
        <w:tc>
          <w:tcPr>
            <w:tcW w:w="3600" w:type="dxa"/>
            <w:tcBorders>
              <w:bottom w:val="single" w:sz="2" w:space="0" w:color="EEEDEA"/>
            </w:tcBorders>
            <w:tcMar>
              <w:top w:w="25" w:type="dxa"/>
              <w:left w:w="40" w:type="dxa"/>
              <w:bottom w:w="25" w:type="dxa"/>
              <w:right w:w="40" w:type="dxa"/>
            </w:tcMar>
          </w:tcPr>
          <w:p w14:paraId="4555A794" w14:textId="77777777" w:rsidR="003A5020" w:rsidRDefault="00000000">
            <w:pPr>
              <w:spacing w:after="0"/>
            </w:pPr>
            <w:r>
              <w:rPr>
                <w:b/>
                <w:color w:val="1B6B3A"/>
              </w:rPr>
              <w:t>Complex deal feature analysis. Detects and evaluates nuance flags: LIHTC (4%/9%), Section 8/HAP, rent control/stabilization, ground leases, tax abatements (421-a, PILOT), seismic retrofit, environmental concerns, complex ownership (TIC, JV). Returns GO/NO-GO/CONDITIONAL with financial impact estimates and regulatory research.</w:t>
            </w:r>
          </w:p>
        </w:tc>
        <w:tc>
          <w:tcPr>
            <w:tcW w:w="3600" w:type="dxa"/>
            <w:tcBorders>
              <w:bottom w:val="single" w:sz="2" w:space="0" w:color="EEEDEA"/>
            </w:tcBorders>
            <w:tcMar>
              <w:top w:w="25" w:type="dxa"/>
              <w:left w:w="40" w:type="dxa"/>
              <w:bottom w:w="25" w:type="dxa"/>
              <w:right w:w="40" w:type="dxa"/>
            </w:tcMar>
          </w:tcPr>
          <w:p w14:paraId="020AC484" w14:textId="77777777" w:rsidR="003A5020" w:rsidRDefault="00000000">
            <w:pPr>
              <w:spacing w:after="0"/>
              <w:jc w:val="right"/>
            </w:pPr>
            <w:r>
              <w:t>$0.50–$2.00</w:t>
            </w:r>
          </w:p>
        </w:tc>
      </w:tr>
      <w:tr w:rsidR="003A5020" w14:paraId="20F6FF77" w14:textId="77777777">
        <w:tc>
          <w:tcPr>
            <w:tcW w:w="3600" w:type="dxa"/>
            <w:tcBorders>
              <w:bottom w:val="single" w:sz="2" w:space="0" w:color="EEEDEA"/>
            </w:tcBorders>
            <w:tcMar>
              <w:top w:w="25" w:type="dxa"/>
              <w:left w:w="40" w:type="dxa"/>
              <w:bottom w:w="25" w:type="dxa"/>
              <w:right w:w="40" w:type="dxa"/>
            </w:tcMar>
          </w:tcPr>
          <w:p w14:paraId="12791372" w14:textId="77777777" w:rsidR="003A5020" w:rsidRDefault="00000000">
            <w:pPr>
              <w:spacing w:after="0"/>
            </w:pPr>
            <w:r>
              <w:rPr>
                <w:b/>
              </w:rPr>
              <w:t>pinchfin_business_plan_analysis</w:t>
            </w:r>
          </w:p>
        </w:tc>
        <w:tc>
          <w:tcPr>
            <w:tcW w:w="3600" w:type="dxa"/>
            <w:tcBorders>
              <w:bottom w:val="single" w:sz="2" w:space="0" w:color="EEEDEA"/>
            </w:tcBorders>
            <w:tcMar>
              <w:top w:w="25" w:type="dxa"/>
              <w:left w:w="40" w:type="dxa"/>
              <w:bottom w:w="25" w:type="dxa"/>
              <w:right w:w="40" w:type="dxa"/>
            </w:tcMar>
          </w:tcPr>
          <w:p w14:paraId="49EBC82B" w14:textId="77777777" w:rsidR="003A5020" w:rsidRDefault="00000000">
            <w:pPr>
              <w:spacing w:after="0"/>
            </w:pPr>
            <w:r>
              <w:rPr>
                <w:b/>
                <w:color w:val="1B6B3A"/>
              </w:rPr>
              <w:t>Value-add business plan feasibility. Evaluates renovation budget against RSMeans benchmarks, rent lift potential vs. market support, lease-up timeline, and execution risk. Returns feasibility rating (strong/moderate/weak/not feasible) with conditions.</w:t>
            </w:r>
          </w:p>
        </w:tc>
        <w:tc>
          <w:tcPr>
            <w:tcW w:w="3600" w:type="dxa"/>
            <w:tcBorders>
              <w:bottom w:val="single" w:sz="2" w:space="0" w:color="EEEDEA"/>
            </w:tcBorders>
            <w:tcMar>
              <w:top w:w="25" w:type="dxa"/>
              <w:left w:w="40" w:type="dxa"/>
              <w:bottom w:w="25" w:type="dxa"/>
              <w:right w:w="40" w:type="dxa"/>
            </w:tcMar>
          </w:tcPr>
          <w:p w14:paraId="756AE598" w14:textId="77777777" w:rsidR="003A5020" w:rsidRDefault="00000000">
            <w:pPr>
              <w:spacing w:after="0"/>
              <w:jc w:val="right"/>
            </w:pPr>
            <w:r>
              <w:t>$0.50–$2.00</w:t>
            </w:r>
          </w:p>
        </w:tc>
      </w:tr>
      <w:tr w:rsidR="003A5020" w14:paraId="3DC3F7D5" w14:textId="77777777">
        <w:tc>
          <w:tcPr>
            <w:tcW w:w="3600" w:type="dxa"/>
            <w:tcBorders>
              <w:bottom w:val="single" w:sz="2" w:space="0" w:color="EEEDEA"/>
            </w:tcBorders>
            <w:tcMar>
              <w:top w:w="25" w:type="dxa"/>
              <w:left w:w="40" w:type="dxa"/>
              <w:bottom w:w="25" w:type="dxa"/>
              <w:right w:w="40" w:type="dxa"/>
            </w:tcMar>
          </w:tcPr>
          <w:p w14:paraId="3EB34CD3" w14:textId="77777777" w:rsidR="003A5020" w:rsidRDefault="00000000">
            <w:pPr>
              <w:spacing w:after="0"/>
            </w:pPr>
            <w:r>
              <w:rPr>
                <w:b/>
              </w:rPr>
              <w:t>pinchfin_renovation_roi</w:t>
            </w:r>
          </w:p>
        </w:tc>
        <w:tc>
          <w:tcPr>
            <w:tcW w:w="3600" w:type="dxa"/>
            <w:tcBorders>
              <w:bottom w:val="single" w:sz="2" w:space="0" w:color="EEEDEA"/>
            </w:tcBorders>
            <w:tcMar>
              <w:top w:w="25" w:type="dxa"/>
              <w:left w:w="40" w:type="dxa"/>
              <w:bottom w:w="25" w:type="dxa"/>
              <w:right w:w="40" w:type="dxa"/>
            </w:tcMar>
          </w:tcPr>
          <w:p w14:paraId="7F971743" w14:textId="77777777" w:rsidR="003A5020" w:rsidRDefault="00000000">
            <w:pPr>
              <w:spacing w:after="0"/>
            </w:pPr>
            <w:r>
              <w:t>Renovation return-on-investment analysis. Current rent vs. target rent, annual income increase, payback period in months, value creation at multiple cap rates (sensitivity table), and ROI recommendation. All calculations deterministic.</w:t>
            </w:r>
          </w:p>
        </w:tc>
        <w:tc>
          <w:tcPr>
            <w:tcW w:w="3600" w:type="dxa"/>
            <w:tcBorders>
              <w:bottom w:val="single" w:sz="2" w:space="0" w:color="EEEDEA"/>
            </w:tcBorders>
            <w:tcMar>
              <w:top w:w="25" w:type="dxa"/>
              <w:left w:w="40" w:type="dxa"/>
              <w:bottom w:w="25" w:type="dxa"/>
              <w:right w:w="40" w:type="dxa"/>
            </w:tcMar>
          </w:tcPr>
          <w:p w14:paraId="626452A9" w14:textId="77777777" w:rsidR="003A5020" w:rsidRDefault="00000000">
            <w:pPr>
              <w:spacing w:after="0"/>
              <w:jc w:val="right"/>
            </w:pPr>
            <w:r>
              <w:t>$0.50–$2.00</w:t>
            </w:r>
          </w:p>
        </w:tc>
      </w:tr>
      <w:tr w:rsidR="003A5020" w14:paraId="405105A2" w14:textId="77777777">
        <w:tc>
          <w:tcPr>
            <w:tcW w:w="3600" w:type="dxa"/>
            <w:tcBorders>
              <w:bottom w:val="single" w:sz="2" w:space="0" w:color="EEEDEA"/>
            </w:tcBorders>
            <w:tcMar>
              <w:top w:w="25" w:type="dxa"/>
              <w:left w:w="40" w:type="dxa"/>
              <w:bottom w:w="25" w:type="dxa"/>
              <w:right w:w="40" w:type="dxa"/>
            </w:tcMar>
          </w:tcPr>
          <w:p w14:paraId="22078970" w14:textId="77777777" w:rsidR="003A5020" w:rsidRDefault="00000000">
            <w:pPr>
              <w:spacing w:after="0"/>
            </w:pPr>
            <w:r>
              <w:rPr>
                <w:b/>
              </w:rPr>
              <w:t>pinchfin_term_sheet_comparator</w:t>
            </w:r>
          </w:p>
        </w:tc>
        <w:tc>
          <w:tcPr>
            <w:tcW w:w="3600" w:type="dxa"/>
            <w:tcBorders>
              <w:bottom w:val="single" w:sz="2" w:space="0" w:color="EEEDEA"/>
            </w:tcBorders>
            <w:tcMar>
              <w:top w:w="25" w:type="dxa"/>
              <w:left w:w="40" w:type="dxa"/>
              <w:bottom w:w="25" w:type="dxa"/>
              <w:right w:w="40" w:type="dxa"/>
            </w:tcMar>
          </w:tcPr>
          <w:p w14:paraId="1630461D" w14:textId="77777777" w:rsidR="003A5020" w:rsidRDefault="00000000">
            <w:pPr>
              <w:spacing w:after="0"/>
            </w:pPr>
            <w:r>
              <w:t xml:space="preserve">Side-by-side term sheet comparison. Analyzes </w:t>
            </w:r>
            <w:r>
              <w:lastRenderedPageBreak/>
              <w:t>2+ competing term sheets across rate, spread, fees, term, IO period, prepayment, extensions, covenants, cash management, and reserves. Returns comparison matrix and preferred lender recommendation with rationale.</w:t>
            </w:r>
          </w:p>
        </w:tc>
        <w:tc>
          <w:tcPr>
            <w:tcW w:w="3600" w:type="dxa"/>
            <w:tcBorders>
              <w:bottom w:val="single" w:sz="2" w:space="0" w:color="EEEDEA"/>
            </w:tcBorders>
            <w:tcMar>
              <w:top w:w="25" w:type="dxa"/>
              <w:left w:w="40" w:type="dxa"/>
              <w:bottom w:w="25" w:type="dxa"/>
              <w:right w:w="40" w:type="dxa"/>
            </w:tcMar>
          </w:tcPr>
          <w:p w14:paraId="54FE7165" w14:textId="77777777" w:rsidR="003A5020" w:rsidRDefault="00000000">
            <w:pPr>
              <w:spacing w:after="0"/>
              <w:jc w:val="right"/>
            </w:pPr>
            <w:r>
              <w:lastRenderedPageBreak/>
              <w:t>$0.50–$1.50</w:t>
            </w:r>
          </w:p>
        </w:tc>
      </w:tr>
      <w:tr w:rsidR="003A5020" w14:paraId="19A9EF6A" w14:textId="77777777">
        <w:tc>
          <w:tcPr>
            <w:tcW w:w="3600" w:type="dxa"/>
            <w:tcBorders>
              <w:bottom w:val="single" w:sz="2" w:space="0" w:color="EEEDEA"/>
            </w:tcBorders>
            <w:tcMar>
              <w:top w:w="25" w:type="dxa"/>
              <w:left w:w="40" w:type="dxa"/>
              <w:bottom w:w="25" w:type="dxa"/>
              <w:right w:w="40" w:type="dxa"/>
            </w:tcMar>
          </w:tcPr>
          <w:p w14:paraId="7F51FECD" w14:textId="77777777" w:rsidR="003A5020" w:rsidRDefault="00000000">
            <w:pPr>
              <w:spacing w:after="0"/>
            </w:pPr>
            <w:r>
              <w:rPr>
                <w:b/>
              </w:rPr>
              <w:t>pinchfin_ic_memo</w:t>
            </w:r>
          </w:p>
        </w:tc>
        <w:tc>
          <w:tcPr>
            <w:tcW w:w="3600" w:type="dxa"/>
            <w:tcBorders>
              <w:bottom w:val="single" w:sz="2" w:space="0" w:color="EEEDEA"/>
            </w:tcBorders>
            <w:tcMar>
              <w:top w:w="25" w:type="dxa"/>
              <w:left w:w="40" w:type="dxa"/>
              <w:bottom w:w="25" w:type="dxa"/>
              <w:right w:w="40" w:type="dxa"/>
            </w:tcMar>
          </w:tcPr>
          <w:p w14:paraId="07A8EE58" w14:textId="77777777" w:rsidR="003A5020" w:rsidRDefault="00000000">
            <w:pPr>
              <w:spacing w:after="0"/>
            </w:pPr>
            <w:r>
              <w:rPr>
                <w:b/>
                <w:color w:val="B22234"/>
              </w:rPr>
              <w:t>Investment Committee memorandum — the capstone document. Executive summary, deal narrative, sponsor assessment, market overview, financial analysis, risk assessment, sources and uses, key metrics strip, and recommendation (Approve / Approve with Conditions / Decline). Requires prior phase outputs for full depth.</w:t>
            </w:r>
          </w:p>
        </w:tc>
        <w:tc>
          <w:tcPr>
            <w:tcW w:w="3600" w:type="dxa"/>
            <w:tcBorders>
              <w:bottom w:val="single" w:sz="2" w:space="0" w:color="EEEDEA"/>
            </w:tcBorders>
            <w:tcMar>
              <w:top w:w="25" w:type="dxa"/>
              <w:left w:w="40" w:type="dxa"/>
              <w:bottom w:w="25" w:type="dxa"/>
              <w:right w:w="40" w:type="dxa"/>
            </w:tcMar>
          </w:tcPr>
          <w:p w14:paraId="76CC60C9" w14:textId="77777777" w:rsidR="003A5020" w:rsidRDefault="00000000">
            <w:pPr>
              <w:spacing w:after="0"/>
              <w:jc w:val="right"/>
            </w:pPr>
            <w:r>
              <w:t>$1.00–$3.00</w:t>
            </w:r>
          </w:p>
        </w:tc>
      </w:tr>
      <w:tr w:rsidR="003A5020" w14:paraId="5EDC1860" w14:textId="77777777">
        <w:tc>
          <w:tcPr>
            <w:tcW w:w="3600" w:type="dxa"/>
            <w:tcBorders>
              <w:bottom w:val="single" w:sz="2" w:space="0" w:color="EEEDEA"/>
            </w:tcBorders>
            <w:tcMar>
              <w:top w:w="25" w:type="dxa"/>
              <w:left w:w="40" w:type="dxa"/>
              <w:bottom w:w="25" w:type="dxa"/>
              <w:right w:w="40" w:type="dxa"/>
            </w:tcMar>
          </w:tcPr>
          <w:p w14:paraId="27527AAB" w14:textId="77777777" w:rsidR="003A5020" w:rsidRDefault="00000000">
            <w:pPr>
              <w:spacing w:after="0"/>
            </w:pPr>
            <w:r>
              <w:rPr>
                <w:b/>
              </w:rPr>
              <w:t>pinchfin_deal_book</w:t>
            </w:r>
          </w:p>
        </w:tc>
        <w:tc>
          <w:tcPr>
            <w:tcW w:w="3600" w:type="dxa"/>
            <w:tcBorders>
              <w:bottom w:val="single" w:sz="2" w:space="0" w:color="EEEDEA"/>
            </w:tcBorders>
            <w:tcMar>
              <w:top w:w="25" w:type="dxa"/>
              <w:left w:w="40" w:type="dxa"/>
              <w:bottom w:w="25" w:type="dxa"/>
              <w:right w:w="40" w:type="dxa"/>
            </w:tcMar>
          </w:tcPr>
          <w:p w14:paraId="2238BEB3" w14:textId="77777777" w:rsidR="003A5020" w:rsidRDefault="00000000">
            <w:pPr>
              <w:spacing w:after="0"/>
            </w:pPr>
            <w:r>
              <w:t>Document synthesis. Processes uploaded deal documents (OM, rent roll, T-12, appraisal, term sheets) into a structured deal package with extracted data points and cross-referenced findings.</w:t>
            </w:r>
          </w:p>
        </w:tc>
        <w:tc>
          <w:tcPr>
            <w:tcW w:w="3600" w:type="dxa"/>
            <w:tcBorders>
              <w:bottom w:val="single" w:sz="2" w:space="0" w:color="EEEDEA"/>
            </w:tcBorders>
            <w:tcMar>
              <w:top w:w="25" w:type="dxa"/>
              <w:left w:w="40" w:type="dxa"/>
              <w:bottom w:w="25" w:type="dxa"/>
              <w:right w:w="40" w:type="dxa"/>
            </w:tcMar>
          </w:tcPr>
          <w:p w14:paraId="75F8A4ED" w14:textId="77777777" w:rsidR="003A5020" w:rsidRDefault="00000000">
            <w:pPr>
              <w:spacing w:after="0"/>
              <w:jc w:val="right"/>
            </w:pPr>
            <w:r>
              <w:t>$0.75–$3.00</w:t>
            </w:r>
          </w:p>
        </w:tc>
      </w:tr>
    </w:tbl>
    <w:p w14:paraId="3C9FF384" w14:textId="77777777" w:rsidR="003A5020" w:rsidRDefault="003A5020"/>
    <w:p w14:paraId="5F4DE438" w14:textId="77777777" w:rsidR="003A5020" w:rsidRDefault="003A5020">
      <w:pPr>
        <w:spacing w:after="80"/>
      </w:pPr>
    </w:p>
    <w:tbl>
      <w:tblPr>
        <w:tblW w:w="0" w:type="auto"/>
        <w:tblLook w:val="04A0" w:firstRow="1" w:lastRow="0" w:firstColumn="1" w:lastColumn="0" w:noHBand="0" w:noVBand="1"/>
      </w:tblPr>
      <w:tblGrid>
        <w:gridCol w:w="10800"/>
      </w:tblGrid>
      <w:tr w:rsidR="003A5020" w14:paraId="0E8BF7EF" w14:textId="77777777">
        <w:tc>
          <w:tcPr>
            <w:tcW w:w="10800" w:type="dxa"/>
            <w:shd w:val="clear" w:color="auto" w:fill="080D18"/>
            <w:tcMar>
              <w:top w:w="40" w:type="dxa"/>
              <w:left w:w="80" w:type="dxa"/>
              <w:bottom w:w="40" w:type="dxa"/>
              <w:right w:w="80" w:type="dxa"/>
            </w:tcMar>
          </w:tcPr>
          <w:p w14:paraId="4A392D4E" w14:textId="77777777" w:rsidR="003A5020" w:rsidRDefault="00000000">
            <w:pPr>
              <w:spacing w:after="0"/>
            </w:pPr>
            <w:r>
              <w:rPr>
                <w:b/>
                <w:color w:val="FFFFFF"/>
              </w:rPr>
              <w:t>COMPOSITE WORKFLOWS</w:t>
            </w:r>
          </w:p>
        </w:tc>
      </w:tr>
    </w:tbl>
    <w:p w14:paraId="2AB34333" w14:textId="77777777" w:rsidR="003A5020" w:rsidRDefault="003A5020">
      <w:pPr>
        <w:spacing w:after="60"/>
      </w:pPr>
    </w:p>
    <w:p w14:paraId="3A25B7EC" w14:textId="77777777" w:rsidR="003A5020" w:rsidRDefault="00000000">
      <w:pPr>
        <w:spacing w:before="40" w:after="80"/>
      </w:pPr>
      <w:r>
        <w:t>Multi-step orchestrated workflows that internally call multiple Tier 1–3 tools in sequence, producing comprehensive analysis packages.</w:t>
      </w:r>
    </w:p>
    <w:tbl>
      <w:tblPr>
        <w:tblW w:w="0" w:type="auto"/>
        <w:tblLook w:val="04A0" w:firstRow="1" w:lastRow="0" w:firstColumn="1" w:lastColumn="0" w:noHBand="0" w:noVBand="1"/>
      </w:tblPr>
      <w:tblGrid>
        <w:gridCol w:w="3600"/>
        <w:gridCol w:w="3600"/>
        <w:gridCol w:w="3600"/>
      </w:tblGrid>
      <w:tr w:rsidR="003A5020" w14:paraId="4FE5B26D" w14:textId="77777777">
        <w:tc>
          <w:tcPr>
            <w:tcW w:w="3600" w:type="dxa"/>
            <w:tcBorders>
              <w:bottom w:val="single" w:sz="8" w:space="0" w:color="080D18"/>
            </w:tcBorders>
            <w:tcMar>
              <w:top w:w="25" w:type="dxa"/>
              <w:left w:w="40" w:type="dxa"/>
              <w:bottom w:w="25" w:type="dxa"/>
              <w:right w:w="40" w:type="dxa"/>
            </w:tcMar>
          </w:tcPr>
          <w:p w14:paraId="540D9BA5" w14:textId="77777777" w:rsidR="003A5020" w:rsidRDefault="00000000">
            <w:pPr>
              <w:spacing w:after="0"/>
            </w:pPr>
            <w:r>
              <w:rPr>
                <w:b/>
                <w:color w:val="080D18"/>
                <w:sz w:val="16"/>
              </w:rPr>
              <w:t>Tool</w:t>
            </w:r>
          </w:p>
        </w:tc>
        <w:tc>
          <w:tcPr>
            <w:tcW w:w="3600" w:type="dxa"/>
            <w:tcBorders>
              <w:bottom w:val="single" w:sz="8" w:space="0" w:color="080D18"/>
            </w:tcBorders>
            <w:tcMar>
              <w:top w:w="25" w:type="dxa"/>
              <w:left w:w="40" w:type="dxa"/>
              <w:bottom w:w="25" w:type="dxa"/>
              <w:right w:w="40" w:type="dxa"/>
            </w:tcMar>
          </w:tcPr>
          <w:p w14:paraId="2918EAA6" w14:textId="77777777" w:rsidR="003A5020" w:rsidRDefault="00000000">
            <w:pPr>
              <w:spacing w:after="0"/>
            </w:pPr>
            <w:r>
              <w:rPr>
                <w:b/>
                <w:color w:val="080D18"/>
                <w:sz w:val="16"/>
              </w:rPr>
              <w:t>Description</w:t>
            </w:r>
          </w:p>
        </w:tc>
        <w:tc>
          <w:tcPr>
            <w:tcW w:w="3600" w:type="dxa"/>
            <w:tcBorders>
              <w:bottom w:val="single" w:sz="8" w:space="0" w:color="080D18"/>
            </w:tcBorders>
            <w:tcMar>
              <w:top w:w="25" w:type="dxa"/>
              <w:left w:w="40" w:type="dxa"/>
              <w:bottom w:w="25" w:type="dxa"/>
              <w:right w:w="40" w:type="dxa"/>
            </w:tcMar>
          </w:tcPr>
          <w:p w14:paraId="3BEEB6C0" w14:textId="77777777" w:rsidR="003A5020" w:rsidRDefault="00000000">
            <w:pPr>
              <w:spacing w:after="0"/>
              <w:jc w:val="right"/>
            </w:pPr>
            <w:r>
              <w:rPr>
                <w:b/>
                <w:color w:val="080D18"/>
                <w:sz w:val="16"/>
              </w:rPr>
              <w:t>Cost</w:t>
            </w:r>
          </w:p>
        </w:tc>
      </w:tr>
      <w:tr w:rsidR="003A5020" w14:paraId="14EE7DFF" w14:textId="77777777">
        <w:tc>
          <w:tcPr>
            <w:tcW w:w="3600" w:type="dxa"/>
            <w:tcBorders>
              <w:bottom w:val="single" w:sz="2" w:space="0" w:color="EEEDEA"/>
            </w:tcBorders>
            <w:tcMar>
              <w:top w:w="25" w:type="dxa"/>
              <w:left w:w="40" w:type="dxa"/>
              <w:bottom w:w="25" w:type="dxa"/>
              <w:right w:w="40" w:type="dxa"/>
            </w:tcMar>
          </w:tcPr>
          <w:p w14:paraId="39FACECC" w14:textId="77777777" w:rsidR="003A5020" w:rsidRDefault="00000000">
            <w:pPr>
              <w:spacing w:after="0"/>
            </w:pPr>
            <w:r>
              <w:rPr>
                <w:b/>
              </w:rPr>
              <w:t>pinchfin_quick_review</w:t>
            </w:r>
          </w:p>
        </w:tc>
        <w:tc>
          <w:tcPr>
            <w:tcW w:w="3600" w:type="dxa"/>
            <w:tcBorders>
              <w:bottom w:val="single" w:sz="2" w:space="0" w:color="EEEDEA"/>
            </w:tcBorders>
            <w:tcMar>
              <w:top w:w="25" w:type="dxa"/>
              <w:left w:w="40" w:type="dxa"/>
              <w:bottom w:w="25" w:type="dxa"/>
              <w:right w:w="40" w:type="dxa"/>
            </w:tcMar>
          </w:tcPr>
          <w:p w14:paraId="65DC41B9" w14:textId="694D1682" w:rsidR="003A5020" w:rsidRDefault="00000000">
            <w:pPr>
              <w:spacing w:after="0"/>
            </w:pPr>
            <w:r>
              <w:t>Full 10-minute deal screening workflow. Internally orchestrates: deal screen → sponsor analysis → market research → comp analysis → cash flow sizing → synthesis. Runs 21 parallel queries, pulls live macro data, executes the full constraint waterfall, and produces a screening recommendation with 4 DOCX reports (Quick Review memo, Sponsor report, Market report, Comps report).</w:t>
            </w:r>
          </w:p>
        </w:tc>
        <w:tc>
          <w:tcPr>
            <w:tcW w:w="3600" w:type="dxa"/>
            <w:tcBorders>
              <w:bottom w:val="single" w:sz="2" w:space="0" w:color="EEEDEA"/>
            </w:tcBorders>
            <w:tcMar>
              <w:top w:w="25" w:type="dxa"/>
              <w:left w:w="40" w:type="dxa"/>
              <w:bottom w:w="25" w:type="dxa"/>
              <w:right w:w="40" w:type="dxa"/>
            </w:tcMar>
          </w:tcPr>
          <w:p w14:paraId="4DD23956" w14:textId="77777777" w:rsidR="003A5020" w:rsidRDefault="00000000">
            <w:pPr>
              <w:spacing w:after="0"/>
              <w:jc w:val="right"/>
            </w:pPr>
            <w:r>
              <w:t>$2.00–$6.00</w:t>
            </w:r>
          </w:p>
        </w:tc>
      </w:tr>
    </w:tbl>
    <w:p w14:paraId="1C646CBE" w14:textId="77777777" w:rsidR="003A5020" w:rsidRDefault="003A5020"/>
    <w:p w14:paraId="53AC64FA" w14:textId="77777777" w:rsidR="003A5020" w:rsidRDefault="003A5020">
      <w:pPr>
        <w:spacing w:after="80"/>
      </w:pPr>
    </w:p>
    <w:tbl>
      <w:tblPr>
        <w:tblW w:w="0" w:type="auto"/>
        <w:tblLook w:val="04A0" w:firstRow="1" w:lastRow="0" w:firstColumn="1" w:lastColumn="0" w:noHBand="0" w:noVBand="1"/>
      </w:tblPr>
      <w:tblGrid>
        <w:gridCol w:w="10800"/>
      </w:tblGrid>
      <w:tr w:rsidR="003A5020" w14:paraId="09EBA884" w14:textId="77777777">
        <w:tc>
          <w:tcPr>
            <w:tcW w:w="10800" w:type="dxa"/>
            <w:shd w:val="clear" w:color="auto" w:fill="080D18"/>
            <w:tcMar>
              <w:top w:w="40" w:type="dxa"/>
              <w:left w:w="80" w:type="dxa"/>
              <w:bottom w:w="40" w:type="dxa"/>
              <w:right w:w="80" w:type="dxa"/>
            </w:tcMar>
          </w:tcPr>
          <w:p w14:paraId="17AAAE41" w14:textId="77777777" w:rsidR="003A5020" w:rsidRDefault="00000000">
            <w:pPr>
              <w:spacing w:after="0"/>
            </w:pPr>
            <w:r>
              <w:rPr>
                <w:b/>
                <w:color w:val="FFFFFF"/>
              </w:rPr>
              <w:t>FREE TOOLS</w:t>
            </w:r>
          </w:p>
        </w:tc>
      </w:tr>
    </w:tbl>
    <w:p w14:paraId="30AC8C92" w14:textId="77777777" w:rsidR="003A5020" w:rsidRDefault="003A5020">
      <w:pPr>
        <w:spacing w:after="60"/>
      </w:pPr>
    </w:p>
    <w:p w14:paraId="669994DA" w14:textId="77777777" w:rsidR="003A5020" w:rsidRDefault="00000000">
      <w:pPr>
        <w:spacing w:before="40" w:after="80"/>
      </w:pPr>
      <w:r>
        <w:t>Account management and utility tools. No charge, no balance required.</w:t>
      </w:r>
    </w:p>
    <w:tbl>
      <w:tblPr>
        <w:tblW w:w="0" w:type="auto"/>
        <w:tblLook w:val="04A0" w:firstRow="1" w:lastRow="0" w:firstColumn="1" w:lastColumn="0" w:noHBand="0" w:noVBand="1"/>
      </w:tblPr>
      <w:tblGrid>
        <w:gridCol w:w="5400"/>
        <w:gridCol w:w="5400"/>
      </w:tblGrid>
      <w:tr w:rsidR="003A5020" w14:paraId="63738085" w14:textId="77777777">
        <w:tc>
          <w:tcPr>
            <w:tcW w:w="5400" w:type="dxa"/>
            <w:tcBorders>
              <w:bottom w:val="single" w:sz="8" w:space="0" w:color="080D18"/>
            </w:tcBorders>
            <w:tcMar>
              <w:top w:w="25" w:type="dxa"/>
              <w:left w:w="40" w:type="dxa"/>
              <w:bottom w:w="25" w:type="dxa"/>
              <w:right w:w="40" w:type="dxa"/>
            </w:tcMar>
          </w:tcPr>
          <w:p w14:paraId="2CF06AE7" w14:textId="77777777" w:rsidR="003A5020" w:rsidRDefault="00000000">
            <w:pPr>
              <w:spacing w:after="0"/>
            </w:pPr>
            <w:r>
              <w:rPr>
                <w:b/>
                <w:color w:val="080D18"/>
                <w:sz w:val="16"/>
              </w:rPr>
              <w:t>Tool</w:t>
            </w:r>
          </w:p>
        </w:tc>
        <w:tc>
          <w:tcPr>
            <w:tcW w:w="5400" w:type="dxa"/>
            <w:tcBorders>
              <w:bottom w:val="single" w:sz="8" w:space="0" w:color="080D18"/>
            </w:tcBorders>
            <w:tcMar>
              <w:top w:w="25" w:type="dxa"/>
              <w:left w:w="40" w:type="dxa"/>
              <w:bottom w:w="25" w:type="dxa"/>
              <w:right w:w="40" w:type="dxa"/>
            </w:tcMar>
          </w:tcPr>
          <w:p w14:paraId="1E41F57D" w14:textId="77777777" w:rsidR="003A5020" w:rsidRDefault="00000000">
            <w:pPr>
              <w:spacing w:after="0"/>
            </w:pPr>
            <w:r>
              <w:rPr>
                <w:b/>
                <w:color w:val="080D18"/>
                <w:sz w:val="16"/>
              </w:rPr>
              <w:t>Description</w:t>
            </w:r>
          </w:p>
        </w:tc>
      </w:tr>
      <w:tr w:rsidR="003A5020" w14:paraId="2F1E500D" w14:textId="77777777">
        <w:tc>
          <w:tcPr>
            <w:tcW w:w="5400" w:type="dxa"/>
            <w:tcBorders>
              <w:bottom w:val="single" w:sz="2" w:space="0" w:color="EEEDEA"/>
            </w:tcBorders>
            <w:tcMar>
              <w:top w:w="25" w:type="dxa"/>
              <w:left w:w="40" w:type="dxa"/>
              <w:bottom w:w="25" w:type="dxa"/>
              <w:right w:w="40" w:type="dxa"/>
            </w:tcMar>
          </w:tcPr>
          <w:p w14:paraId="61164C6D" w14:textId="77777777" w:rsidR="003A5020" w:rsidRDefault="00000000">
            <w:pPr>
              <w:spacing w:after="0"/>
            </w:pPr>
            <w:r>
              <w:rPr>
                <w:b/>
              </w:rPr>
              <w:t>pinchfin_estimate_cost</w:t>
            </w:r>
          </w:p>
        </w:tc>
        <w:tc>
          <w:tcPr>
            <w:tcW w:w="5400" w:type="dxa"/>
            <w:tcBorders>
              <w:bottom w:val="single" w:sz="2" w:space="0" w:color="EEEDEA"/>
            </w:tcBorders>
            <w:tcMar>
              <w:top w:w="25" w:type="dxa"/>
              <w:left w:w="40" w:type="dxa"/>
              <w:bottom w:w="25" w:type="dxa"/>
              <w:right w:w="40" w:type="dxa"/>
            </w:tcMar>
          </w:tcPr>
          <w:p w14:paraId="2F7ED0D5" w14:textId="77777777" w:rsidR="003A5020" w:rsidRDefault="00000000">
            <w:pPr>
              <w:spacing w:after="0"/>
            </w:pPr>
            <w:r>
              <w:t>Pre-run cost estimate for any module combination. Shows low/high range and hold amount.</w:t>
            </w:r>
          </w:p>
        </w:tc>
      </w:tr>
      <w:tr w:rsidR="003A5020" w14:paraId="6DEF07B3" w14:textId="77777777">
        <w:tc>
          <w:tcPr>
            <w:tcW w:w="5400" w:type="dxa"/>
            <w:tcBorders>
              <w:bottom w:val="single" w:sz="2" w:space="0" w:color="EEEDEA"/>
            </w:tcBorders>
            <w:tcMar>
              <w:top w:w="25" w:type="dxa"/>
              <w:left w:w="40" w:type="dxa"/>
              <w:bottom w:w="25" w:type="dxa"/>
              <w:right w:w="40" w:type="dxa"/>
            </w:tcMar>
          </w:tcPr>
          <w:p w14:paraId="38F1BFF1" w14:textId="77777777" w:rsidR="003A5020" w:rsidRDefault="00000000">
            <w:pPr>
              <w:spacing w:after="0"/>
            </w:pPr>
            <w:r>
              <w:rPr>
                <w:b/>
              </w:rPr>
              <w:t>pinchfin_account</w:t>
            </w:r>
          </w:p>
        </w:tc>
        <w:tc>
          <w:tcPr>
            <w:tcW w:w="5400" w:type="dxa"/>
            <w:tcBorders>
              <w:bottom w:val="single" w:sz="2" w:space="0" w:color="EEEDEA"/>
            </w:tcBorders>
            <w:tcMar>
              <w:top w:w="25" w:type="dxa"/>
              <w:left w:w="40" w:type="dxa"/>
              <w:bottom w:w="25" w:type="dxa"/>
              <w:right w:w="40" w:type="dxa"/>
            </w:tcMar>
          </w:tcPr>
          <w:p w14:paraId="2D5D4363" w14:textId="77777777" w:rsidR="003A5020" w:rsidRDefault="00000000">
            <w:pPr>
              <w:spacing w:after="0"/>
            </w:pPr>
            <w:r>
              <w:t>Check balance, held funds, available balance, and recent transaction history.</w:t>
            </w:r>
          </w:p>
        </w:tc>
      </w:tr>
      <w:tr w:rsidR="003A5020" w14:paraId="248CCFCD" w14:textId="77777777">
        <w:tc>
          <w:tcPr>
            <w:tcW w:w="5400" w:type="dxa"/>
            <w:tcBorders>
              <w:bottom w:val="single" w:sz="2" w:space="0" w:color="EEEDEA"/>
            </w:tcBorders>
            <w:tcMar>
              <w:top w:w="25" w:type="dxa"/>
              <w:left w:w="40" w:type="dxa"/>
              <w:bottom w:w="25" w:type="dxa"/>
              <w:right w:w="40" w:type="dxa"/>
            </w:tcMar>
          </w:tcPr>
          <w:p w14:paraId="06075CF6" w14:textId="77777777" w:rsidR="003A5020" w:rsidRDefault="00000000">
            <w:pPr>
              <w:spacing w:after="0"/>
            </w:pPr>
            <w:r>
              <w:rPr>
                <w:b/>
              </w:rPr>
              <w:t>pinchfin_deposit</w:t>
            </w:r>
          </w:p>
        </w:tc>
        <w:tc>
          <w:tcPr>
            <w:tcW w:w="5400" w:type="dxa"/>
            <w:tcBorders>
              <w:bottom w:val="single" w:sz="2" w:space="0" w:color="EEEDEA"/>
            </w:tcBorders>
            <w:tcMar>
              <w:top w:w="25" w:type="dxa"/>
              <w:left w:w="40" w:type="dxa"/>
              <w:bottom w:w="25" w:type="dxa"/>
              <w:right w:w="40" w:type="dxa"/>
            </w:tcMar>
          </w:tcPr>
          <w:p w14:paraId="6385F174" w14:textId="77777777" w:rsidR="003A5020" w:rsidRDefault="00000000">
            <w:pPr>
              <w:spacing w:after="0"/>
            </w:pPr>
            <w:r>
              <w:t>Load funds via Stripe checkout. Returns a secure payment URL. Minimum $25.</w:t>
            </w:r>
          </w:p>
        </w:tc>
      </w:tr>
      <w:tr w:rsidR="003A5020" w14:paraId="20F2C2F5" w14:textId="77777777">
        <w:tc>
          <w:tcPr>
            <w:tcW w:w="5400" w:type="dxa"/>
            <w:tcBorders>
              <w:bottom w:val="single" w:sz="2" w:space="0" w:color="EEEDEA"/>
            </w:tcBorders>
            <w:tcMar>
              <w:top w:w="25" w:type="dxa"/>
              <w:left w:w="40" w:type="dxa"/>
              <w:bottom w:w="25" w:type="dxa"/>
              <w:right w:w="40" w:type="dxa"/>
            </w:tcMar>
          </w:tcPr>
          <w:p w14:paraId="490CAB16" w14:textId="77777777" w:rsidR="003A5020" w:rsidRDefault="00000000">
            <w:pPr>
              <w:spacing w:after="0"/>
            </w:pPr>
            <w:r>
              <w:rPr>
                <w:b/>
              </w:rPr>
              <w:t>pinchfin_deal_status</w:t>
            </w:r>
          </w:p>
        </w:tc>
        <w:tc>
          <w:tcPr>
            <w:tcW w:w="5400" w:type="dxa"/>
            <w:tcBorders>
              <w:bottom w:val="single" w:sz="2" w:space="0" w:color="EEEDEA"/>
            </w:tcBorders>
            <w:tcMar>
              <w:top w:w="25" w:type="dxa"/>
              <w:left w:w="40" w:type="dxa"/>
              <w:bottom w:w="25" w:type="dxa"/>
              <w:right w:w="40" w:type="dxa"/>
            </w:tcMar>
          </w:tcPr>
          <w:p w14:paraId="060C4D01" w14:textId="77777777" w:rsidR="003A5020" w:rsidRDefault="00000000">
            <w:pPr>
              <w:spacing w:after="0"/>
            </w:pPr>
            <w:r>
              <w:rPr>
                <w:b/>
                <w:color w:val="1B6B3A"/>
              </w:rPr>
              <w:t>Check workflow progress on any deal — phases completed, percentage, next steps.</w:t>
            </w:r>
          </w:p>
        </w:tc>
      </w:tr>
      <w:tr w:rsidR="003A5020" w14:paraId="4FA5E6D0" w14:textId="77777777">
        <w:tc>
          <w:tcPr>
            <w:tcW w:w="5400" w:type="dxa"/>
            <w:tcBorders>
              <w:bottom w:val="single" w:sz="2" w:space="0" w:color="EEEDEA"/>
            </w:tcBorders>
            <w:tcMar>
              <w:top w:w="25" w:type="dxa"/>
              <w:left w:w="40" w:type="dxa"/>
              <w:bottom w:w="25" w:type="dxa"/>
              <w:right w:w="40" w:type="dxa"/>
            </w:tcMar>
          </w:tcPr>
          <w:p w14:paraId="1C2DEF32" w14:textId="77777777" w:rsidR="003A5020" w:rsidRDefault="00000000">
            <w:pPr>
              <w:spacing w:after="0"/>
            </w:pPr>
            <w:r>
              <w:rPr>
                <w:b/>
              </w:rPr>
              <w:t>pinchfin_list_deals</w:t>
            </w:r>
          </w:p>
        </w:tc>
        <w:tc>
          <w:tcPr>
            <w:tcW w:w="5400" w:type="dxa"/>
            <w:tcBorders>
              <w:bottom w:val="single" w:sz="2" w:space="0" w:color="EEEDEA"/>
            </w:tcBorders>
            <w:tcMar>
              <w:top w:w="25" w:type="dxa"/>
              <w:left w:w="40" w:type="dxa"/>
              <w:bottom w:w="25" w:type="dxa"/>
              <w:right w:w="40" w:type="dxa"/>
            </w:tcMar>
          </w:tcPr>
          <w:p w14:paraId="293E21DD" w14:textId="77777777" w:rsidR="003A5020" w:rsidRDefault="00000000">
            <w:pPr>
              <w:spacing w:after="0"/>
            </w:pPr>
            <w:r>
              <w:rPr>
                <w:b/>
                <w:color w:val="1B6B3A"/>
              </w:rPr>
              <w:t>List all deals in your account. Filter by status (active/completed/archived).</w:t>
            </w:r>
          </w:p>
        </w:tc>
      </w:tr>
      <w:tr w:rsidR="003A5020" w14:paraId="1F5C2E80" w14:textId="77777777">
        <w:tc>
          <w:tcPr>
            <w:tcW w:w="5400" w:type="dxa"/>
            <w:tcBorders>
              <w:bottom w:val="single" w:sz="2" w:space="0" w:color="EEEDEA"/>
            </w:tcBorders>
            <w:tcMar>
              <w:top w:w="25" w:type="dxa"/>
              <w:left w:w="40" w:type="dxa"/>
              <w:bottom w:w="25" w:type="dxa"/>
              <w:right w:w="40" w:type="dxa"/>
            </w:tcMar>
          </w:tcPr>
          <w:p w14:paraId="2A949700" w14:textId="77777777" w:rsidR="003A5020" w:rsidRDefault="00000000">
            <w:pPr>
              <w:spacing w:after="0"/>
            </w:pPr>
            <w:r>
              <w:rPr>
                <w:b/>
              </w:rPr>
              <w:t>pinchfin_upload_docs</w:t>
            </w:r>
          </w:p>
        </w:tc>
        <w:tc>
          <w:tcPr>
            <w:tcW w:w="5400" w:type="dxa"/>
            <w:tcBorders>
              <w:bottom w:val="single" w:sz="2" w:space="0" w:color="EEEDEA"/>
            </w:tcBorders>
            <w:tcMar>
              <w:top w:w="25" w:type="dxa"/>
              <w:left w:w="40" w:type="dxa"/>
              <w:bottom w:w="25" w:type="dxa"/>
              <w:right w:w="40" w:type="dxa"/>
            </w:tcMar>
          </w:tcPr>
          <w:p w14:paraId="2171A1E2" w14:textId="77777777" w:rsidR="003A5020" w:rsidRDefault="00000000">
            <w:pPr>
              <w:spacing w:after="0"/>
            </w:pPr>
            <w:r>
              <w:t>Upload document metadata to a deal. Documents processed when analysis runs.</w:t>
            </w:r>
          </w:p>
        </w:tc>
      </w:tr>
      <w:tr w:rsidR="003A5020" w14:paraId="4F569ADE" w14:textId="77777777">
        <w:tc>
          <w:tcPr>
            <w:tcW w:w="5400" w:type="dxa"/>
            <w:tcBorders>
              <w:bottom w:val="single" w:sz="2" w:space="0" w:color="EEEDEA"/>
            </w:tcBorders>
            <w:tcMar>
              <w:top w:w="25" w:type="dxa"/>
              <w:left w:w="40" w:type="dxa"/>
              <w:bottom w:w="25" w:type="dxa"/>
              <w:right w:w="40" w:type="dxa"/>
            </w:tcMar>
          </w:tcPr>
          <w:p w14:paraId="2E709E59" w14:textId="77777777" w:rsidR="003A5020" w:rsidRDefault="00000000">
            <w:pPr>
              <w:spacing w:after="0"/>
            </w:pPr>
            <w:r>
              <w:rPr>
                <w:b/>
              </w:rPr>
              <w:t>pinchfin_help</w:t>
            </w:r>
          </w:p>
        </w:tc>
        <w:tc>
          <w:tcPr>
            <w:tcW w:w="5400" w:type="dxa"/>
            <w:tcBorders>
              <w:bottom w:val="single" w:sz="2" w:space="0" w:color="EEEDEA"/>
            </w:tcBorders>
            <w:tcMar>
              <w:top w:w="25" w:type="dxa"/>
              <w:left w:w="40" w:type="dxa"/>
              <w:bottom w:w="25" w:type="dxa"/>
              <w:right w:w="40" w:type="dxa"/>
            </w:tcMar>
          </w:tcPr>
          <w:p w14:paraId="31777880" w14:textId="77777777" w:rsidR="003A5020" w:rsidRDefault="00000000">
            <w:pPr>
              <w:spacing w:after="0"/>
            </w:pPr>
            <w:r>
              <w:t>Full tool list with costs, descriptions, cost factors, and usage tips.</w:t>
            </w:r>
          </w:p>
        </w:tc>
      </w:tr>
    </w:tbl>
    <w:p w14:paraId="488024B8" w14:textId="77777777" w:rsidR="003A5020" w:rsidRDefault="003A5020"/>
    <w:p w14:paraId="770D7A29" w14:textId="77777777" w:rsidR="003A5020" w:rsidRDefault="003A5020">
      <w:pPr>
        <w:spacing w:after="80"/>
      </w:pPr>
    </w:p>
    <w:p w14:paraId="50C9D47B" w14:textId="77777777" w:rsidR="00443486" w:rsidRDefault="00443486">
      <w:pPr>
        <w:spacing w:after="80"/>
      </w:pPr>
    </w:p>
    <w:p w14:paraId="3914E0BA" w14:textId="77777777" w:rsidR="00443486" w:rsidRDefault="00443486">
      <w:pPr>
        <w:spacing w:after="80"/>
      </w:pPr>
    </w:p>
    <w:tbl>
      <w:tblPr>
        <w:tblW w:w="0" w:type="auto"/>
        <w:tblLook w:val="04A0" w:firstRow="1" w:lastRow="0" w:firstColumn="1" w:lastColumn="0" w:noHBand="0" w:noVBand="1"/>
      </w:tblPr>
      <w:tblGrid>
        <w:gridCol w:w="10800"/>
      </w:tblGrid>
      <w:tr w:rsidR="003A5020" w14:paraId="3B12CCDD" w14:textId="77777777">
        <w:tc>
          <w:tcPr>
            <w:tcW w:w="10800" w:type="dxa"/>
            <w:shd w:val="clear" w:color="auto" w:fill="080D18"/>
            <w:tcMar>
              <w:top w:w="40" w:type="dxa"/>
              <w:left w:w="80" w:type="dxa"/>
              <w:bottom w:w="40" w:type="dxa"/>
              <w:right w:w="80" w:type="dxa"/>
            </w:tcMar>
          </w:tcPr>
          <w:p w14:paraId="5B14767F" w14:textId="77777777" w:rsidR="003A5020" w:rsidRDefault="00000000">
            <w:pPr>
              <w:spacing w:after="0"/>
            </w:pPr>
            <w:r>
              <w:rPr>
                <w:b/>
                <w:color w:val="FFFFFF"/>
              </w:rPr>
              <w:t>BILLING MODEL</w:t>
            </w:r>
          </w:p>
        </w:tc>
      </w:tr>
    </w:tbl>
    <w:p w14:paraId="5B4A153F" w14:textId="77777777" w:rsidR="003A5020" w:rsidRDefault="003A5020">
      <w:pPr>
        <w:spacing w:after="60"/>
      </w:pPr>
    </w:p>
    <w:tbl>
      <w:tblPr>
        <w:tblW w:w="0" w:type="auto"/>
        <w:tblLook w:val="04A0" w:firstRow="1" w:lastRow="0" w:firstColumn="1" w:lastColumn="0" w:noHBand="0" w:noVBand="1"/>
      </w:tblPr>
      <w:tblGrid>
        <w:gridCol w:w="3600"/>
        <w:gridCol w:w="2880"/>
      </w:tblGrid>
      <w:tr w:rsidR="003A5020" w14:paraId="46315344" w14:textId="77777777">
        <w:tc>
          <w:tcPr>
            <w:tcW w:w="3600" w:type="dxa"/>
            <w:tcMar>
              <w:top w:w="15" w:type="dxa"/>
              <w:left w:w="40" w:type="dxa"/>
              <w:bottom w:w="15" w:type="dxa"/>
              <w:right w:w="10" w:type="dxa"/>
            </w:tcMar>
          </w:tcPr>
          <w:p w14:paraId="441DFF5B" w14:textId="77777777" w:rsidR="003A5020" w:rsidRDefault="00000000">
            <w:pPr>
              <w:spacing w:after="0"/>
            </w:pPr>
            <w:r>
              <w:t>Billing Type</w:t>
            </w:r>
          </w:p>
        </w:tc>
        <w:tc>
          <w:tcPr>
            <w:tcW w:w="2880" w:type="dxa"/>
            <w:tcMar>
              <w:top w:w="15" w:type="dxa"/>
              <w:left w:w="10" w:type="dxa"/>
              <w:bottom w:w="15" w:type="dxa"/>
              <w:right w:w="40" w:type="dxa"/>
            </w:tcMar>
          </w:tcPr>
          <w:p w14:paraId="4DDA2E5C" w14:textId="77777777" w:rsidR="003A5020" w:rsidRDefault="00000000">
            <w:pPr>
              <w:spacing w:after="0"/>
              <w:jc w:val="right"/>
            </w:pPr>
            <w:r>
              <w:rPr>
                <w:b/>
              </w:rPr>
              <w:t>Usage-based prepaid wallet</w:t>
            </w:r>
          </w:p>
        </w:tc>
      </w:tr>
      <w:tr w:rsidR="003A5020" w14:paraId="714041C2" w14:textId="77777777">
        <w:tc>
          <w:tcPr>
            <w:tcW w:w="3600" w:type="dxa"/>
            <w:tcMar>
              <w:top w:w="15" w:type="dxa"/>
              <w:left w:w="40" w:type="dxa"/>
              <w:bottom w:w="15" w:type="dxa"/>
              <w:right w:w="10" w:type="dxa"/>
            </w:tcMar>
          </w:tcPr>
          <w:p w14:paraId="6D543B5B" w14:textId="77777777" w:rsidR="003A5020" w:rsidRDefault="00000000">
            <w:pPr>
              <w:spacing w:after="0"/>
            </w:pPr>
            <w:r>
              <w:t>Starting Credit</w:t>
            </w:r>
          </w:p>
        </w:tc>
        <w:tc>
          <w:tcPr>
            <w:tcW w:w="2880" w:type="dxa"/>
            <w:tcMar>
              <w:top w:w="15" w:type="dxa"/>
              <w:left w:w="10" w:type="dxa"/>
              <w:bottom w:w="15" w:type="dxa"/>
              <w:right w:w="40" w:type="dxa"/>
            </w:tcMar>
          </w:tcPr>
          <w:p w14:paraId="5376023A" w14:textId="77777777" w:rsidR="003A5020" w:rsidRDefault="00000000">
            <w:pPr>
              <w:spacing w:after="0"/>
              <w:jc w:val="right"/>
            </w:pPr>
            <w:r>
              <w:rPr>
                <w:b/>
              </w:rPr>
              <w:t>$50.00 (beta)</w:t>
            </w:r>
          </w:p>
        </w:tc>
      </w:tr>
      <w:tr w:rsidR="003A5020" w14:paraId="6FCA73A2" w14:textId="77777777">
        <w:tc>
          <w:tcPr>
            <w:tcW w:w="3600" w:type="dxa"/>
            <w:tcMar>
              <w:top w:w="15" w:type="dxa"/>
              <w:left w:w="40" w:type="dxa"/>
              <w:bottom w:w="15" w:type="dxa"/>
              <w:right w:w="10" w:type="dxa"/>
            </w:tcMar>
          </w:tcPr>
          <w:p w14:paraId="4927B5BF" w14:textId="77777777" w:rsidR="003A5020" w:rsidRDefault="00000000">
            <w:pPr>
              <w:spacing w:after="0"/>
            </w:pPr>
            <w:r>
              <w:t>Minimum Deposit</w:t>
            </w:r>
          </w:p>
        </w:tc>
        <w:tc>
          <w:tcPr>
            <w:tcW w:w="2880" w:type="dxa"/>
            <w:tcMar>
              <w:top w:w="15" w:type="dxa"/>
              <w:left w:w="10" w:type="dxa"/>
              <w:bottom w:w="15" w:type="dxa"/>
              <w:right w:w="40" w:type="dxa"/>
            </w:tcMar>
          </w:tcPr>
          <w:p w14:paraId="13744D69" w14:textId="77777777" w:rsidR="003A5020" w:rsidRDefault="00000000">
            <w:pPr>
              <w:spacing w:after="0"/>
              <w:jc w:val="right"/>
            </w:pPr>
            <w:r>
              <w:rPr>
                <w:b/>
              </w:rPr>
              <w:t>$25.00</w:t>
            </w:r>
          </w:p>
        </w:tc>
      </w:tr>
      <w:tr w:rsidR="003A5020" w14:paraId="3ABF6C62" w14:textId="77777777">
        <w:tc>
          <w:tcPr>
            <w:tcW w:w="3600" w:type="dxa"/>
            <w:tcMar>
              <w:top w:w="15" w:type="dxa"/>
              <w:left w:w="40" w:type="dxa"/>
              <w:bottom w:w="15" w:type="dxa"/>
              <w:right w:w="10" w:type="dxa"/>
            </w:tcMar>
          </w:tcPr>
          <w:p w14:paraId="44C2FA6C" w14:textId="77777777" w:rsidR="003A5020" w:rsidRDefault="00000000">
            <w:pPr>
              <w:spacing w:after="0"/>
            </w:pPr>
            <w:r>
              <w:t>Low Balance Alert</w:t>
            </w:r>
          </w:p>
        </w:tc>
        <w:tc>
          <w:tcPr>
            <w:tcW w:w="2880" w:type="dxa"/>
            <w:tcMar>
              <w:top w:w="15" w:type="dxa"/>
              <w:left w:w="10" w:type="dxa"/>
              <w:bottom w:w="15" w:type="dxa"/>
              <w:right w:w="40" w:type="dxa"/>
            </w:tcMar>
          </w:tcPr>
          <w:p w14:paraId="070DE2B8" w14:textId="77777777" w:rsidR="003A5020" w:rsidRDefault="00000000">
            <w:pPr>
              <w:spacing w:after="0"/>
              <w:jc w:val="right"/>
            </w:pPr>
            <w:r>
              <w:rPr>
                <w:b/>
              </w:rPr>
              <w:t>$5.00</w:t>
            </w:r>
          </w:p>
        </w:tc>
      </w:tr>
      <w:tr w:rsidR="003A5020" w14:paraId="4DBE9DD9" w14:textId="77777777">
        <w:tc>
          <w:tcPr>
            <w:tcW w:w="3600" w:type="dxa"/>
            <w:tcMar>
              <w:top w:w="15" w:type="dxa"/>
              <w:left w:w="40" w:type="dxa"/>
              <w:bottom w:w="15" w:type="dxa"/>
              <w:right w:w="10" w:type="dxa"/>
            </w:tcMar>
          </w:tcPr>
          <w:p w14:paraId="5CADC6A3" w14:textId="77777777" w:rsidR="003A5020" w:rsidRDefault="00000000">
            <w:pPr>
              <w:spacing w:after="0"/>
            </w:pPr>
            <w:r>
              <w:t>Cost Visibility</w:t>
            </w:r>
          </w:p>
        </w:tc>
        <w:tc>
          <w:tcPr>
            <w:tcW w:w="2880" w:type="dxa"/>
            <w:tcMar>
              <w:top w:w="15" w:type="dxa"/>
              <w:left w:w="10" w:type="dxa"/>
              <w:bottom w:w="15" w:type="dxa"/>
              <w:right w:w="40" w:type="dxa"/>
            </w:tcMar>
          </w:tcPr>
          <w:p w14:paraId="11AA4FA8" w14:textId="77777777" w:rsidR="003A5020" w:rsidRDefault="00000000">
            <w:pPr>
              <w:spacing w:after="0"/>
              <w:jc w:val="right"/>
            </w:pPr>
            <w:r>
              <w:rPr>
                <w:b/>
              </w:rPr>
              <w:t>Estimate shown before every billable tool — you always confirm</w:t>
            </w:r>
          </w:p>
        </w:tc>
      </w:tr>
      <w:tr w:rsidR="003A5020" w14:paraId="316CE91F" w14:textId="77777777">
        <w:tc>
          <w:tcPr>
            <w:tcW w:w="3600" w:type="dxa"/>
            <w:tcMar>
              <w:top w:w="15" w:type="dxa"/>
              <w:left w:w="40" w:type="dxa"/>
              <w:bottom w:w="15" w:type="dxa"/>
              <w:right w:w="10" w:type="dxa"/>
            </w:tcMar>
          </w:tcPr>
          <w:p w14:paraId="24BA620E" w14:textId="77777777" w:rsidR="003A5020" w:rsidRDefault="00000000">
            <w:pPr>
              <w:spacing w:after="0"/>
            </w:pPr>
            <w:r>
              <w:t>Actual Charge</w:t>
            </w:r>
          </w:p>
        </w:tc>
        <w:tc>
          <w:tcPr>
            <w:tcW w:w="2880" w:type="dxa"/>
            <w:tcMar>
              <w:top w:w="15" w:type="dxa"/>
              <w:left w:w="10" w:type="dxa"/>
              <w:bottom w:w="15" w:type="dxa"/>
              <w:right w:w="40" w:type="dxa"/>
            </w:tcMar>
          </w:tcPr>
          <w:p w14:paraId="1D506CDC" w14:textId="77777777" w:rsidR="003A5020" w:rsidRDefault="00000000">
            <w:pPr>
              <w:spacing w:after="0"/>
              <w:jc w:val="right"/>
            </w:pPr>
            <w:r>
              <w:rPr>
                <w:b/>
              </w:rPr>
              <w:t>Based on real token usage, not the estimate</w:t>
            </w:r>
          </w:p>
        </w:tc>
      </w:tr>
    </w:tbl>
    <w:p w14:paraId="3A3822C1" w14:textId="77777777" w:rsidR="003A5020" w:rsidRDefault="003A5020">
      <w:pPr>
        <w:pBdr>
          <w:bottom w:val="single" w:sz="4" w:space="0" w:color="EEEDEA"/>
        </w:pBdr>
        <w:spacing w:before="40"/>
      </w:pPr>
    </w:p>
    <w:tbl>
      <w:tblPr>
        <w:tblW w:w="0" w:type="auto"/>
        <w:tblLook w:val="04A0" w:firstRow="1" w:lastRow="0" w:firstColumn="1" w:lastColumn="0" w:noHBand="0" w:noVBand="1"/>
      </w:tblPr>
      <w:tblGrid>
        <w:gridCol w:w="5400"/>
        <w:gridCol w:w="5400"/>
        <w:gridCol w:w="20"/>
      </w:tblGrid>
      <w:tr w:rsidR="003A5020" w14:paraId="2F02A542" w14:textId="77777777">
        <w:trPr>
          <w:gridAfter w:val="1"/>
          <w:wAfter w:w="20" w:type="dxa"/>
        </w:trPr>
        <w:tc>
          <w:tcPr>
            <w:tcW w:w="10800" w:type="dxa"/>
            <w:gridSpan w:val="2"/>
            <w:tcBorders>
              <w:left w:val="single" w:sz="16" w:space="0" w:color="9B2335"/>
            </w:tcBorders>
            <w:tcMar>
              <w:top w:w="20" w:type="dxa"/>
              <w:left w:w="60" w:type="dxa"/>
              <w:bottom w:w="20" w:type="dxa"/>
              <w:right w:w="20" w:type="dxa"/>
            </w:tcMar>
          </w:tcPr>
          <w:p w14:paraId="169A0D73" w14:textId="77777777" w:rsidR="003A5020" w:rsidRDefault="00000000">
            <w:pPr>
              <w:spacing w:before="120"/>
            </w:pPr>
            <w:r>
              <w:rPr>
                <w:b/>
                <w:color w:val="080D18"/>
                <w:sz w:val="20"/>
              </w:rPr>
              <w:t>Cost Factors</w:t>
            </w:r>
          </w:p>
        </w:tc>
      </w:tr>
      <w:tr w:rsidR="003A5020" w14:paraId="0A53C4C3" w14:textId="77777777">
        <w:tc>
          <w:tcPr>
            <w:tcW w:w="5400" w:type="dxa"/>
            <w:tcBorders>
              <w:bottom w:val="single" w:sz="8" w:space="0" w:color="080D18"/>
            </w:tcBorders>
            <w:tcMar>
              <w:top w:w="25" w:type="dxa"/>
              <w:left w:w="40" w:type="dxa"/>
              <w:bottom w:w="25" w:type="dxa"/>
              <w:right w:w="40" w:type="dxa"/>
            </w:tcMar>
          </w:tcPr>
          <w:p w14:paraId="138A9C76" w14:textId="77777777" w:rsidR="003A5020" w:rsidRDefault="00000000">
            <w:pPr>
              <w:spacing w:after="0"/>
            </w:pPr>
            <w:r>
              <w:rPr>
                <w:b/>
                <w:color w:val="080D18"/>
                <w:sz w:val="16"/>
              </w:rPr>
              <w:t>Factor</w:t>
            </w:r>
          </w:p>
        </w:tc>
        <w:tc>
          <w:tcPr>
            <w:tcW w:w="5400" w:type="dxa"/>
            <w:gridSpan w:val="2"/>
            <w:tcBorders>
              <w:bottom w:val="single" w:sz="8" w:space="0" w:color="080D18"/>
            </w:tcBorders>
            <w:tcMar>
              <w:top w:w="25" w:type="dxa"/>
              <w:left w:w="40" w:type="dxa"/>
              <w:bottom w:w="25" w:type="dxa"/>
              <w:right w:w="40" w:type="dxa"/>
            </w:tcMar>
          </w:tcPr>
          <w:p w14:paraId="47A11948" w14:textId="77777777" w:rsidR="003A5020" w:rsidRDefault="00000000">
            <w:pPr>
              <w:spacing w:after="0"/>
            </w:pPr>
            <w:r>
              <w:rPr>
                <w:b/>
                <w:color w:val="080D18"/>
                <w:sz w:val="16"/>
              </w:rPr>
              <w:t>Effect</w:t>
            </w:r>
          </w:p>
        </w:tc>
      </w:tr>
      <w:tr w:rsidR="003A5020" w14:paraId="6651406A" w14:textId="77777777">
        <w:tc>
          <w:tcPr>
            <w:tcW w:w="5400" w:type="dxa"/>
            <w:tcBorders>
              <w:bottom w:val="single" w:sz="2" w:space="0" w:color="EEEDEA"/>
            </w:tcBorders>
            <w:tcMar>
              <w:top w:w="25" w:type="dxa"/>
              <w:left w:w="40" w:type="dxa"/>
              <w:bottom w:w="25" w:type="dxa"/>
              <w:right w:w="40" w:type="dxa"/>
            </w:tcMar>
          </w:tcPr>
          <w:p w14:paraId="4AB02C01" w14:textId="77777777" w:rsidR="003A5020" w:rsidRDefault="00000000">
            <w:pPr>
              <w:spacing w:after="0"/>
            </w:pPr>
            <w:r>
              <w:rPr>
                <w:b/>
              </w:rPr>
              <w:t>Unit count &lt;50</w:t>
            </w:r>
          </w:p>
        </w:tc>
        <w:tc>
          <w:tcPr>
            <w:tcW w:w="5400" w:type="dxa"/>
            <w:gridSpan w:val="2"/>
            <w:tcBorders>
              <w:bottom w:val="single" w:sz="2" w:space="0" w:color="EEEDEA"/>
            </w:tcBorders>
            <w:tcMar>
              <w:top w:w="25" w:type="dxa"/>
              <w:left w:w="40" w:type="dxa"/>
              <w:bottom w:w="25" w:type="dxa"/>
              <w:right w:w="40" w:type="dxa"/>
            </w:tcMar>
          </w:tcPr>
          <w:p w14:paraId="639500EC" w14:textId="77777777" w:rsidR="003A5020" w:rsidRDefault="00000000">
            <w:pPr>
              <w:spacing w:after="0"/>
            </w:pPr>
            <w:r>
              <w:t>0.8x (simpler asset)</w:t>
            </w:r>
          </w:p>
        </w:tc>
      </w:tr>
      <w:tr w:rsidR="003A5020" w14:paraId="00842167" w14:textId="77777777">
        <w:tc>
          <w:tcPr>
            <w:tcW w:w="5400" w:type="dxa"/>
            <w:tcBorders>
              <w:bottom w:val="single" w:sz="2" w:space="0" w:color="EEEDEA"/>
            </w:tcBorders>
            <w:tcMar>
              <w:top w:w="25" w:type="dxa"/>
              <w:left w:w="40" w:type="dxa"/>
              <w:bottom w:w="25" w:type="dxa"/>
              <w:right w:w="40" w:type="dxa"/>
            </w:tcMar>
          </w:tcPr>
          <w:p w14:paraId="562104D0" w14:textId="77777777" w:rsidR="003A5020" w:rsidRDefault="00000000">
            <w:pPr>
              <w:spacing w:after="0"/>
            </w:pPr>
            <w:r>
              <w:rPr>
                <w:b/>
              </w:rPr>
              <w:t>Unit count 50–150</w:t>
            </w:r>
          </w:p>
        </w:tc>
        <w:tc>
          <w:tcPr>
            <w:tcW w:w="5400" w:type="dxa"/>
            <w:gridSpan w:val="2"/>
            <w:tcBorders>
              <w:bottom w:val="single" w:sz="2" w:space="0" w:color="EEEDEA"/>
            </w:tcBorders>
            <w:tcMar>
              <w:top w:w="25" w:type="dxa"/>
              <w:left w:w="40" w:type="dxa"/>
              <w:bottom w:w="25" w:type="dxa"/>
              <w:right w:w="40" w:type="dxa"/>
            </w:tcMar>
          </w:tcPr>
          <w:p w14:paraId="4BC28564" w14:textId="77777777" w:rsidR="003A5020" w:rsidRDefault="00000000">
            <w:pPr>
              <w:spacing w:after="0"/>
            </w:pPr>
            <w:r>
              <w:t>1.0x (baseline)</w:t>
            </w:r>
          </w:p>
        </w:tc>
      </w:tr>
      <w:tr w:rsidR="003A5020" w14:paraId="65D8834A" w14:textId="77777777">
        <w:tc>
          <w:tcPr>
            <w:tcW w:w="5400" w:type="dxa"/>
            <w:tcBorders>
              <w:bottom w:val="single" w:sz="2" w:space="0" w:color="EEEDEA"/>
            </w:tcBorders>
            <w:tcMar>
              <w:top w:w="25" w:type="dxa"/>
              <w:left w:w="40" w:type="dxa"/>
              <w:bottom w:w="25" w:type="dxa"/>
              <w:right w:w="40" w:type="dxa"/>
            </w:tcMar>
          </w:tcPr>
          <w:p w14:paraId="68021840" w14:textId="77777777" w:rsidR="003A5020" w:rsidRDefault="00000000">
            <w:pPr>
              <w:spacing w:after="0"/>
            </w:pPr>
            <w:r>
              <w:rPr>
                <w:b/>
              </w:rPr>
              <w:t>Unit count 150–300</w:t>
            </w:r>
          </w:p>
        </w:tc>
        <w:tc>
          <w:tcPr>
            <w:tcW w:w="5400" w:type="dxa"/>
            <w:gridSpan w:val="2"/>
            <w:tcBorders>
              <w:bottom w:val="single" w:sz="2" w:space="0" w:color="EEEDEA"/>
            </w:tcBorders>
            <w:tcMar>
              <w:top w:w="25" w:type="dxa"/>
              <w:left w:w="40" w:type="dxa"/>
              <w:bottom w:w="25" w:type="dxa"/>
              <w:right w:w="40" w:type="dxa"/>
            </w:tcMar>
          </w:tcPr>
          <w:p w14:paraId="3369330F" w14:textId="77777777" w:rsidR="003A5020" w:rsidRDefault="00000000">
            <w:pPr>
              <w:spacing w:after="0"/>
            </w:pPr>
            <w:r>
              <w:rPr>
                <w:b/>
                <w:color w:val="8B6914"/>
              </w:rPr>
              <w:t>1.2x (moderate complexity)</w:t>
            </w:r>
          </w:p>
        </w:tc>
      </w:tr>
      <w:tr w:rsidR="003A5020" w14:paraId="2942EE94" w14:textId="77777777">
        <w:tc>
          <w:tcPr>
            <w:tcW w:w="5400" w:type="dxa"/>
            <w:tcBorders>
              <w:bottom w:val="single" w:sz="2" w:space="0" w:color="EEEDEA"/>
            </w:tcBorders>
            <w:tcMar>
              <w:top w:w="25" w:type="dxa"/>
              <w:left w:w="40" w:type="dxa"/>
              <w:bottom w:w="25" w:type="dxa"/>
              <w:right w:w="40" w:type="dxa"/>
            </w:tcMar>
          </w:tcPr>
          <w:p w14:paraId="3E319A9B" w14:textId="77777777" w:rsidR="003A5020" w:rsidRDefault="00000000">
            <w:pPr>
              <w:spacing w:after="0"/>
            </w:pPr>
            <w:r>
              <w:rPr>
                <w:b/>
              </w:rPr>
              <w:t>Unit count 300–500</w:t>
            </w:r>
          </w:p>
        </w:tc>
        <w:tc>
          <w:tcPr>
            <w:tcW w:w="5400" w:type="dxa"/>
            <w:gridSpan w:val="2"/>
            <w:tcBorders>
              <w:bottom w:val="single" w:sz="2" w:space="0" w:color="EEEDEA"/>
            </w:tcBorders>
            <w:tcMar>
              <w:top w:w="25" w:type="dxa"/>
              <w:left w:w="40" w:type="dxa"/>
              <w:bottom w:w="25" w:type="dxa"/>
              <w:right w:w="40" w:type="dxa"/>
            </w:tcMar>
          </w:tcPr>
          <w:p w14:paraId="1004F54B" w14:textId="77777777" w:rsidR="003A5020" w:rsidRDefault="00000000">
            <w:pPr>
              <w:spacing w:after="0"/>
            </w:pPr>
            <w:r>
              <w:t>1.4x (complex)</w:t>
            </w:r>
          </w:p>
        </w:tc>
      </w:tr>
      <w:tr w:rsidR="003A5020" w14:paraId="4E4A53B2" w14:textId="77777777">
        <w:tc>
          <w:tcPr>
            <w:tcW w:w="5400" w:type="dxa"/>
            <w:tcBorders>
              <w:bottom w:val="single" w:sz="2" w:space="0" w:color="EEEDEA"/>
            </w:tcBorders>
            <w:tcMar>
              <w:top w:w="25" w:type="dxa"/>
              <w:left w:w="40" w:type="dxa"/>
              <w:bottom w:w="25" w:type="dxa"/>
              <w:right w:w="40" w:type="dxa"/>
            </w:tcMar>
          </w:tcPr>
          <w:p w14:paraId="07C75D50" w14:textId="77777777" w:rsidR="003A5020" w:rsidRDefault="00000000">
            <w:pPr>
              <w:spacing w:after="0"/>
            </w:pPr>
            <w:r>
              <w:rPr>
                <w:b/>
              </w:rPr>
              <w:t>Unit count 500+</w:t>
            </w:r>
          </w:p>
        </w:tc>
        <w:tc>
          <w:tcPr>
            <w:tcW w:w="5400" w:type="dxa"/>
            <w:gridSpan w:val="2"/>
            <w:tcBorders>
              <w:bottom w:val="single" w:sz="2" w:space="0" w:color="EEEDEA"/>
            </w:tcBorders>
            <w:tcMar>
              <w:top w:w="25" w:type="dxa"/>
              <w:left w:w="40" w:type="dxa"/>
              <w:bottom w:w="25" w:type="dxa"/>
              <w:right w:w="40" w:type="dxa"/>
            </w:tcMar>
          </w:tcPr>
          <w:p w14:paraId="06538CB9" w14:textId="77777777" w:rsidR="003A5020" w:rsidRDefault="00000000">
            <w:pPr>
              <w:spacing w:after="0"/>
            </w:pPr>
            <w:r>
              <w:t>1.6x (high complexity)</w:t>
            </w:r>
          </w:p>
        </w:tc>
      </w:tr>
      <w:tr w:rsidR="003A5020" w14:paraId="67786CD3" w14:textId="77777777">
        <w:tc>
          <w:tcPr>
            <w:tcW w:w="5400" w:type="dxa"/>
            <w:tcBorders>
              <w:bottom w:val="single" w:sz="2" w:space="0" w:color="EEEDEA"/>
            </w:tcBorders>
            <w:tcMar>
              <w:top w:w="25" w:type="dxa"/>
              <w:left w:w="40" w:type="dxa"/>
              <w:bottom w:w="25" w:type="dxa"/>
              <w:right w:w="40" w:type="dxa"/>
            </w:tcMar>
          </w:tcPr>
          <w:p w14:paraId="1479C03D" w14:textId="77777777" w:rsidR="003A5020" w:rsidRDefault="00000000">
            <w:pPr>
              <w:spacing w:after="0"/>
            </w:pPr>
            <w:r>
              <w:rPr>
                <w:b/>
              </w:rPr>
              <w:t>Re-run discount</w:t>
            </w:r>
          </w:p>
        </w:tc>
        <w:tc>
          <w:tcPr>
            <w:tcW w:w="5400" w:type="dxa"/>
            <w:gridSpan w:val="2"/>
            <w:tcBorders>
              <w:bottom w:val="single" w:sz="2" w:space="0" w:color="EEEDEA"/>
            </w:tcBorders>
            <w:tcMar>
              <w:top w:w="25" w:type="dxa"/>
              <w:left w:w="40" w:type="dxa"/>
              <w:bottom w:w="25" w:type="dxa"/>
              <w:right w:w="40" w:type="dxa"/>
            </w:tcMar>
          </w:tcPr>
          <w:p w14:paraId="1DD09F35" w14:textId="77777777" w:rsidR="003A5020" w:rsidRDefault="00000000">
            <w:pPr>
              <w:spacing w:after="0"/>
            </w:pPr>
            <w:r>
              <w:t>35% off (cached context)</w:t>
            </w:r>
          </w:p>
        </w:tc>
      </w:tr>
      <w:tr w:rsidR="003A5020" w14:paraId="0FF7A80B" w14:textId="77777777">
        <w:tc>
          <w:tcPr>
            <w:tcW w:w="5400" w:type="dxa"/>
            <w:tcBorders>
              <w:bottom w:val="single" w:sz="2" w:space="0" w:color="EEEDEA"/>
            </w:tcBorders>
            <w:tcMar>
              <w:top w:w="25" w:type="dxa"/>
              <w:left w:w="40" w:type="dxa"/>
              <w:bottom w:w="25" w:type="dxa"/>
              <w:right w:w="40" w:type="dxa"/>
            </w:tcMar>
          </w:tcPr>
          <w:p w14:paraId="11F3B9D0" w14:textId="77777777" w:rsidR="003A5020" w:rsidRDefault="00000000">
            <w:pPr>
              <w:spacing w:after="0"/>
            </w:pPr>
            <w:r>
              <w:rPr>
                <w:b/>
              </w:rPr>
              <w:t>Document pages</w:t>
            </w:r>
          </w:p>
        </w:tc>
        <w:tc>
          <w:tcPr>
            <w:tcW w:w="5400" w:type="dxa"/>
            <w:gridSpan w:val="2"/>
            <w:tcBorders>
              <w:bottom w:val="single" w:sz="2" w:space="0" w:color="EEEDEA"/>
            </w:tcBorders>
            <w:tcMar>
              <w:top w:w="25" w:type="dxa"/>
              <w:left w:w="40" w:type="dxa"/>
              <w:bottom w:w="25" w:type="dxa"/>
              <w:right w:w="40" w:type="dxa"/>
            </w:tcMar>
          </w:tcPr>
          <w:p w14:paraId="4E2C2E43" w14:textId="77777777" w:rsidR="003A5020" w:rsidRDefault="00000000">
            <w:pPr>
              <w:spacing w:after="0"/>
            </w:pPr>
            <w:r>
              <w:t>$0.05/page additional</w:t>
            </w:r>
          </w:p>
        </w:tc>
      </w:tr>
    </w:tbl>
    <w:p w14:paraId="2AF67076" w14:textId="77777777" w:rsidR="003A5020" w:rsidRDefault="003A5020"/>
    <w:sectPr w:rsidR="003A5020" w:rsidSect="000346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156141434">
    <w:abstractNumId w:val="8"/>
  </w:num>
  <w:num w:numId="2" w16cid:durableId="1973094212">
    <w:abstractNumId w:val="6"/>
  </w:num>
  <w:num w:numId="3" w16cid:durableId="43528783">
    <w:abstractNumId w:val="5"/>
  </w:num>
  <w:num w:numId="4" w16cid:durableId="552883811">
    <w:abstractNumId w:val="4"/>
  </w:num>
  <w:num w:numId="5" w16cid:durableId="1321735709">
    <w:abstractNumId w:val="7"/>
  </w:num>
  <w:num w:numId="6" w16cid:durableId="222981906">
    <w:abstractNumId w:val="3"/>
  </w:num>
  <w:num w:numId="7" w16cid:durableId="344334099">
    <w:abstractNumId w:val="2"/>
  </w:num>
  <w:num w:numId="8" w16cid:durableId="884412270">
    <w:abstractNumId w:val="1"/>
  </w:num>
  <w:num w:numId="9" w16cid:durableId="175653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A5020"/>
    <w:rsid w:val="00403DF7"/>
    <w:rsid w:val="00443486"/>
    <w:rsid w:val="005E6548"/>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A94E0AF3-E4BC-44B7-BD2B-CE69F76D6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40" w:line="240" w:lineRule="auto"/>
    </w:pPr>
    <w:rPr>
      <w:rFonts w:ascii="Calibri" w:hAnsi="Calibri"/>
      <w:color w:val="1D1D1F"/>
      <w:sz w:val="18"/>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1286</Words>
  <Characters>7334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Brian Murphy</cp:lastModifiedBy>
  <cp:revision>3</cp:revision>
  <dcterms:created xsi:type="dcterms:W3CDTF">2013-12-23T23:15:00Z</dcterms:created>
  <dcterms:modified xsi:type="dcterms:W3CDTF">2026-03-20T17:51:00Z</dcterms:modified>
  <cp:category/>
</cp:coreProperties>
</file>