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shd w:fill="080D18"/>
            <w:tcMar>
              <w:top w:w="200" w:type="dxa"/>
              <w:left w:w="200" w:type="dxa"/>
              <w:bottom w:w="200" w:type="dxa"/>
              <w:right w:w="200" w:type="dxa"/>
            </w:tcMar>
          </w:tcPr>
          <w:p>
            <w:pPr>
              <w:jc w:val="left"/>
            </w:pPr>
            <w:r>
              <w:rPr>
                <w:rFonts w:ascii="Calibri" w:hAnsi="Calibri"/>
                <w:b/>
                <w:color w:val="FFFFFF"/>
                <w:sz w:val="36"/>
              </w:rPr>
              <w:t>pf</w:t>
            </w:r>
          </w:p>
        </w:tc>
      </w:tr>
    </w:tbl>
    <w:p>
      <w:pPr>
        <w:spacing w:after="0"/>
      </w:pPr>
      <w:r>
        <w:rPr>
          <w:color w:val="9B2335"/>
          <w:sz w:val="8"/>
        </w:rPr>
        <w:t>━━━━━━━━━━━━━━━━━━━━━━━━━━━━━━━━━━━━━━━━━━━━━━━━━━━━━━━━━━━━━━━━━━━━━━━━━━━━━━━━</w:t>
      </w:r>
    </w:p>
    <w:p>
      <w:pPr>
        <w:spacing w:before="0" w:after="120"/>
      </w:pPr>
    </w:p>
    <w:p>
      <w:pPr>
        <w:spacing w:before="0" w:after="120"/>
      </w:pPr>
    </w:p>
    <w:p>
      <w:pPr>
        <w:jc w:val="left"/>
      </w:pPr>
      <w:r>
        <w:rPr>
          <w:rFonts w:ascii="Calibri" w:hAnsi="Calibri"/>
          <w:b/>
          <w:color w:val="080D18"/>
          <w:sz w:val="44"/>
        </w:rPr>
        <w:t>USER MANUAL</w:t>
      </w:r>
      <w:r>
        <w:br/>
      </w:r>
    </w:p>
    <w:p>
      <w:pPr>
        <w:spacing w:before="80" w:after="80"/>
      </w:pPr>
      <w:r>
        <w:rPr>
          <w:color w:val="B8CCDB"/>
          <w:sz w:val="12"/>
        </w:rPr>
        <w:t>━━━━━━━━━━━━━━━━━━━━━━━━━━━━━━━━━━━━━━━━━━━━━━━━━━</w:t>
      </w:r>
    </w:p>
    <w:p>
      <w:pPr>
        <w:jc w:val="left"/>
      </w:pPr>
      <w:r>
        <w:rPr>
          <w:rFonts w:ascii="Calibri" w:hAnsi="Calibri"/>
          <w:color w:val="6B7278"/>
          <w:sz w:val="24"/>
        </w:rPr>
        <w:t>PinchFin MCP for Claude Code</w:t>
      </w:r>
    </w:p>
    <w:p>
      <w:pPr>
        <w:spacing w:before="0" w:after="120"/>
      </w:pPr>
    </w:p>
    <w:p>
      <w:pPr>
        <w:spacing w:before="0" w:after="120"/>
      </w:pPr>
    </w:p>
    <w:p>
      <w:pPr>
        <w:spacing w:before="0" w:after="120"/>
      </w:pPr>
    </w:p>
    <w:p>
      <w:r>
        <w:br w:type="page"/>
      </w:r>
    </w:p>
    <w:p>
      <w:pPr>
        <w:spacing w:before="0" w:after="80"/>
      </w:pP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shd w:fill="080D18"/>
            <w:tcMar>
              <w:top w:w="40" w:type="dxa"/>
              <w:left w:w="80" w:type="dxa"/>
              <w:bottom w:w="40" w:type="dxa"/>
              <w:right w:w="80" w:type="dxa"/>
            </w:tcMar>
          </w:tcPr>
          <w:p>
            <w:pPr>
              <w:spacing w:before="0" w:after="0"/>
            </w:pPr>
            <w:r>
              <w:rPr>
                <w:rFonts w:ascii="Calibri" w:hAnsi="Calibri"/>
                <w:b/>
                <w:color w:val="FFFFFF"/>
                <w:sz w:val="18"/>
              </w:rPr>
              <w:t>GETTING STARTED</w:t>
            </w:r>
          </w:p>
        </w:tc>
      </w:tr>
    </w:tbl>
    <w:p>
      <w:pPr>
        <w:spacing w:before="0" w:after="60"/>
      </w:pPr>
    </w:p>
    <w:p>
      <w:pPr>
        <w:spacing w:before="40" w:after="80"/>
      </w:pPr>
      <w:r>
        <w:rPr>
          <w:rFonts w:ascii="Calibri" w:hAnsi="Calibri"/>
          <w:color w:val="1D1D1F"/>
          <w:sz w:val="18"/>
        </w:rPr>
        <w:t>PinchFin runs inside Claude Code as an MCP (Model Context Protocol) integration. You interact with PinchFin by talking to Claude in plain English. Claude recognizes when a PinchFin tool is relevant and calls it automatically — or you can request specific tools directly.</w:t>
      </w: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tcBorders>
              <w:left w:val="single" w:sz="16" w:color="9B2335"/>
            </w:tcBorders>
            <w:tcMar>
              <w:top w:w="20" w:type="dxa"/>
              <w:left w:w="60" w:type="dxa"/>
              <w:bottom w:w="20" w:type="dxa"/>
              <w:right w:w="20" w:type="dxa"/>
            </w:tcMar>
          </w:tcPr>
          <w:p>
            <w:pPr>
              <w:spacing w:before="120" w:after="40"/>
            </w:pPr>
            <w:r/>
            <w:r>
              <w:rPr>
                <w:rFonts w:ascii="Calibri" w:hAnsi="Calibri"/>
                <w:b/>
                <w:color w:val="080D18"/>
                <w:sz w:val="20"/>
              </w:rPr>
              <w:t>Prerequisites</w:t>
            </w:r>
          </w:p>
        </w:tc>
      </w:tr>
    </w:tbl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5400"/>
        <w:gridCol w:w="5400"/>
      </w:tblGrid>
      <w:tr>
        <w:tc>
          <w:tcPr>
            <w:tcW w:type="dxa" w:w="3600"/>
            <w:tcMar>
              <w:top w:w="15" w:type="dxa"/>
              <w:left w:w="40" w:type="dxa"/>
              <w:bottom w:w="15" w:type="dxa"/>
              <w:right w:w="10" w:type="dxa"/>
            </w:tcMar>
          </w:tcPr>
          <w:p>
            <w:pPr>
              <w:spacing w:before="0" w:after="0"/>
            </w:pPr>
            <w:r/>
            <w:r>
              <w:rPr>
                <w:rFonts w:ascii="Calibri" w:hAnsi="Calibri"/>
                <w:color w:val="1D1D1F"/>
                <w:sz w:val="18"/>
              </w:rPr>
              <w:t>Claude Code</w:t>
            </w:r>
          </w:p>
        </w:tc>
        <w:tc>
          <w:tcPr>
            <w:tcW w:type="dxa" w:w="2880"/>
            <w:tcMar>
              <w:top w:w="15" w:type="dxa"/>
              <w:left w:w="10" w:type="dxa"/>
              <w:bottom w:w="15" w:type="dxa"/>
              <w:right w:w="40" w:type="dxa"/>
            </w:tcMar>
          </w:tcPr>
          <w:p>
            <w:pPr>
              <w:spacing w:before="0" w:after="0"/>
              <w:jc w:val="righ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Pro or Max subscription (claude.ai/download)</w:t>
            </w:r>
          </w:p>
        </w:tc>
      </w:tr>
      <w:tr>
        <w:tc>
          <w:tcPr>
            <w:tcW w:type="dxa" w:w="3600"/>
            <w:tcMar>
              <w:top w:w="15" w:type="dxa"/>
              <w:left w:w="40" w:type="dxa"/>
              <w:bottom w:w="15" w:type="dxa"/>
              <w:right w:w="10" w:type="dxa"/>
            </w:tcMar>
          </w:tcPr>
          <w:p>
            <w:pPr>
              <w:spacing w:before="0" w:after="0"/>
            </w:pPr>
            <w:r/>
            <w:r>
              <w:rPr>
                <w:rFonts w:ascii="Calibri" w:hAnsi="Calibri"/>
                <w:color w:val="1D1D1F"/>
                <w:sz w:val="18"/>
              </w:rPr>
              <w:t>Python</w:t>
            </w:r>
          </w:p>
        </w:tc>
        <w:tc>
          <w:tcPr>
            <w:tcW w:type="dxa" w:w="2880"/>
            <w:tcMar>
              <w:top w:w="15" w:type="dxa"/>
              <w:left w:w="10" w:type="dxa"/>
              <w:bottom w:w="15" w:type="dxa"/>
              <w:right w:w="40" w:type="dxa"/>
            </w:tcMar>
          </w:tcPr>
          <w:p>
            <w:pPr>
              <w:spacing w:before="0" w:after="0"/>
              <w:jc w:val="righ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3.10 or newer (python.org/downloads)</w:t>
            </w:r>
          </w:p>
        </w:tc>
      </w:tr>
      <w:tr>
        <w:tc>
          <w:tcPr>
            <w:tcW w:type="dxa" w:w="3600"/>
            <w:tcMar>
              <w:top w:w="15" w:type="dxa"/>
              <w:left w:w="40" w:type="dxa"/>
              <w:bottom w:w="15" w:type="dxa"/>
              <w:right w:w="10" w:type="dxa"/>
            </w:tcMar>
          </w:tcPr>
          <w:p>
            <w:pPr>
              <w:spacing w:before="0" w:after="0"/>
            </w:pPr>
            <w:r/>
            <w:r>
              <w:rPr>
                <w:rFonts w:ascii="Calibri" w:hAnsi="Calibri"/>
                <w:color w:val="1D1D1F"/>
                <w:sz w:val="18"/>
              </w:rPr>
              <w:t>PinchFin Package</w:t>
            </w:r>
          </w:p>
        </w:tc>
        <w:tc>
          <w:tcPr>
            <w:tcW w:type="dxa" w:w="2880"/>
            <w:tcMar>
              <w:top w:w="15" w:type="dxa"/>
              <w:left w:w="10" w:type="dxa"/>
              <w:bottom w:w="15" w:type="dxa"/>
              <w:right w:w="40" w:type="dxa"/>
            </w:tcMar>
          </w:tcPr>
          <w:p>
            <w:pPr>
              <w:spacing w:before="0" w:after="0"/>
              <w:jc w:val="righ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pip install git+https://github.com/Pinchfin/pinchfin-mcp.git</w:t>
            </w:r>
          </w:p>
        </w:tc>
      </w:tr>
      <w:tr>
        <w:tc>
          <w:tcPr>
            <w:tcW w:type="dxa" w:w="3600"/>
            <w:tcMar>
              <w:top w:w="15" w:type="dxa"/>
              <w:left w:w="40" w:type="dxa"/>
              <w:bottom w:w="15" w:type="dxa"/>
              <w:right w:w="10" w:type="dxa"/>
            </w:tcMar>
          </w:tcPr>
          <w:p>
            <w:pPr>
              <w:spacing w:before="0" w:after="0"/>
            </w:pPr>
            <w:r/>
            <w:r>
              <w:rPr>
                <w:rFonts w:ascii="Calibri" w:hAnsi="Calibri"/>
                <w:color w:val="1D1D1F"/>
                <w:sz w:val="18"/>
              </w:rPr>
              <w:t>API Key</w:t>
            </w:r>
          </w:p>
        </w:tc>
        <w:tc>
          <w:tcPr>
            <w:tcW w:type="dxa" w:w="2880"/>
            <w:tcMar>
              <w:top w:w="15" w:type="dxa"/>
              <w:left w:w="10" w:type="dxa"/>
              <w:bottom w:w="15" w:type="dxa"/>
              <w:right w:w="40" w:type="dxa"/>
            </w:tcMar>
          </w:tcPr>
          <w:p>
            <w:pPr>
              <w:spacing w:before="0" w:after="0"/>
              <w:jc w:val="righ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Provided in your beta invite</w:t>
            </w:r>
          </w:p>
        </w:tc>
      </w:tr>
    </w:tbl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tcBorders>
              <w:left w:val="single" w:sz="16" w:color="9B2335"/>
            </w:tcBorders>
            <w:tcMar>
              <w:top w:w="20" w:type="dxa"/>
              <w:left w:w="60" w:type="dxa"/>
              <w:bottom w:w="20" w:type="dxa"/>
              <w:right w:w="20" w:type="dxa"/>
            </w:tcMar>
          </w:tcPr>
          <w:p>
            <w:pPr>
              <w:spacing w:before="120" w:after="40"/>
            </w:pPr>
            <w:r/>
            <w:r>
              <w:rPr>
                <w:rFonts w:ascii="Calibri" w:hAnsi="Calibri"/>
                <w:b/>
                <w:color w:val="080D18"/>
                <w:sz w:val="20"/>
              </w:rPr>
              <w:t>Configuration</w:t>
            </w:r>
          </w:p>
        </w:tc>
      </w:tr>
    </w:tbl>
    <w:p>
      <w:pPr>
        <w:spacing w:before="40" w:after="80"/>
      </w:pPr>
      <w:r>
        <w:rPr>
          <w:rFonts w:ascii="Calibri" w:hAnsi="Calibri"/>
          <w:color w:val="1D1D1F"/>
          <w:sz w:val="18"/>
        </w:rPr>
        <w:t>Add PinchFin to your Claude Code config file (~/.claude.json on Mac/Linux, C:\Users\YOUR_NAME\.claude.json on Windows). Add the following inside the "mcpServers" section:</w:t>
      </w:r>
    </w:p>
    <w:tbl>
      <w:tblPr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shd w:fill="F8F7F4"/>
            <w:tcBorders>
              <w:left w:val="single" w:sz="16" w:color="080D18"/>
            </w:tcBorders>
            <w:tcMar>
              <w:top w:w="50" w:type="dxa"/>
              <w:left w:w="70" w:type="dxa"/>
              <w:bottom w:w="50" w:type="dxa"/>
              <w:right w:w="70" w:type="dxa"/>
            </w:tcMar>
          </w:tcPr>
          <w:p>
            <w:pPr>
              <w:spacing w:before="0" w:after="40"/>
            </w:pPr>
            <w:r>
              <w:rPr>
                <w:rFonts w:ascii="Calibri" w:hAnsi="Calibri"/>
                <w:b/>
                <w:color w:val="080D18"/>
                <w:sz w:val="18"/>
              </w:rPr>
              <w:t>CLAUDE.JSON CONFIGURATION</w:t>
            </w:r>
          </w:p>
          <w:p>
            <w:pPr>
              <w:spacing w:before="20" w:after="20"/>
            </w:pPr>
            <w:r>
              <w:rPr>
                <w:rFonts w:ascii="Calibri" w:hAnsi="Calibri"/>
                <w:color w:val="1D1D1F"/>
                <w:sz w:val="18"/>
              </w:rPr>
              <w:t>"pinchfin": {</w:t>
              <w:br/>
              <w:t xml:space="preserve">    "type": "stdio",</w:t>
              <w:br/>
              <w:t xml:space="preserve">    "command": "python",</w:t>
              <w:br/>
              <w:t xml:space="preserve">    "args": ["-m", "pinchfin_mcp.server"],</w:t>
              <w:br/>
              <w:t xml:space="preserve">    "env": {</w:t>
              <w:br/>
              <w:t xml:space="preserve">        "PINCHFIN_API_URL": "https://pinchfin-api-production.up.railway.app/v1",</w:t>
              <w:br/>
              <w:t xml:space="preserve">        "PINCHFIN_API_KEY": "YOUR_API_KEY_HERE"</w:t>
              <w:br/>
              <w:t xml:space="preserve">    }</w:t>
              <w:br/>
              <w:t>}</w:t>
            </w:r>
          </w:p>
        </w:tc>
      </w:tr>
    </w:tbl>
    <w:p>
      <w:pPr>
        <w:spacing w:before="0" w:after="40"/>
      </w:pPr>
    </w:p>
    <w:p>
      <w:pPr>
        <w:spacing w:before="40" w:after="80"/>
      </w:pPr>
      <w:r>
        <w:rPr>
          <w:rFonts w:ascii="Calibri" w:hAnsi="Calibri"/>
          <w:color w:val="1D1D1F"/>
          <w:sz w:val="18"/>
        </w:rPr>
        <w:t>Windows users: change "python" to "py" if python is not in your PATH. After saving, restart Claude Code completely.</w:t>
      </w:r>
    </w:p>
    <w:p>
      <w:pPr>
        <w:spacing w:before="0" w:after="80"/>
      </w:pP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shd w:fill="080D18"/>
            <w:tcMar>
              <w:top w:w="40" w:type="dxa"/>
              <w:left w:w="80" w:type="dxa"/>
              <w:bottom w:w="40" w:type="dxa"/>
              <w:right w:w="80" w:type="dxa"/>
            </w:tcMar>
          </w:tcPr>
          <w:p>
            <w:pPr>
              <w:spacing w:before="0" w:after="0"/>
            </w:pPr>
            <w:r>
              <w:rPr>
                <w:rFonts w:ascii="Calibri" w:hAnsi="Calibri"/>
                <w:b/>
                <w:color w:val="FFFFFF"/>
                <w:sz w:val="18"/>
              </w:rPr>
              <w:t>HOW TO USE PINCHFIN</w:t>
            </w:r>
          </w:p>
        </w:tc>
      </w:tr>
    </w:tbl>
    <w:p>
      <w:pPr>
        <w:spacing w:before="0" w:after="60"/>
      </w:pPr>
    </w:p>
    <w:p>
      <w:pPr>
        <w:spacing w:before="40" w:after="80"/>
      </w:pPr>
      <w:r>
        <w:rPr>
          <w:rFonts w:ascii="Calibri" w:hAnsi="Calibri"/>
          <w:color w:val="1D1D1F"/>
          <w:sz w:val="18"/>
        </w:rPr>
        <w:t>PinchFin is conversational. You describe what you need in plain English, and Claude determines which PinchFin tools to call. You can also request specific tools directly.</w:t>
      </w: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tcBorders>
              <w:left w:val="single" w:sz="16" w:color="9B2335"/>
            </w:tcBorders>
            <w:tcMar>
              <w:top w:w="20" w:type="dxa"/>
              <w:left w:w="60" w:type="dxa"/>
              <w:bottom w:w="20" w:type="dxa"/>
              <w:right w:w="20" w:type="dxa"/>
            </w:tcMar>
          </w:tcPr>
          <w:p>
            <w:pPr>
              <w:spacing w:before="120" w:after="40"/>
            </w:pPr>
            <w:r/>
            <w:r>
              <w:rPr>
                <w:rFonts w:ascii="Calibri" w:hAnsi="Calibri"/>
                <w:b/>
                <w:color w:val="080D18"/>
                <w:sz w:val="20"/>
              </w:rPr>
              <w:t>Natural Language (Recommended)</w:t>
            </w:r>
          </w:p>
        </w:tc>
      </w:tr>
    </w:tbl>
    <w:p>
      <w:pPr>
        <w:spacing w:before="40" w:after="80"/>
      </w:pPr>
      <w:r>
        <w:rPr>
          <w:rFonts w:ascii="Calibri" w:hAnsi="Calibri"/>
          <w:color w:val="1D1D1F"/>
          <w:sz w:val="18"/>
        </w:rPr>
        <w:t>Just describe the deal and what you want to know. Claude will select the right tool, show you the cost estimate, and ask for confirmation before running.</w:t>
      </w: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V w:val="none" w:sz="0" w:color="auto"/>
        </w:tblBorders>
      </w:tblPr>
      <w:tblGrid>
        <w:gridCol w:w="5400"/>
        <w:gridCol w:w="5400"/>
      </w:tblGrid>
      <w:tr>
        <w:tc>
          <w:tcPr>
            <w:tcW w:type="dxa" w:w="5400"/>
            <w:tcBorders>
              <w:bottom w:val="single" w:sz="8" w:color="080D18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080D18"/>
                <w:sz w:val="16"/>
              </w:rPr>
              <w:t>What You Type</w:t>
            </w:r>
          </w:p>
        </w:tc>
        <w:tc>
          <w:tcPr>
            <w:tcW w:type="dxa" w:w="5400"/>
            <w:tcBorders>
              <w:bottom w:val="single" w:sz="8" w:color="080D18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080D18"/>
                <w:sz w:val="16"/>
              </w:rPr>
              <w:t>What Happens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"Screen this deal: 200 Main St, Austin TX, 150 units, $30M loan"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Claude calls pinchfin_deal_screen with your parameters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"How much can I borrow on a $60M asset with $3.2M NOI?"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Claude calls pinchfin_loan_sizer or pinchfin_debt_sizing_preview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"Run sponsor diligence on Greystar Real Estate Partners"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Claude calls pinchfin_sponsor_analysis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"What does the multifamily market look like in Dallas?"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Claude calls pinchfin_market_research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"Compare these two term sheets" (paste term sheet details)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Claude calls pinchfin_term_sheet_comparator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"Give me a full screening on this deal" (provide deal details)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Claude calls pinchfin_quick_review (orchestrated workflow)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"Size a pref equity position on this deal — $16.5M senior, $24.5M cost..."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Claude calls pinchfin_pref_equity_qr</w:t>
            </w:r>
          </w:p>
        </w:tc>
      </w:tr>
    </w:tbl>
    <w:p>
      <w:pPr>
        <w:spacing w:before="0" w:after="40"/>
      </w:pP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tcBorders>
              <w:left w:val="single" w:sz="16" w:color="9B2335"/>
            </w:tcBorders>
            <w:tcMar>
              <w:top w:w="20" w:type="dxa"/>
              <w:left w:w="60" w:type="dxa"/>
              <w:bottom w:w="20" w:type="dxa"/>
              <w:right w:w="20" w:type="dxa"/>
            </w:tcMar>
          </w:tcPr>
          <w:p>
            <w:pPr>
              <w:spacing w:before="120" w:after="40"/>
            </w:pPr>
            <w:r/>
            <w:r>
              <w:rPr>
                <w:rFonts w:ascii="Calibri" w:hAnsi="Calibri"/>
                <w:b/>
                <w:color w:val="080D18"/>
                <w:sz w:val="20"/>
              </w:rPr>
              <w:t>Direct Tool Requests</w:t>
            </w:r>
          </w:p>
        </w:tc>
      </w:tr>
    </w:tbl>
    <w:p>
      <w:pPr>
        <w:spacing w:before="40" w:after="80"/>
      </w:pPr>
      <w:r>
        <w:rPr>
          <w:rFonts w:ascii="Calibri" w:hAnsi="Calibri"/>
          <w:color w:val="1D1D1F"/>
          <w:sz w:val="18"/>
        </w:rPr>
        <w:t>You can also request specific tools by name if you know exactly what you want.</w:t>
      </w: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V w:val="none" w:sz="0" w:color="auto"/>
        </w:tblBorders>
      </w:tblPr>
      <w:tblGrid>
        <w:gridCol w:w="5400"/>
        <w:gridCol w:w="5400"/>
      </w:tblGrid>
      <w:tr>
        <w:tc>
          <w:tcPr>
            <w:tcW w:type="dxa" w:w="5400"/>
            <w:tcBorders>
              <w:bottom w:val="single" w:sz="8" w:color="080D18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080D18"/>
                <w:sz w:val="16"/>
              </w:rPr>
              <w:t>What You Type</w:t>
            </w:r>
          </w:p>
        </w:tc>
        <w:tc>
          <w:tcPr>
            <w:tcW w:type="dxa" w:w="5400"/>
            <w:tcBorders>
              <w:bottom w:val="single" w:sz="8" w:color="080D18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080D18"/>
                <w:sz w:val="16"/>
              </w:rPr>
              <w:t>Tool Called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"Run pinchfin_deal_screen on 500 Oak Ave..."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pinchfin_deal_screen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"Check my PinchFin balance"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pinchfin_account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"What PinchFin tools are available?"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pinchfin_help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"How much would a sponsor analysis cost?"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pinchfin_estimate_cost</w:t>
            </w:r>
          </w:p>
        </w:tc>
      </w:tr>
    </w:tbl>
    <w:p>
      <w:pPr>
        <w:spacing w:before="0" w:after="40"/>
      </w:pPr>
    </w:p>
    <w:p>
      <w:pPr>
        <w:spacing w:before="0" w:after="80"/>
      </w:pP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shd w:fill="080D18"/>
            <w:tcMar>
              <w:top w:w="40" w:type="dxa"/>
              <w:left w:w="80" w:type="dxa"/>
              <w:bottom w:w="40" w:type="dxa"/>
              <w:right w:w="80" w:type="dxa"/>
            </w:tcMar>
          </w:tcPr>
          <w:p>
            <w:pPr>
              <w:spacing w:before="0" w:after="0"/>
            </w:pPr>
            <w:r>
              <w:rPr>
                <w:rFonts w:ascii="Calibri" w:hAnsi="Calibri"/>
                <w:b/>
                <w:color w:val="FFFFFF"/>
                <w:sz w:val="18"/>
              </w:rPr>
              <w:t>RECOMMENDED WORKFLOWS</w:t>
            </w:r>
          </w:p>
        </w:tc>
      </w:tr>
    </w:tbl>
    <w:p>
      <w:pPr>
        <w:spacing w:before="0" w:after="60"/>
      </w:pP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tcBorders>
              <w:left w:val="single" w:sz="16" w:color="9B2335"/>
            </w:tcBorders>
            <w:tcMar>
              <w:top w:w="20" w:type="dxa"/>
              <w:left w:w="60" w:type="dxa"/>
              <w:bottom w:w="20" w:type="dxa"/>
              <w:right w:w="20" w:type="dxa"/>
            </w:tcMar>
          </w:tcPr>
          <w:p>
            <w:pPr>
              <w:spacing w:before="120" w:after="40"/>
            </w:pPr>
            <w:r/>
            <w:r>
              <w:rPr>
                <w:rFonts w:ascii="Calibri" w:hAnsi="Calibri"/>
                <w:b/>
                <w:color w:val="080D18"/>
                <w:sz w:val="20"/>
              </w:rPr>
              <w:t>1. Quick Screening (1–2 minutes, ~$0.15)</w:t>
            </w:r>
          </w:p>
        </w:tc>
      </w:tr>
    </w:tbl>
    <w:p>
      <w:pPr>
        <w:spacing w:before="40" w:after="80"/>
      </w:pPr>
      <w:r>
        <w:rPr>
          <w:rFonts w:ascii="Calibri" w:hAnsi="Calibri"/>
          <w:color w:val="1D1D1F"/>
          <w:sz w:val="18"/>
        </w:rPr>
        <w:t>Start every deal here. Fast, cheap, tells you whether to spend more time.</w:t>
      </w:r>
    </w:p>
    <w:tbl>
      <w:tblPr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shd w:fill="F8F7F4"/>
            <w:tcBorders>
              <w:left w:val="single" w:sz="16" w:color="080D18"/>
            </w:tcBorders>
            <w:tcMar>
              <w:top w:w="50" w:type="dxa"/>
              <w:left w:w="70" w:type="dxa"/>
              <w:bottom w:w="50" w:type="dxa"/>
              <w:right w:w="70" w:type="dxa"/>
            </w:tcMar>
          </w:tcPr>
          <w:p>
            <w:pPr>
              <w:spacing w:before="0" w:after="40"/>
            </w:pPr>
            <w:r>
              <w:rPr>
                <w:rFonts w:ascii="Calibri" w:hAnsi="Calibri"/>
                <w:b/>
                <w:color w:val="080D18"/>
                <w:sz w:val="18"/>
              </w:rPr>
              <w:t>EXAMPLE PROMPT</w:t>
            </w:r>
          </w:p>
          <w:p>
            <w:pPr>
              <w:spacing w:before="20" w:after="20"/>
            </w:pPr>
            <w:r>
              <w:rPr>
                <w:rFonts w:ascii="Calibri" w:hAnsi="Calibri"/>
                <w:color w:val="1D1D1F"/>
                <w:sz w:val="18"/>
              </w:rPr>
              <w:t>Screen this deal: 5700 Clemson Dr, Dallas TX 75214. 165-unit Class B multifamily, 1985 vintage. Sponsor: ABC Realty Group. Loan request: $42M acquisition.</w:t>
            </w:r>
          </w:p>
        </w:tc>
      </w:tr>
    </w:tbl>
    <w:p>
      <w:pPr>
        <w:spacing w:before="0" w:after="40"/>
      </w:pPr>
    </w:p>
    <w:p>
      <w:pPr>
        <w:spacing w:before="40" w:after="80"/>
      </w:pPr>
      <w:r>
        <w:rPr>
          <w:rFonts w:ascii="Calibri" w:hAnsi="Calibri"/>
          <w:color w:val="1D1D1F"/>
          <w:sz w:val="18"/>
        </w:rPr>
        <w:t>You get: pass/fail against 6 credit constraints, binding constraint identified, property context data, risk flags, and a narrative summary.</w:t>
      </w: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tcBorders>
              <w:left w:val="single" w:sz="16" w:color="9B2335"/>
            </w:tcBorders>
            <w:tcMar>
              <w:top w:w="20" w:type="dxa"/>
              <w:left w:w="60" w:type="dxa"/>
              <w:bottom w:w="20" w:type="dxa"/>
              <w:right w:w="20" w:type="dxa"/>
            </w:tcMar>
          </w:tcPr>
          <w:p>
            <w:pPr>
              <w:spacing w:before="120" w:after="40"/>
            </w:pPr>
            <w:r/>
            <w:r>
              <w:rPr>
                <w:rFonts w:ascii="Calibri" w:hAnsi="Calibri"/>
                <w:b/>
                <w:color w:val="080D18"/>
                <w:sz w:val="20"/>
              </w:rPr>
              <w:t>2. Targeted Deep Dive (5–10 minutes, ~$1–3)</w:t>
            </w:r>
          </w:p>
        </w:tc>
      </w:tr>
    </w:tbl>
    <w:p>
      <w:pPr>
        <w:spacing w:before="40" w:after="80"/>
      </w:pPr>
      <w:r>
        <w:rPr>
          <w:rFonts w:ascii="Calibri" w:hAnsi="Calibri"/>
          <w:color w:val="1D1D1F"/>
          <w:sz w:val="18"/>
        </w:rPr>
        <w:t>When you need depth on a specific dimension — run individual tools.</w:t>
      </w: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V w:val="none" w:sz="0" w:color="auto"/>
        </w:tblBorders>
      </w:tblPr>
      <w:tblGrid>
        <w:gridCol w:w="5400"/>
        <w:gridCol w:w="5400"/>
      </w:tblGrid>
      <w:tr>
        <w:tc>
          <w:tcPr>
            <w:tcW w:type="dxa" w:w="5400"/>
            <w:tcBorders>
              <w:bottom w:val="single" w:sz="8" w:color="080D18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080D18"/>
                <w:sz w:val="16"/>
              </w:rPr>
              <w:t>Scenario</w:t>
            </w:r>
          </w:p>
        </w:tc>
        <w:tc>
          <w:tcPr>
            <w:tcW w:type="dxa" w:w="5400"/>
            <w:tcBorders>
              <w:bottom w:val="single" w:sz="8" w:color="080D18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080D18"/>
                <w:sz w:val="16"/>
              </w:rPr>
              <w:t>Tool to Use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New sponsor, need background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pinchfin_sponsor_analysis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Unfamiliar market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pinchfin_market_research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Need rent/sale comps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pinchfin_comp_analysis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Value-add feasibility check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pinchfin_business_plan_analysis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Comparing lender offers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pinchfin_term_sheet_comparator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Complex deal features (LIHTC, ground lease)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pinchfin_nuance_gate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Preferred equity sizing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pinchfin_pref_equity_qr</w:t>
            </w:r>
          </w:p>
        </w:tc>
      </w:tr>
    </w:tbl>
    <w:p>
      <w:pPr>
        <w:spacing w:before="0" w:after="40"/>
      </w:pP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tcBorders>
              <w:left w:val="single" w:sz="16" w:color="9B2335"/>
            </w:tcBorders>
            <w:tcMar>
              <w:top w:w="20" w:type="dxa"/>
              <w:left w:w="60" w:type="dxa"/>
              <w:bottom w:w="20" w:type="dxa"/>
              <w:right w:w="20" w:type="dxa"/>
            </w:tcMar>
          </w:tcPr>
          <w:p>
            <w:pPr>
              <w:spacing w:before="120" w:after="40"/>
            </w:pPr>
            <w:r/>
            <w:r>
              <w:rPr>
                <w:rFonts w:ascii="Calibri" w:hAnsi="Calibri"/>
                <w:b/>
                <w:color w:val="080D18"/>
                <w:sz w:val="20"/>
              </w:rPr>
              <w:t>2A. Preferred Equity Sizing (~$3–8)</w:t>
            </w:r>
          </w:p>
        </w:tc>
      </w:tr>
    </w:tbl>
    <w:p>
      <w:pPr>
        <w:spacing w:before="40" w:after="80"/>
      </w:pPr>
      <w:r>
        <w:rPr>
          <w:rFonts w:ascii="Calibri" w:hAnsi="Calibri"/>
          <w:color w:val="1D1D1F"/>
          <w:sz w:val="18"/>
        </w:rPr>
        <w:t>Size a preferred equity position behind an existing or proposed senior loan. Validates the senior debt independently, then sizes pref against 9 constraints with PIK accrual modeling and exit scenario analysis.</w:t>
      </w:r>
    </w:p>
    <w:tbl>
      <w:tblPr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shd w:fill="F8F7F4"/>
            <w:tcBorders>
              <w:left w:val="single" w:sz="16" w:color="080D18"/>
            </w:tcBorders>
            <w:tcMar>
              <w:top w:w="50" w:type="dxa"/>
              <w:left w:w="70" w:type="dxa"/>
              <w:bottom w:w="50" w:type="dxa"/>
              <w:right w:w="70" w:type="dxa"/>
            </w:tcMar>
          </w:tcPr>
          <w:p>
            <w:pPr>
              <w:spacing w:before="0" w:after="40"/>
            </w:pPr>
            <w:r>
              <w:rPr>
                <w:rFonts w:ascii="Calibri" w:hAnsi="Calibri"/>
                <w:b/>
                <w:color w:val="080D18"/>
                <w:sz w:val="18"/>
              </w:rPr>
              <w:t>EXAMPLE PROMPT</w:t>
            </w:r>
          </w:p>
          <w:p>
            <w:pPr>
              <w:spacing w:before="20" w:after="20"/>
            </w:pPr>
            <w:r>
              <w:rPr>
                <w:rFonts w:ascii="Calibri" w:hAnsi="Calibri"/>
                <w:color w:val="1D1D1F"/>
                <w:sz w:val="18"/>
              </w:rPr>
              <w:t>Size a pref equity position on this deal: 2800 Telegraph Ave, Oakland CA. 165-unit new construction, $24.5M total cost, $16.5M senior loan at 7.50%. Stabilized NOI $1.5M, exit cap 5.25%. Sponsor requesting $2.5M pref at 7% current / 7% PIK. 24 months construction, 9 months lease-up.</w:t>
            </w:r>
          </w:p>
        </w:tc>
      </w:tr>
    </w:tbl>
    <w:p>
      <w:pPr>
        <w:spacing w:before="0" w:after="40"/>
      </w:pPr>
    </w:p>
    <w:p>
      <w:pPr>
        <w:spacing w:before="40" w:after="80"/>
      </w:pPr>
      <w:r>
        <w:rPr>
          <w:rFonts w:ascii="Calibri" w:hAnsi="Calibri"/>
          <w:color w:val="1D1D1F"/>
          <w:sz w:val="18"/>
        </w:rPr>
        <w:t>You get: max supportable pref equity, binding constraint, quarterly PIK schedule, 5 exit scenarios (base, ±10%, -20%, breakeven), sponsor MOIC/IRR with and without pref, return sensitivity by exit timing, and a 22-section DOCX memo.</w:t>
      </w: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tcBorders>
              <w:left w:val="single" w:sz="16" w:color="9B2335"/>
            </w:tcBorders>
            <w:tcMar>
              <w:top w:w="20" w:type="dxa"/>
              <w:left w:w="60" w:type="dxa"/>
              <w:bottom w:w="20" w:type="dxa"/>
              <w:right w:w="20" w:type="dxa"/>
            </w:tcMar>
          </w:tcPr>
          <w:p>
            <w:pPr>
              <w:spacing w:before="120" w:after="40"/>
            </w:pPr>
            <w:r/>
            <w:r>
              <w:rPr>
                <w:rFonts w:ascii="Calibri" w:hAnsi="Calibri"/>
                <w:b/>
                <w:color w:val="080D18"/>
                <w:sz w:val="20"/>
              </w:rPr>
              <w:t>3. Full Quick Review (10 minutes, ~$3–6)</w:t>
            </w:r>
          </w:p>
        </w:tc>
      </w:tr>
    </w:tbl>
    <w:p>
      <w:pPr>
        <w:spacing w:before="40" w:after="80"/>
      </w:pPr>
      <w:r>
        <w:rPr>
          <w:rFonts w:ascii="Calibri" w:hAnsi="Calibri"/>
          <w:color w:val="1D1D1F"/>
          <w:sz w:val="18"/>
        </w:rPr>
        <w:t>The flagship workflow. Internally runs sponsor + market + comps + cash flow + sizing and synthesizes everything into a screening recommendation with 4 DOCX reports.</w:t>
      </w:r>
    </w:p>
    <w:tbl>
      <w:tblPr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shd w:fill="F8F7F4"/>
            <w:tcBorders>
              <w:left w:val="single" w:sz="16" w:color="080D18"/>
            </w:tcBorders>
            <w:tcMar>
              <w:top w:w="50" w:type="dxa"/>
              <w:left w:w="70" w:type="dxa"/>
              <w:bottom w:w="50" w:type="dxa"/>
              <w:right w:w="70" w:type="dxa"/>
            </w:tcMar>
          </w:tcPr>
          <w:p>
            <w:pPr>
              <w:spacing w:before="0" w:after="40"/>
            </w:pPr>
            <w:r>
              <w:rPr>
                <w:rFonts w:ascii="Calibri" w:hAnsi="Calibri"/>
                <w:b/>
                <w:color w:val="080D18"/>
                <w:sz w:val="18"/>
              </w:rPr>
              <w:t>EXAMPLE PROMPT</w:t>
            </w:r>
          </w:p>
          <w:p>
            <w:pPr>
              <w:spacing w:before="20" w:after="20"/>
            </w:pPr>
            <w:r>
              <w:rPr>
                <w:rFonts w:ascii="Calibri" w:hAnsi="Calibri"/>
                <w:color w:val="1D1D1F"/>
                <w:sz w:val="18"/>
              </w:rPr>
              <w:t>Run a full Quick Review on 123 Main St, Dallas TX 75201. 165-unit multifamily, Class B, 1985 vintage. $42M loan request for acquisition. Sponsor is XYZ Realty Group. Current NOI around $2.5M, pro forma rents ~$1,800/unit.</w:t>
            </w:r>
          </w:p>
        </w:tc>
      </w:tr>
    </w:tbl>
    <w:p>
      <w:pPr>
        <w:spacing w:before="0" w:after="40"/>
      </w:pPr>
    </w:p>
    <w:p>
      <w:pPr>
        <w:spacing w:before="40" w:after="80"/>
      </w:pPr>
      <w:r>
        <w:rPr>
          <w:rFonts w:ascii="Calibri" w:hAnsi="Calibri"/>
          <w:color w:val="1D1D1F"/>
          <w:sz w:val="18"/>
        </w:rPr>
        <w:t>You get: screening recommendation (PASS/CONDITIONAL/FAIL), sponsor tier, market rating, comp-supported rent conclusions, constraint waterfall, risk assessment, and due diligence questions.</w:t>
      </w: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tcBorders>
              <w:left w:val="single" w:sz="16" w:color="9B2335"/>
            </w:tcBorders>
            <w:tcMar>
              <w:top w:w="20" w:type="dxa"/>
              <w:left w:w="60" w:type="dxa"/>
              <w:bottom w:w="20" w:type="dxa"/>
              <w:right w:w="20" w:type="dxa"/>
            </w:tcMar>
          </w:tcPr>
          <w:p>
            <w:pPr>
              <w:spacing w:before="120" w:after="40"/>
            </w:pPr>
            <w:r/>
            <w:r>
              <w:rPr>
                <w:rFonts w:ascii="Calibri" w:hAnsi="Calibri"/>
                <w:b/>
                <w:color w:val="080D18"/>
                <w:sz w:val="20"/>
              </w:rPr>
              <w:t>4. Iterative Analysis</w:t>
            </w:r>
          </w:p>
        </w:tc>
      </w:tr>
    </w:tbl>
    <w:p>
      <w:pPr>
        <w:spacing w:before="40" w:after="80"/>
      </w:pPr>
      <w:r>
        <w:rPr>
          <w:rFonts w:ascii="Calibri" w:hAnsi="Calibri"/>
          <w:color w:val="1D1D1F"/>
          <w:sz w:val="18"/>
        </w:rPr>
        <w:t>PinchFin tools work within your Claude Code conversation. You can chain analyses naturally:</w:t>
      </w:r>
    </w:p>
    <w:tbl>
      <w:tblPr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shd w:fill="F8F7F4"/>
            <w:tcBorders>
              <w:left w:val="single" w:sz="16" w:color="080D18"/>
            </w:tcBorders>
            <w:tcMar>
              <w:top w:w="50" w:type="dxa"/>
              <w:left w:w="70" w:type="dxa"/>
              <w:bottom w:w="50" w:type="dxa"/>
              <w:right w:w="70" w:type="dxa"/>
            </w:tcMar>
          </w:tcPr>
          <w:p>
            <w:pPr>
              <w:spacing w:before="0" w:after="40"/>
            </w:pPr>
            <w:r>
              <w:rPr>
                <w:rFonts w:ascii="Calibri" w:hAnsi="Calibri"/>
                <w:b/>
                <w:color w:val="080D18"/>
                <w:sz w:val="18"/>
              </w:rPr>
              <w:t>CONVERSATION FLOW</w:t>
            </w:r>
          </w:p>
          <w:p>
            <w:pPr>
              <w:spacing w:before="20" w:after="20"/>
            </w:pPr>
            <w:r>
              <w:rPr>
                <w:rFonts w:ascii="Calibri" w:hAnsi="Calibri"/>
                <w:color w:val="1D1D1F"/>
                <w:sz w:val="18"/>
              </w:rPr>
              <w:t>You: Screen this deal — 200 units, $25M, Austin TX</w:t>
              <w:br/>
              <w:t>Claude: [runs deal screen] Deal passes. Binding constraint: DSCR at 1.08x.</w:t>
              <w:br/>
              <w:br/>
              <w:t>You: The sponsor is new to us. Run a background check.</w:t>
              <w:br/>
              <w:t>Claude: [runs sponsor analysis] Sponsor rated B+. 12 prior deals...</w:t>
              <w:br/>
              <w:br/>
              <w:t>You: Looks good. How does the Austin market look?</w:t>
              <w:br/>
              <w:t>Claude: [runs market research] Austin multifamily: 4.2% vacancy, 3.1% rent growth...</w:t>
              <w:br/>
              <w:br/>
              <w:t>You: Size the loan at our constraints.</w:t>
              <w:br/>
              <w:t>Claude: [runs loan sizer] Max loan $23.8M, binding: DSCR at 1.05x...</w:t>
            </w:r>
          </w:p>
        </w:tc>
      </w:tr>
    </w:tbl>
    <w:p>
      <w:pPr>
        <w:spacing w:before="0" w:after="40"/>
      </w:pPr>
    </w:p>
    <w:p>
      <w:pPr>
        <w:spacing w:before="0" w:after="80"/>
      </w:pP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shd w:fill="080D18"/>
            <w:tcMar>
              <w:top w:w="40" w:type="dxa"/>
              <w:left w:w="80" w:type="dxa"/>
              <w:bottom w:w="40" w:type="dxa"/>
              <w:right w:w="80" w:type="dxa"/>
            </w:tcMar>
          </w:tcPr>
          <w:p>
            <w:pPr>
              <w:spacing w:before="0" w:after="0"/>
            </w:pPr>
            <w:r>
              <w:rPr>
                <w:rFonts w:ascii="Calibri" w:hAnsi="Calibri"/>
                <w:b/>
                <w:color w:val="FFFFFF"/>
                <w:sz w:val="18"/>
              </w:rPr>
              <w:t>UNDERSTANDING YOUR RESULTS</w:t>
            </w:r>
          </w:p>
        </w:tc>
      </w:tr>
    </w:tbl>
    <w:p>
      <w:pPr>
        <w:spacing w:before="0" w:after="60"/>
      </w:pP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tcBorders>
              <w:left w:val="single" w:sz="16" w:color="9B2335"/>
            </w:tcBorders>
            <w:tcMar>
              <w:top w:w="20" w:type="dxa"/>
              <w:left w:w="60" w:type="dxa"/>
              <w:bottom w:w="20" w:type="dxa"/>
              <w:right w:w="20" w:type="dxa"/>
            </w:tcMar>
          </w:tcPr>
          <w:p>
            <w:pPr>
              <w:spacing w:before="120" w:after="40"/>
            </w:pPr>
            <w:r/>
            <w:r>
              <w:rPr>
                <w:rFonts w:ascii="Calibri" w:hAnsi="Calibri"/>
                <w:b/>
                <w:color w:val="080D18"/>
                <w:sz w:val="20"/>
              </w:rPr>
              <w:t>JSON Results</w:t>
            </w:r>
          </w:p>
        </w:tc>
      </w:tr>
    </w:tbl>
    <w:p>
      <w:pPr>
        <w:spacing w:before="40" w:after="80"/>
      </w:pPr>
      <w:r>
        <w:rPr>
          <w:rFonts w:ascii="Calibri" w:hAnsi="Calibri"/>
          <w:color w:val="1D1D1F"/>
          <w:sz w:val="18"/>
        </w:rPr>
        <w:t>Every tool returns structured JSON directly in your Claude Code conversation. Claude will interpret and summarize the results for you. Key fields to look for:</w:t>
      </w: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V w:val="none" w:sz="0" w:color="auto"/>
        </w:tblBorders>
      </w:tblPr>
      <w:tblGrid>
        <w:gridCol w:w="5400"/>
        <w:gridCol w:w="5400"/>
      </w:tblGrid>
      <w:tr>
        <w:tc>
          <w:tcPr>
            <w:tcW w:type="dxa" w:w="5400"/>
            <w:tcBorders>
              <w:bottom w:val="single" w:sz="8" w:color="080D18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080D18"/>
                <w:sz w:val="16"/>
              </w:rPr>
              <w:t>Field</w:t>
            </w:r>
          </w:p>
        </w:tc>
        <w:tc>
          <w:tcPr>
            <w:tcW w:type="dxa" w:w="5400"/>
            <w:tcBorders>
              <w:bottom w:val="single" w:sz="8" w:color="080D18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080D18"/>
                <w:sz w:val="16"/>
              </w:rPr>
              <w:t>What It Means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B6B3A"/>
                <w:sz w:val="18"/>
              </w:rPr>
              <w:t>status: pass/fail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B6B3A"/>
                <w:sz w:val="18"/>
              </w:rPr>
              <w:t>Whether the deal meets credit box criteria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binding_constraint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B6B3A"/>
                <w:sz w:val="18"/>
              </w:rPr>
              <w:t>The most restrictive constraint (governs max loan)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sponsor_tier: A/B/C/D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Sponsor quality classification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B6B3A"/>
                <w:sz w:val="18"/>
              </w:rPr>
              <w:t>market_rating: strong/moderate/weak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Overall market assessment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B6B3A"/>
                <w:sz w:val="18"/>
              </w:rPr>
              <w:t>screen_result: PASS/CONDITIONAL/FAIL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Quick Review recommendation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B6B3A"/>
                <w:sz w:val="18"/>
              </w:rPr>
              <w:t>go_no_go: GO/NO-GO/CONDITIONAL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Nuance gate or sponsor determination</w:t>
            </w:r>
          </w:p>
        </w:tc>
      </w:tr>
    </w:tbl>
    <w:p>
      <w:pPr>
        <w:spacing w:before="0" w:after="40"/>
      </w:pP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tcBorders>
              <w:left w:val="single" w:sz="16" w:color="9B2335"/>
            </w:tcBorders>
            <w:tcMar>
              <w:top w:w="20" w:type="dxa"/>
              <w:left w:w="60" w:type="dxa"/>
              <w:bottom w:w="20" w:type="dxa"/>
              <w:right w:w="20" w:type="dxa"/>
            </w:tcMar>
          </w:tcPr>
          <w:p>
            <w:pPr>
              <w:spacing w:before="120" w:after="40"/>
            </w:pPr>
            <w:r/>
            <w:r>
              <w:rPr>
                <w:rFonts w:ascii="Calibri" w:hAnsi="Calibri"/>
                <w:b/>
                <w:color w:val="080D18"/>
                <w:sz w:val="20"/>
              </w:rPr>
              <w:t>DOCX Reports</w:t>
            </w:r>
          </w:p>
        </w:tc>
      </w:tr>
    </w:tbl>
    <w:p>
      <w:pPr>
        <w:spacing w:before="40" w:after="80"/>
      </w:pPr>
      <w:r>
        <w:rPr>
          <w:rFonts w:ascii="Calibri" w:hAnsi="Calibri"/>
          <w:color w:val="1D1D1F"/>
          <w:sz w:val="18"/>
        </w:rPr>
        <w:t>When analysis runs in real mode, branded PinchFin DOCX reports are automatically generated and available for download. Reports use institutional formatting with the PinchFin v9 design system — ready to share with investment committees, credit officers, or capital partners.</w:t>
      </w: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tcBorders>
              <w:left w:val="single" w:sz="16" w:color="9B2335"/>
            </w:tcBorders>
            <w:tcMar>
              <w:top w:w="20" w:type="dxa"/>
              <w:left w:w="60" w:type="dxa"/>
              <w:bottom w:w="20" w:type="dxa"/>
              <w:right w:w="20" w:type="dxa"/>
            </w:tcMar>
          </w:tcPr>
          <w:p>
            <w:pPr>
              <w:spacing w:before="120" w:after="40"/>
            </w:pPr>
            <w:r/>
            <w:r>
              <w:rPr>
                <w:rFonts w:ascii="Calibri" w:hAnsi="Calibri"/>
                <w:b/>
                <w:color w:val="080D18"/>
                <w:sz w:val="20"/>
              </w:rPr>
              <w:t>Credit Box Constraints</w:t>
            </w:r>
          </w:p>
        </w:tc>
      </w:tr>
    </w:tbl>
    <w:p>
      <w:pPr>
        <w:spacing w:before="40" w:after="80"/>
      </w:pPr>
      <w:r>
        <w:rPr>
          <w:rFonts w:ascii="Calibri" w:hAnsi="Calibri"/>
          <w:color w:val="1D1D1F"/>
          <w:sz w:val="18"/>
        </w:rPr>
        <w:t>PinchFin uses a 6-constraint waterfall for all loan sizing. The most restrictive constraint governs the maximum loan amount.</w:t>
      </w: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V w:val="none" w:sz="0" w:color="auto"/>
        </w:tblBorders>
      </w:tblPr>
      <w:tblGrid>
        <w:gridCol w:w="3600"/>
        <w:gridCol w:w="3600"/>
        <w:gridCol w:w="3600"/>
      </w:tblGrid>
      <w:tr>
        <w:tc>
          <w:tcPr>
            <w:tcW w:type="dxa" w:w="3600"/>
            <w:tcBorders>
              <w:bottom w:val="single" w:sz="8" w:color="080D18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080D18"/>
                <w:sz w:val="16"/>
              </w:rPr>
              <w:t>Constraint</w:t>
            </w:r>
          </w:p>
        </w:tc>
        <w:tc>
          <w:tcPr>
            <w:tcW w:type="dxa" w:w="3600"/>
            <w:tcBorders>
              <w:bottom w:val="single" w:sz="8" w:color="080D18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right"/>
            </w:pPr>
            <w:r/>
            <w:r>
              <w:rPr>
                <w:rFonts w:ascii="Calibri" w:hAnsi="Calibri"/>
                <w:b/>
                <w:color w:val="080D18"/>
                <w:sz w:val="16"/>
              </w:rPr>
              <w:t>Threshold</w:t>
            </w:r>
          </w:p>
        </w:tc>
        <w:tc>
          <w:tcPr>
            <w:tcW w:type="dxa" w:w="3600"/>
            <w:tcBorders>
              <w:bottom w:val="single" w:sz="8" w:color="080D18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080D18"/>
                <w:sz w:val="16"/>
              </w:rPr>
              <w:t>Type</w:t>
            </w:r>
          </w:p>
        </w:tc>
      </w:tr>
      <w:tr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LTV As-Is</w:t>
            </w:r>
          </w:p>
        </w:tc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right"/>
            </w:pPr>
            <w:r/>
            <w:r>
              <w:rPr>
                <w:rFonts w:ascii="Calibri" w:hAnsi="Calibri"/>
                <w:color w:val="1D1D1F"/>
                <w:sz w:val="18"/>
              </w:rPr>
              <w:t>75.0%</w:t>
            </w:r>
          </w:p>
        </w:tc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Hard ceiling</w:t>
            </w:r>
          </w:p>
        </w:tc>
      </w:tr>
      <w:tr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LTV Stabilized</w:t>
            </w:r>
          </w:p>
        </w:tc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right"/>
            </w:pPr>
            <w:r/>
            <w:r>
              <w:rPr>
                <w:rFonts w:ascii="Calibri" w:hAnsi="Calibri"/>
                <w:color w:val="1D1D1F"/>
                <w:sz w:val="18"/>
              </w:rPr>
              <w:t>75.0%</w:t>
            </w:r>
          </w:p>
        </w:tc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Hard ceiling</w:t>
            </w:r>
          </w:p>
        </w:tc>
      </w:tr>
      <w:tr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DSCR Stabilized</w:t>
            </w:r>
          </w:p>
        </w:tc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right"/>
            </w:pPr>
            <w:r/>
            <w:r>
              <w:rPr>
                <w:rFonts w:ascii="Calibri" w:hAnsi="Calibri"/>
                <w:color w:val="1D1D1F"/>
                <w:sz w:val="18"/>
              </w:rPr>
              <w:t>1.05x</w:t>
            </w:r>
          </w:p>
        </w:tc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Hard floor (sizes the loan)</w:t>
            </w:r>
          </w:p>
        </w:tc>
      </w:tr>
      <w:tr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Debt Yield Stabilized</w:t>
            </w:r>
          </w:p>
        </w:tc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right"/>
            </w:pPr>
            <w:r/>
            <w:r>
              <w:rPr>
                <w:rFonts w:ascii="Calibri" w:hAnsi="Calibri"/>
                <w:color w:val="1D1D1F"/>
                <w:sz w:val="18"/>
              </w:rPr>
              <w:t>7.00%</w:t>
            </w:r>
          </w:p>
        </w:tc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Hard floor</w:t>
            </w:r>
          </w:p>
        </w:tc>
      </w:tr>
      <w:tr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LTC</w:t>
            </w:r>
          </w:p>
        </w:tc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right"/>
            </w:pPr>
            <w:r/>
            <w:r>
              <w:rPr>
                <w:rFonts w:ascii="Calibri" w:hAnsi="Calibri"/>
                <w:color w:val="1D1D1F"/>
                <w:sz w:val="18"/>
              </w:rPr>
              <w:t>80.0%</w:t>
            </w:r>
          </w:p>
        </w:tc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Hard ceiling</w:t>
            </w:r>
          </w:p>
        </w:tc>
      </w:tr>
      <w:tr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Max Loan</w:t>
            </w:r>
          </w:p>
        </w:tc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right"/>
            </w:pPr>
            <w:r/>
            <w:r>
              <w:rPr>
                <w:rFonts w:ascii="Calibri" w:hAnsi="Calibri"/>
                <w:color w:val="1D1D1F"/>
                <w:sz w:val="18"/>
              </w:rPr>
              <w:t>$100M</w:t>
            </w:r>
          </w:p>
        </w:tc>
        <w:tc>
          <w:tcPr>
            <w:tcW w:type="dxa" w:w="36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Program cap</w:t>
            </w:r>
          </w:p>
        </w:tc>
      </w:tr>
    </w:tbl>
    <w:p>
      <w:pPr>
        <w:spacing w:before="0" w:after="40"/>
      </w:pPr>
    </w:p>
    <w:p>
      <w:pPr>
        <w:spacing w:before="0" w:after="80"/>
      </w:pP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shd w:fill="080D18"/>
            <w:tcMar>
              <w:top w:w="40" w:type="dxa"/>
              <w:left w:w="80" w:type="dxa"/>
              <w:bottom w:w="40" w:type="dxa"/>
              <w:right w:w="80" w:type="dxa"/>
            </w:tcMar>
          </w:tcPr>
          <w:p>
            <w:pPr>
              <w:spacing w:before="0" w:after="0"/>
            </w:pPr>
            <w:r>
              <w:rPr>
                <w:rFonts w:ascii="Calibri" w:hAnsi="Calibri"/>
                <w:b/>
                <w:color w:val="FFFFFF"/>
                <w:sz w:val="18"/>
              </w:rPr>
              <w:t>MANAGING YOUR ACCOUNT</w:t>
            </w:r>
          </w:p>
        </w:tc>
      </w:tr>
    </w:tbl>
    <w:p>
      <w:pPr>
        <w:spacing w:before="0" w:after="60"/>
      </w:pP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V w:val="none" w:sz="0" w:color="auto"/>
        </w:tblBorders>
      </w:tblPr>
      <w:tblGrid>
        <w:gridCol w:w="5400"/>
        <w:gridCol w:w="5400"/>
      </w:tblGrid>
      <w:tr>
        <w:tc>
          <w:tcPr>
            <w:tcW w:type="dxa" w:w="5400"/>
            <w:tcBorders>
              <w:bottom w:val="single" w:sz="8" w:color="080D18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080D18"/>
                <w:sz w:val="16"/>
              </w:rPr>
              <w:t>Action</w:t>
            </w:r>
          </w:p>
        </w:tc>
        <w:tc>
          <w:tcPr>
            <w:tcW w:type="dxa" w:w="5400"/>
            <w:tcBorders>
              <w:bottom w:val="single" w:sz="8" w:color="080D18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080D18"/>
                <w:sz w:val="16"/>
              </w:rPr>
              <w:t>What to Say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Check balance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"Check my PinchFin balance" or "How much credit do I have?"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See transaction history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"Show my PinchFin transactions"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Get a cost estimate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"How much would a sponsor analysis cost for a 200-unit deal?"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List your deals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"List my PinchFin deals"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Check deal progress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"What's the status of deal PF-2026-001?"</w:t>
            </w:r>
          </w:p>
        </w:tc>
      </w:tr>
    </w:tbl>
    <w:p>
      <w:pPr>
        <w:spacing w:before="0" w:after="40"/>
      </w:pPr>
    </w:p>
    <w:p>
      <w:pPr>
        <w:spacing w:before="0" w:after="80"/>
      </w:pP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shd w:fill="080D18"/>
            <w:tcMar>
              <w:top w:w="40" w:type="dxa"/>
              <w:left w:w="80" w:type="dxa"/>
              <w:bottom w:w="40" w:type="dxa"/>
              <w:right w:w="80" w:type="dxa"/>
            </w:tcMar>
          </w:tcPr>
          <w:p>
            <w:pPr>
              <w:spacing w:before="0" w:after="0"/>
            </w:pPr>
            <w:r>
              <w:rPr>
                <w:rFonts w:ascii="Calibri" w:hAnsi="Calibri"/>
                <w:b/>
                <w:color w:val="FFFFFF"/>
                <w:sz w:val="18"/>
              </w:rPr>
              <w:t>TIPS FOR BEST RESULTS</w:t>
            </w:r>
          </w:p>
        </w:tc>
      </w:tr>
    </w:tbl>
    <w:p>
      <w:pPr>
        <w:spacing w:before="0" w:after="60"/>
      </w:pPr>
    </w:p>
    <w:p>
      <w:pPr>
        <w:spacing w:before="40" w:after="80"/>
      </w:pPr>
      <w:r>
        <w:rPr>
          <w:rFonts w:ascii="Calibri" w:hAnsi="Calibri"/>
          <w:color w:val="1D1D1F"/>
          <w:sz w:val="18"/>
        </w:rPr>
        <w:t>1. Start with a screen. At $0.10–$0.50, it's the cheapest way to filter deals before committing to deeper analysis.</w:t>
      </w:r>
    </w:p>
    <w:p>
      <w:pPr>
        <w:spacing w:before="40" w:after="80"/>
      </w:pPr>
      <w:r>
        <w:rPr>
          <w:rFonts w:ascii="Calibri" w:hAnsi="Calibri"/>
          <w:color w:val="1D1D1F"/>
          <w:sz w:val="18"/>
        </w:rPr>
        <w:t>2. Provide complete deal details. The more context you give (address, units, loan amount, sponsor name, NOI, business plan), the better the analysis.</w:t>
      </w:r>
    </w:p>
    <w:p>
      <w:pPr>
        <w:spacing w:before="40" w:after="80"/>
      </w:pPr>
      <w:r>
        <w:rPr>
          <w:rFonts w:ascii="Calibri" w:hAnsi="Calibri"/>
          <w:color w:val="1D1D1F"/>
          <w:sz w:val="18"/>
        </w:rPr>
        <w:t>3. Use the Quick Review for pipeline screening. At $3–6, it replaces hours of manual work with a structured recommendation in 10 minutes.</w:t>
      </w:r>
    </w:p>
    <w:p>
      <w:pPr>
        <w:spacing w:before="40" w:after="80"/>
      </w:pPr>
      <w:r>
        <w:rPr>
          <w:rFonts w:ascii="Calibri" w:hAnsi="Calibri"/>
          <w:color w:val="1D1D1F"/>
          <w:sz w:val="18"/>
        </w:rPr>
        <w:t>4. Re-runs are 35% cheaper. If you need to re-analyze a deal with updated assumptions, the system applies a discount for cached context.</w:t>
      </w:r>
    </w:p>
    <w:p>
      <w:pPr>
        <w:spacing w:before="40" w:after="80"/>
      </w:pPr>
      <w:r>
        <w:rPr>
          <w:rFonts w:ascii="Calibri" w:hAnsi="Calibri"/>
          <w:color w:val="1D1D1F"/>
          <w:sz w:val="18"/>
        </w:rPr>
        <w:t>5. Chain tools in conversation. Run a screen first, then drill into sponsor or market as needed. Claude maintains context across the conversation.</w:t>
      </w:r>
    </w:p>
    <w:p>
      <w:pPr>
        <w:spacing w:before="40" w:after="80"/>
      </w:pPr>
      <w:r>
        <w:rPr>
          <w:rFonts w:ascii="Calibri" w:hAnsi="Calibri"/>
          <w:color w:val="1D1D1F"/>
          <w:sz w:val="18"/>
        </w:rPr>
        <w:t>6. Every billable tool shows cost before running. You always confirm. No surprises.</w:t>
      </w:r>
    </w:p>
    <w:p>
      <w:pPr>
        <w:spacing w:before="0" w:after="80"/>
      </w:pP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shd w:fill="080D18"/>
            <w:tcMar>
              <w:top w:w="40" w:type="dxa"/>
              <w:left w:w="80" w:type="dxa"/>
              <w:bottom w:w="40" w:type="dxa"/>
              <w:right w:w="80" w:type="dxa"/>
            </w:tcMar>
          </w:tcPr>
          <w:p>
            <w:pPr>
              <w:spacing w:before="0" w:after="0"/>
            </w:pPr>
            <w:r>
              <w:rPr>
                <w:rFonts w:ascii="Calibri" w:hAnsi="Calibri"/>
                <w:b/>
                <w:color w:val="FFFFFF"/>
                <w:sz w:val="18"/>
              </w:rPr>
              <w:t>TROUBLESHOOTING</w:t>
            </w:r>
          </w:p>
        </w:tc>
      </w:tr>
    </w:tbl>
    <w:p>
      <w:pPr>
        <w:spacing w:before="0" w:after="60"/>
      </w:pP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V w:val="none" w:sz="0" w:color="auto"/>
        </w:tblBorders>
      </w:tblPr>
      <w:tblGrid>
        <w:gridCol w:w="5400"/>
        <w:gridCol w:w="5400"/>
      </w:tblGrid>
      <w:tr>
        <w:tc>
          <w:tcPr>
            <w:tcW w:type="dxa" w:w="5400"/>
            <w:tcBorders>
              <w:bottom w:val="single" w:sz="8" w:color="080D18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080D18"/>
                <w:sz w:val="16"/>
              </w:rPr>
              <w:t>Issue</w:t>
            </w:r>
          </w:p>
        </w:tc>
        <w:tc>
          <w:tcPr>
            <w:tcW w:type="dxa" w:w="5400"/>
            <w:tcBorders>
              <w:bottom w:val="single" w:sz="8" w:color="080D18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080D18"/>
                <w:sz w:val="16"/>
              </w:rPr>
              <w:t>Fix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PinchFin tools not showing up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B6B3A"/>
                <w:sz w:val="18"/>
              </w:rPr>
              <w:t>Verify ~/.claude.json has valid JSON with pinchfin in mcpServers. Restart Claude Code completely (close and reopen).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B22234"/>
                <w:sz w:val="18"/>
              </w:rPr>
              <w:t>Authentication failed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Double-check your API key — no extra spaces or quotes. Make sure you pasted the full key starting with pf_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B6B3A"/>
                <w:sz w:val="18"/>
              </w:rPr>
              <w:t>Insufficient funds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Ask "check my PinchFin balance" to see remaining credits. Contact your PinchFin admin for additional credits during beta.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"python" not found (Windows)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Change "command": "python" to "command": "py" in your claude.json config.</w:t>
            </w:r>
          </w:p>
        </w:tc>
      </w:tr>
      <w:tr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b/>
                <w:color w:val="1D1D1F"/>
                <w:sz w:val="18"/>
              </w:rPr>
              <w:t>Tool returns mock/simulated data</w:t>
            </w:r>
          </w:p>
        </w:tc>
        <w:tc>
          <w:tcPr>
            <w:tcW w:type="dxa" w:w="5400"/>
            <w:tcBorders>
              <w:bottom w:val="single" w:sz="2" w:color="EEEDEA"/>
            </w:tcBorders>
            <w:tcMar>
              <w:top w:w="25" w:type="dxa"/>
              <w:left w:w="40" w:type="dxa"/>
              <w:bottom w:w="25" w:type="dxa"/>
              <w:right w:w="40" w:type="dxa"/>
            </w:tcMar>
          </w:tcPr>
          <w:p>
            <w:pPr>
              <w:spacing w:before="0" w:after="0"/>
              <w:jc w:val="left"/>
            </w:pPr>
            <w:r/>
            <w:r>
              <w:rPr>
                <w:rFonts w:ascii="Calibri" w:hAnsi="Calibri"/>
                <w:color w:val="1D1D1F"/>
                <w:sz w:val="18"/>
              </w:rPr>
              <w:t>This means the server is running in fallback mode. Contact support — the analysis engine may need to be restarted.</w:t>
            </w:r>
          </w:p>
        </w:tc>
      </w:tr>
    </w:tbl>
    <w:p>
      <w:pPr>
        <w:spacing w:before="0" w:after="40"/>
      </w:pPr>
    </w:p>
    <w:p>
      <w:pPr>
        <w:spacing w:before="0" w:after="80"/>
      </w:pPr>
    </w:p>
    <w:tbl>
      <w:tblPr>
        <w:tblW w:type="auto" w:w="0"/>
        <w:jc w:val="left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10800"/>
      </w:tblGrid>
      <w:tr>
        <w:tc>
          <w:tcPr>
            <w:tcW w:type="dxa" w:w="10800"/>
            <w:shd w:fill="080D18"/>
            <w:tcMar>
              <w:top w:w="40" w:type="dxa"/>
              <w:left w:w="80" w:type="dxa"/>
              <w:bottom w:w="40" w:type="dxa"/>
              <w:right w:w="80" w:type="dxa"/>
            </w:tcMar>
          </w:tcPr>
          <w:p>
            <w:pPr>
              <w:spacing w:before="0" w:after="0"/>
            </w:pPr>
            <w:r>
              <w:rPr>
                <w:rFonts w:ascii="Calibri" w:hAnsi="Calibri"/>
                <w:b/>
                <w:color w:val="FFFFFF"/>
                <w:sz w:val="18"/>
              </w:rPr>
              <w:t>SUPPORT</w:t>
            </w:r>
          </w:p>
        </w:tc>
      </w:tr>
    </w:tbl>
    <w:p>
      <w:pPr>
        <w:spacing w:before="0" w:after="60"/>
      </w:pPr>
    </w:p>
    <w:p>
      <w:pPr>
        <w:spacing w:before="40" w:after="80"/>
      </w:pPr>
      <w:r>
        <w:rPr>
          <w:rFonts w:ascii="Calibri" w:hAnsi="Calibri"/>
          <w:color w:val="1D1D1F"/>
          <w:sz w:val="18"/>
        </w:rPr>
        <w:t>For questions, issues, or feedback during the beta, contact your PinchFin admin directly. We want to hear everything — what worked, what broke, what you wish it did.</w:t>
      </w:r>
    </w:p>
    <w:sectPr w:rsidR="00FC693F" w:rsidRPr="0006063C" w:rsidSect="0003461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40" w:line="240" w:lineRule="auto"/>
    </w:pPr>
    <w:rPr>
      <w:rFonts w:ascii="Calibri" w:hAnsi="Calibri"/>
      <w:color w:val="1D1D1F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