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080D18"/>
            <w:tcMar>
              <w:top w:w="200" w:type="dxa"/>
              <w:left w:w="200" w:type="dxa"/>
              <w:bottom w:w="200" w:type="dxa"/>
              <w:right w:w="200" w:type="dxa"/>
            </w:tcMar>
          </w:tcPr>
          <w:p>
            <w:pPr>
              <w:jc w:val="left"/>
            </w:pPr>
            <w:r>
              <w:rPr>
                <w:rFonts w:ascii="Calibri" w:hAnsi="Calibri"/>
                <w:b/>
                <w:color w:val="FFFFFF"/>
                <w:sz w:val="36"/>
              </w:rPr>
              <w:t>pf</w:t>
            </w:r>
          </w:p>
        </w:tc>
      </w:tr>
    </w:tbl>
    <w:p>
      <w:pPr>
        <w:spacing w:after="0"/>
      </w:pPr>
      <w:r>
        <w:rPr>
          <w:color w:val="9B2335"/>
          <w:sz w:val="8"/>
        </w:rPr>
        <w:t>━━━━━━━━━━━━━━━━━━━━━━━━━━━━━━━━━━━━━━━━━━━━━━━━━━━━━━━━━━━━━━━━━━━━━━━━━━━━━━━━</w:t>
      </w:r>
    </w:p>
    <w:p>
      <w:pPr>
        <w:spacing w:before="0" w:after="120"/>
      </w:pPr>
    </w:p>
    <w:p>
      <w:pPr>
        <w:spacing w:before="0" w:after="120"/>
      </w:pPr>
    </w:p>
    <w:p>
      <w:pPr>
        <w:jc w:val="left"/>
      </w:pPr>
      <w:r>
        <w:rPr>
          <w:rFonts w:ascii="Calibri" w:hAnsi="Calibri"/>
          <w:b/>
          <w:color w:val="080D18"/>
          <w:sz w:val="44"/>
        </w:rPr>
        <w:t>QUICK ANALYSIS COMMAND GUIDE</w:t>
      </w:r>
      <w:r>
        <w:br/>
      </w:r>
    </w:p>
    <w:p>
      <w:pPr>
        <w:spacing w:before="80" w:after="80"/>
      </w:pPr>
      <w:r>
        <w:rPr>
          <w:color w:val="B8CCDB"/>
          <w:sz w:val="12"/>
        </w:rPr>
        <w:t>━━━━━━━━━━━━━━━━━━━━━━━━━━━━━━━━━━━━━━━━━━━━━━━━━━</w:t>
      </w:r>
    </w:p>
    <w:p>
      <w:pPr>
        <w:jc w:val="left"/>
      </w:pPr>
      <w:r>
        <w:rPr>
          <w:rFonts w:ascii="Calibri" w:hAnsi="Calibri"/>
          <w:color w:val="6B7278"/>
          <w:sz w:val="24"/>
        </w:rPr>
        <w:t>PinchFin MCP — Beta Release</w:t>
      </w:r>
    </w:p>
    <w:p>
      <w:pPr>
        <w:spacing w:before="0" w:after="120"/>
      </w:pPr>
    </w:p>
    <w:p>
      <w:pPr>
        <w:spacing w:before="0" w:after="120"/>
      </w:pPr>
    </w:p>
    <w:p>
      <w:pPr>
        <w:spacing w:before="0" w:after="120"/>
      </w:pPr>
    </w:p>
    <w:p>
      <w:r>
        <w:br w:type="page"/>
      </w:r>
    </w:p>
    <w:p>
      <w:pPr>
        <w:spacing w:before="0" w:after="80"/>
      </w:pP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080D18"/>
            <w:tcMar>
              <w:top w:w="40" w:type="dxa"/>
              <w:left w:w="80" w:type="dxa"/>
              <w:bottom w:w="40" w:type="dxa"/>
              <w:right w:w="80" w:type="dxa"/>
            </w:tcMar>
          </w:tcPr>
          <w:p>
            <w:pPr>
              <w:spacing w:before="0" w:after="0"/>
            </w:pPr>
            <w:r>
              <w:rPr>
                <w:rFonts w:ascii="Calibri" w:hAnsi="Calibri"/>
                <w:b/>
                <w:color w:val="FFFFFF"/>
                <w:sz w:val="18"/>
              </w:rPr>
              <w:t>HOW TO GET THE BEST RESULTS</w:t>
            </w:r>
          </w:p>
        </w:tc>
      </w:tr>
    </w:tbl>
    <w:p>
      <w:pPr>
        <w:spacing w:before="0" w:after="60"/>
      </w:pPr>
    </w:p>
    <w:p>
      <w:pPr>
        <w:spacing w:before="40" w:after="80"/>
      </w:pPr>
      <w:r>
        <w:rPr>
          <w:rFonts w:ascii="Calibri" w:hAnsi="Calibri"/>
          <w:color w:val="1D1D1F"/>
          <w:sz w:val="18"/>
        </w:rPr>
        <w:t>PinchFin performs best when you give it complete deal context upfront. The more detail you provide in your initial prompt, the deeper and more accurate the analysis. Copy the command template below, fill in your deal details, and paste it into Claude Code.</w:t>
      </w:r>
    </w:p>
    <w:p>
      <w:pPr>
        <w:spacing w:before="0" w:after="80"/>
      </w:pP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080D18"/>
            <w:tcMar>
              <w:top w:w="40" w:type="dxa"/>
              <w:left w:w="80" w:type="dxa"/>
              <w:bottom w:w="40" w:type="dxa"/>
              <w:right w:w="80" w:type="dxa"/>
            </w:tcMar>
          </w:tcPr>
          <w:p>
            <w:pPr>
              <w:spacing w:before="0" w:after="0"/>
            </w:pPr>
            <w:r>
              <w:rPr>
                <w:rFonts w:ascii="Calibri" w:hAnsi="Calibri"/>
                <w:b/>
                <w:color w:val="FFFFFF"/>
                <w:sz w:val="18"/>
              </w:rPr>
              <w:t>QUICK REVIEW COMMAND TEMPLATE</w:t>
            </w:r>
          </w:p>
        </w:tc>
      </w:tr>
    </w:tbl>
    <w:p>
      <w:pPr>
        <w:spacing w:before="0" w:after="60"/>
      </w:pPr>
    </w:p>
    <w:p>
      <w:pPr>
        <w:spacing w:before="40" w:after="80"/>
      </w:pPr>
      <w:r>
        <w:rPr>
          <w:rFonts w:ascii="Calibri" w:hAnsi="Calibri"/>
          <w:color w:val="1D1D1F"/>
          <w:sz w:val="18"/>
        </w:rPr>
        <w:t>Copy this template, replace the bracketed fields with your deal details, and paste into Claude Code. Fields marked (if available) are optional but improve analysis depth.</w:t>
      </w:r>
    </w:p>
    <w:tbl>
      <w:tblPr>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F8F7F4"/>
            <w:tcBorders>
              <w:left w:val="single" w:sz="16" w:color="080D18"/>
            </w:tcBorders>
            <w:tcMar>
              <w:top w:w="50" w:type="dxa"/>
              <w:left w:w="70" w:type="dxa"/>
              <w:bottom w:w="50" w:type="dxa"/>
              <w:right w:w="70" w:type="dxa"/>
            </w:tcMar>
          </w:tcPr>
          <w:p>
            <w:pPr>
              <w:spacing w:before="0" w:after="40"/>
            </w:pPr>
            <w:r>
              <w:rPr>
                <w:rFonts w:ascii="Calibri" w:hAnsi="Calibri"/>
                <w:b/>
                <w:color w:val="080D18"/>
                <w:sz w:val="18"/>
              </w:rPr>
              <w:t>COMMAND TEMPLATE</w:t>
            </w:r>
          </w:p>
          <w:p>
            <w:pPr>
              <w:spacing w:before="20" w:after="20"/>
            </w:pPr>
            <w:r>
              <w:rPr>
                <w:rFonts w:ascii="Calibri" w:hAnsi="Calibri"/>
                <w:color w:val="1D1D1F"/>
                <w:sz w:val="18"/>
              </w:rPr>
              <w:t>Run a PinchFin Quick Review on this deal.</w:t>
              <w:br/>
              <w:br/>
              <w:t>Property: [Full street address, city, state, zip]</w:t>
              <w:br/>
              <w:t>Units: [Total unit count]</w:t>
              <w:br/>
              <w:t>Year Built: [Year]</w:t>
              <w:br/>
              <w:t>Asset Class: [A / B+ / B / B- / C]</w:t>
              <w:br/>
              <w:t>Property Type: [Multifamily / Mixed-Use / Student / Senior]</w:t>
              <w:br/>
              <w:br/>
              <w:t>Loan Request: $[Amount]</w:t>
              <w:br/>
              <w:t>Loan Purpose: [Acquisition / Refinance / Recapitalization]</w:t>
              <w:br/>
              <w:t>Purchase Price: $[Amount] (if acquisition)</w:t>
              <w:br/>
              <w:t>Current As-Is Value: $[Amount] (if refinance or known)</w:t>
              <w:br/>
              <w:br/>
              <w:t>Sponsor: [Entity name]</w:t>
              <w:br/>
              <w:t>Sponsor Website: [URL if known]</w:t>
              <w:br/>
              <w:br/>
              <w:t>Financials (if available):</w:t>
              <w:br/>
              <w:t>- Current In-Place NOI: $[Amount]</w:t>
              <w:br/>
              <w:t>- Current Average Rent: $[Amount]/unit</w:t>
              <w:br/>
              <w:t>- Pro Forma / Target Rent: $[Amount]/unit</w:t>
              <w:br/>
              <w:t>- Occupancy: [Current %]</w:t>
              <w:br/>
              <w:t>- Renovation Budget: $[Amount] total ($[Amount]/unit)</w:t>
              <w:br/>
              <w:br/>
              <w:t>Business Plan: [Brief description - what does the sponsor plan to do?]</w:t>
              <w:br/>
              <w:br/>
              <w:t>Additional Context: [Anything else relevant - market intel, broker notes,</w:t>
              <w:br/>
              <w:t>known issues, prior relationship with sponsor, timeline pressures]</w:t>
              <w:br/>
              <w:br/>
              <w:t>Run the full screening. Confirm costs before proceeding.</w:t>
            </w:r>
          </w:p>
        </w:tc>
      </w:tr>
    </w:tbl>
    <w:p>
      <w:pPr>
        <w:spacing w:before="0" w:after="40"/>
      </w:pPr>
    </w:p>
    <w:p>
      <w:pPr>
        <w:spacing w:before="0" w:after="80"/>
      </w:pP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080D18"/>
            <w:tcMar>
              <w:top w:w="40" w:type="dxa"/>
              <w:left w:w="80" w:type="dxa"/>
              <w:bottom w:w="40" w:type="dxa"/>
              <w:right w:w="80" w:type="dxa"/>
            </w:tcMar>
          </w:tcPr>
          <w:p>
            <w:pPr>
              <w:spacing w:before="0" w:after="0"/>
            </w:pPr>
            <w:r>
              <w:rPr>
                <w:rFonts w:ascii="Calibri" w:hAnsi="Calibri"/>
                <w:b/>
                <w:color w:val="FFFFFF"/>
                <w:sz w:val="18"/>
              </w:rPr>
              <w:t>EXAMPLE (FILLED IN)</w:t>
            </w:r>
          </w:p>
        </w:tc>
      </w:tr>
    </w:tbl>
    <w:p>
      <w:pPr>
        <w:spacing w:before="0" w:after="60"/>
      </w:pPr>
    </w:p>
    <w:tbl>
      <w:tblPr>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F8F7F4"/>
            <w:tcBorders>
              <w:left w:val="single" w:sz="16" w:color="080D18"/>
            </w:tcBorders>
            <w:tcMar>
              <w:top w:w="50" w:type="dxa"/>
              <w:left w:w="70" w:type="dxa"/>
              <w:bottom w:w="50" w:type="dxa"/>
              <w:right w:w="70" w:type="dxa"/>
            </w:tcMar>
          </w:tcPr>
          <w:p>
            <w:pPr>
              <w:spacing w:before="0" w:after="40"/>
            </w:pPr>
            <w:r>
              <w:rPr>
                <w:rFonts w:ascii="Calibri" w:hAnsi="Calibri"/>
                <w:b/>
                <w:color w:val="080D18"/>
                <w:sz w:val="18"/>
              </w:rPr>
              <w:t>SAMPLE COMMAND</w:t>
            </w:r>
          </w:p>
          <w:p>
            <w:pPr>
              <w:spacing w:before="20" w:after="20"/>
            </w:pPr>
            <w:r>
              <w:rPr>
                <w:rFonts w:ascii="Calibri" w:hAnsi="Calibri"/>
                <w:color w:val="1D1D1F"/>
                <w:sz w:val="18"/>
              </w:rPr>
              <w:t>Run a PinchFin Quick Review on this deal.</w:t>
              <w:br/>
              <w:br/>
              <w:t>Property: 5700 Clemson Dr, Dallas, TX 75214</w:t>
              <w:br/>
              <w:t>Units: 165</w:t>
              <w:br/>
              <w:t>Year Built: 1985</w:t>
              <w:br/>
              <w:t>Asset Class: B-</w:t>
              <w:br/>
              <w:t>Property Type: Multifamily</w:t>
              <w:br/>
              <w:br/>
              <w:t>Loan Request: $42,000,000</w:t>
              <w:br/>
              <w:t>Loan Purpose: Acquisition</w:t>
              <w:br/>
              <w:t>Purchase Price: $57,750,000</w:t>
              <w:br/>
              <w:br/>
              <w:t>Sponsor: Lone Star Realty Partners</w:t>
              <w:br/>
              <w:t>Sponsor Website: lonestarrealty.com</w:t>
              <w:br/>
              <w:br/>
              <w:t>Financials:</w:t>
              <w:br/>
              <w:t>- Current In-Place NOI: $2,850,000</w:t>
              <w:br/>
              <w:t>- Current Average Rent: $1,425/unit</w:t>
              <w:br/>
              <w:t>- Pro Forma / Target Rent: $1,750/unit</w:t>
              <w:br/>
              <w:t>- Occupancy: 91%</w:t>
              <w:br/>
              <w:t>- Renovation Budget: $4,950,000 total ($30,000/unit)</w:t>
              <w:br/>
              <w:br/>
              <w:t>Business Plan: Interior renovations on 120 of 165 units - new kitchens,</w:t>
              <w:br/>
              <w:t>baths, flooring, fixtures. Exterior: parking lot, pool, dog park, package</w:t>
              <w:br/>
              <w:t>lockers. Targeting $325/unit premium on renovated units over 24 months.</w:t>
              <w:br/>
              <w:t>Sponsor has completed 3 similar projects in DFW.</w:t>
              <w:br/>
              <w:br/>
              <w:t>Additional Context: Broker is IPA Dallas. Competitive process - sponsor</w:t>
              <w:br/>
              <w:t>needs term sheet by end of month. Zone X (no flood). No affordable units.</w:t>
              <w:br/>
              <w:br/>
              <w:t>Run the full screening. Confirm costs before proceeding.</w:t>
            </w:r>
          </w:p>
        </w:tc>
      </w:tr>
    </w:tbl>
    <w:p>
      <w:pPr>
        <w:spacing w:before="0" w:after="40"/>
      </w:pPr>
    </w:p>
    <w:p>
      <w:pPr>
        <w:spacing w:before="0" w:after="80"/>
      </w:pP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080D18"/>
            <w:tcMar>
              <w:top w:w="40" w:type="dxa"/>
              <w:left w:w="80" w:type="dxa"/>
              <w:bottom w:w="40" w:type="dxa"/>
              <w:right w:w="80" w:type="dxa"/>
            </w:tcMar>
          </w:tcPr>
          <w:p>
            <w:pPr>
              <w:spacing w:before="0" w:after="0"/>
            </w:pPr>
            <w:r>
              <w:rPr>
                <w:rFonts w:ascii="Calibri" w:hAnsi="Calibri"/>
                <w:b/>
                <w:color w:val="FFFFFF"/>
                <w:sz w:val="18"/>
              </w:rPr>
              <w:t>WHAT YOU GET BACK</w:t>
            </w:r>
          </w:p>
        </w:tc>
      </w:tr>
    </w:tbl>
    <w:p>
      <w:pPr>
        <w:spacing w:before="0" w:after="60"/>
      </w:pPr>
    </w:p>
    <w:p>
      <w:pPr>
        <w:spacing w:before="40" w:after="80"/>
      </w:pPr>
      <w:r>
        <w:rPr>
          <w:rFonts w:ascii="Calibri" w:hAnsi="Calibri"/>
          <w:color w:val="1D1D1F"/>
          <w:sz w:val="18"/>
        </w:rPr>
        <w:t>PinchFin runs a multi-step analysis internally and returns a comprehensive screening package:</w:t>
      </w: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V w:val="none" w:sz="0" w:color="auto"/>
        </w:tblBorders>
      </w:tblPr>
      <w:tblGrid>
        <w:gridCol w:w="3600"/>
        <w:gridCol w:w="3600"/>
        <w:gridCol w:w="3600"/>
      </w:tblGrid>
      <w:tr>
        <w:tc>
          <w:tcPr>
            <w:tcW w:type="dxa" w:w="3600"/>
            <w:tcBorders>
              <w:bottom w:val="single" w:sz="8" w:color="080D18"/>
            </w:tcBorders>
            <w:tcMar>
              <w:top w:w="25" w:type="dxa"/>
              <w:left w:w="40" w:type="dxa"/>
              <w:bottom w:w="25" w:type="dxa"/>
              <w:right w:w="40" w:type="dxa"/>
            </w:tcMar>
          </w:tcPr>
          <w:p>
            <w:pPr>
              <w:spacing w:before="0" w:after="0"/>
              <w:jc w:val="left"/>
            </w:pPr>
            <w:r/>
            <w:r>
              <w:rPr>
                <w:rFonts w:ascii="Calibri" w:hAnsi="Calibri"/>
                <w:b/>
                <w:color w:val="080D18"/>
                <w:sz w:val="16"/>
              </w:rPr>
              <w:t>Step</w:t>
            </w:r>
          </w:p>
        </w:tc>
        <w:tc>
          <w:tcPr>
            <w:tcW w:type="dxa" w:w="3600"/>
            <w:tcBorders>
              <w:bottom w:val="single" w:sz="8" w:color="080D18"/>
            </w:tcBorders>
            <w:tcMar>
              <w:top w:w="25" w:type="dxa"/>
              <w:left w:w="40" w:type="dxa"/>
              <w:bottom w:w="25" w:type="dxa"/>
              <w:right w:w="40" w:type="dxa"/>
            </w:tcMar>
          </w:tcPr>
          <w:p>
            <w:pPr>
              <w:spacing w:before="0" w:after="0"/>
              <w:jc w:val="left"/>
            </w:pPr>
            <w:r/>
            <w:r>
              <w:rPr>
                <w:rFonts w:ascii="Calibri" w:hAnsi="Calibri"/>
                <w:b/>
                <w:color w:val="080D18"/>
                <w:sz w:val="16"/>
              </w:rPr>
              <w:t>Analysis</w:t>
            </w:r>
          </w:p>
        </w:tc>
        <w:tc>
          <w:tcPr>
            <w:tcW w:type="dxa" w:w="3600"/>
            <w:tcBorders>
              <w:bottom w:val="single" w:sz="8" w:color="080D18"/>
            </w:tcBorders>
            <w:tcMar>
              <w:top w:w="25" w:type="dxa"/>
              <w:left w:w="40" w:type="dxa"/>
              <w:bottom w:w="25" w:type="dxa"/>
              <w:right w:w="40" w:type="dxa"/>
            </w:tcMar>
          </w:tcPr>
          <w:p>
            <w:pPr>
              <w:spacing w:before="0" w:after="0"/>
              <w:jc w:val="left"/>
            </w:pPr>
            <w:r/>
            <w:r>
              <w:rPr>
                <w:rFonts w:ascii="Calibri" w:hAnsi="Calibri"/>
                <w:b/>
                <w:color w:val="080D18"/>
                <w:sz w:val="16"/>
              </w:rPr>
              <w:t>What It Covers</w:t>
            </w:r>
          </w:p>
        </w:tc>
      </w:tr>
      <w:tr>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1</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Deal Screening</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b/>
                <w:color w:val="1B6B3A"/>
                <w:sz w:val="18"/>
              </w:rPr>
              <w:t>6-constraint credit box waterfall — pass/fail with binding constraint</w:t>
            </w:r>
          </w:p>
        </w:tc>
      </w:tr>
      <w:tr>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2</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Sponsor Due Diligence</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Entity verification, track record, litigation, experience score (0-12)</w:t>
            </w:r>
          </w:p>
        </w:tc>
      </w:tr>
      <w:tr>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3</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Market Research</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MSA fundamentals, employment, rent trends, vacancy, supply pipeline</w:t>
            </w:r>
          </w:p>
        </w:tc>
      </w:tr>
      <w:tr>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4</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Comparable Analysis</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5-7 rent comps, 3-5 sales comps with adjustments and conclusions</w:t>
            </w:r>
          </w:p>
        </w:tc>
      </w:tr>
      <w:tr>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5</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Cash Flow &amp; Sizing</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Constraint-based loan sizing with rate stress and NOI sensitivity</w:t>
            </w:r>
          </w:p>
        </w:tc>
      </w:tr>
      <w:tr>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6</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Synthesis</w:t>
            </w:r>
          </w:p>
        </w:tc>
        <w:tc>
          <w:tcPr>
            <w:tcW w:type="dxa" w:w="36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Overall recommendation with risk assessment and DD questions</w:t>
            </w:r>
          </w:p>
        </w:tc>
      </w:tr>
    </w:tbl>
    <w:p>
      <w:pPr>
        <w:spacing w:before="0" w:after="40"/>
      </w:pP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5400"/>
        <w:gridCol w:w="5400"/>
      </w:tblGrid>
      <w:tr>
        <w:tc>
          <w:tcPr>
            <w:tcW w:type="dxa" w:w="3600"/>
            <w:tcMar>
              <w:top w:w="15" w:type="dxa"/>
              <w:left w:w="40" w:type="dxa"/>
              <w:bottom w:w="15" w:type="dxa"/>
              <w:right w:w="10" w:type="dxa"/>
            </w:tcMar>
          </w:tcPr>
          <w:p>
            <w:pPr>
              <w:spacing w:before="0" w:after="0"/>
            </w:pPr>
            <w:r/>
            <w:r>
              <w:rPr>
                <w:rFonts w:ascii="Calibri" w:hAnsi="Calibri"/>
                <w:color w:val="1D1D1F"/>
                <w:sz w:val="18"/>
              </w:rPr>
              <w:t>Output</w:t>
            </w:r>
          </w:p>
        </w:tc>
        <w:tc>
          <w:tcPr>
            <w:tcW w:type="dxa" w:w="2880"/>
            <w:tcMar>
              <w:top w:w="15" w:type="dxa"/>
              <w:left w:w="10" w:type="dxa"/>
              <w:bottom w:w="15" w:type="dxa"/>
              <w:right w:w="40" w:type="dxa"/>
            </w:tcMar>
          </w:tcPr>
          <w:p>
            <w:pPr>
              <w:spacing w:before="0" w:after="0"/>
              <w:jc w:val="right"/>
            </w:pPr>
            <w:r/>
            <w:r>
              <w:rPr>
                <w:rFonts w:ascii="Calibri" w:hAnsi="Calibri"/>
                <w:b/>
                <w:color w:val="1B6B3A"/>
                <w:sz w:val="18"/>
              </w:rPr>
              <w:t>PASS / CONDITIONAL / FAIL recommendation with full supporting analysis</w:t>
            </w:r>
          </w:p>
        </w:tc>
      </w:tr>
      <w:tr>
        <w:tc>
          <w:tcPr>
            <w:tcW w:type="dxa" w:w="3600"/>
            <w:tcMar>
              <w:top w:w="15" w:type="dxa"/>
              <w:left w:w="40" w:type="dxa"/>
              <w:bottom w:w="15" w:type="dxa"/>
              <w:right w:w="10" w:type="dxa"/>
            </w:tcMar>
          </w:tcPr>
          <w:p>
            <w:pPr>
              <w:spacing w:before="0" w:after="0"/>
            </w:pPr>
            <w:r/>
            <w:r>
              <w:rPr>
                <w:rFonts w:ascii="Calibri" w:hAnsi="Calibri"/>
                <w:color w:val="1D1D1F"/>
                <w:sz w:val="18"/>
              </w:rPr>
              <w:t>Reports</w:t>
            </w:r>
          </w:p>
        </w:tc>
        <w:tc>
          <w:tcPr>
            <w:tcW w:type="dxa" w:w="2880"/>
            <w:tcMar>
              <w:top w:w="15" w:type="dxa"/>
              <w:left w:w="10" w:type="dxa"/>
              <w:bottom w:w="15" w:type="dxa"/>
              <w:right w:w="40" w:type="dxa"/>
            </w:tcMar>
          </w:tcPr>
          <w:p>
            <w:pPr>
              <w:spacing w:before="0" w:after="0"/>
              <w:jc w:val="right"/>
            </w:pPr>
            <w:r/>
            <w:r>
              <w:rPr>
                <w:rFonts w:ascii="Calibri" w:hAnsi="Calibri"/>
                <w:b/>
                <w:color w:val="1D1D1F"/>
                <w:sz w:val="18"/>
              </w:rPr>
              <w:t>Branded DOCX reports available for download</w:t>
            </w:r>
          </w:p>
        </w:tc>
      </w:tr>
      <w:tr>
        <w:tc>
          <w:tcPr>
            <w:tcW w:type="dxa" w:w="3600"/>
            <w:tcMar>
              <w:top w:w="15" w:type="dxa"/>
              <w:left w:w="40" w:type="dxa"/>
              <w:bottom w:w="15" w:type="dxa"/>
              <w:right w:w="10" w:type="dxa"/>
            </w:tcMar>
          </w:tcPr>
          <w:p>
            <w:pPr>
              <w:spacing w:before="0" w:after="0"/>
            </w:pPr>
            <w:r/>
            <w:r>
              <w:rPr>
                <w:rFonts w:ascii="Calibri" w:hAnsi="Calibri"/>
                <w:color w:val="1D1D1F"/>
                <w:sz w:val="18"/>
              </w:rPr>
              <w:t>Typical Cost</w:t>
            </w:r>
          </w:p>
        </w:tc>
        <w:tc>
          <w:tcPr>
            <w:tcW w:type="dxa" w:w="2880"/>
            <w:tcMar>
              <w:top w:w="15" w:type="dxa"/>
              <w:left w:w="10" w:type="dxa"/>
              <w:bottom w:w="15" w:type="dxa"/>
              <w:right w:w="40" w:type="dxa"/>
            </w:tcMar>
          </w:tcPr>
          <w:p>
            <w:pPr>
              <w:spacing w:before="0" w:after="0"/>
              <w:jc w:val="right"/>
            </w:pPr>
            <w:r/>
            <w:r>
              <w:rPr>
                <w:rFonts w:ascii="Calibri" w:hAnsi="Calibri"/>
                <w:b/>
                <w:color w:val="1D1D1F"/>
                <w:sz w:val="18"/>
              </w:rPr>
              <w:t>$3–6 for the full Quick Review</w:t>
            </w:r>
          </w:p>
        </w:tc>
      </w:tr>
      <w:tr>
        <w:tc>
          <w:tcPr>
            <w:tcW w:type="dxa" w:w="3600"/>
            <w:tcMar>
              <w:top w:w="15" w:type="dxa"/>
              <w:left w:w="40" w:type="dxa"/>
              <w:bottom w:w="15" w:type="dxa"/>
              <w:right w:w="10" w:type="dxa"/>
            </w:tcMar>
          </w:tcPr>
          <w:p>
            <w:pPr>
              <w:spacing w:before="0" w:after="0"/>
            </w:pPr>
            <w:r/>
            <w:r>
              <w:rPr>
                <w:rFonts w:ascii="Calibri" w:hAnsi="Calibri"/>
                <w:color w:val="1D1D1F"/>
                <w:sz w:val="18"/>
              </w:rPr>
              <w:t>Typical Time</w:t>
            </w:r>
          </w:p>
        </w:tc>
        <w:tc>
          <w:tcPr>
            <w:tcW w:type="dxa" w:w="2880"/>
            <w:tcMar>
              <w:top w:w="15" w:type="dxa"/>
              <w:left w:w="10" w:type="dxa"/>
              <w:bottom w:w="15" w:type="dxa"/>
              <w:right w:w="40" w:type="dxa"/>
            </w:tcMar>
          </w:tcPr>
          <w:p>
            <w:pPr>
              <w:spacing w:before="0" w:after="0"/>
              <w:jc w:val="right"/>
            </w:pPr>
            <w:r/>
            <w:r>
              <w:rPr>
                <w:rFonts w:ascii="Calibri" w:hAnsi="Calibri"/>
                <w:b/>
                <w:color w:val="1D1D1F"/>
                <w:sz w:val="18"/>
              </w:rPr>
              <w:t>~2 minutes</w:t>
            </w:r>
          </w:p>
        </w:tc>
      </w:tr>
    </w:tbl>
    <w:p>
      <w:pPr>
        <w:spacing w:before="0" w:after="80"/>
      </w:pP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080D18"/>
            <w:tcMar>
              <w:top w:w="40" w:type="dxa"/>
              <w:left w:w="80" w:type="dxa"/>
              <w:bottom w:w="40" w:type="dxa"/>
              <w:right w:w="80" w:type="dxa"/>
            </w:tcMar>
          </w:tcPr>
          <w:p>
            <w:pPr>
              <w:spacing w:before="0" w:after="0"/>
            </w:pPr>
            <w:r>
              <w:rPr>
                <w:rFonts w:ascii="Calibri" w:hAnsi="Calibri"/>
                <w:b/>
                <w:color w:val="FFFFFF"/>
                <w:sz w:val="18"/>
              </w:rPr>
              <w:t>GOING DEEPER — FOLLOW-UP PROMPTS</w:t>
            </w:r>
          </w:p>
        </w:tc>
      </w:tr>
    </w:tbl>
    <w:p>
      <w:pPr>
        <w:spacing w:before="0" w:after="60"/>
      </w:pPr>
    </w:p>
    <w:p>
      <w:pPr>
        <w:spacing w:before="40" w:after="80"/>
      </w:pPr>
      <w:r>
        <w:rPr>
          <w:rFonts w:ascii="Calibri" w:hAnsi="Calibri"/>
          <w:color w:val="1D1D1F"/>
          <w:sz w:val="18"/>
        </w:rPr>
        <w:t>After the Quick Review, stay in the same conversation and ask follow-up questions. Claude maintains context from the screening.</w:t>
      </w: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V w:val="none" w:sz="0" w:color="auto"/>
        </w:tblBorders>
      </w:tblPr>
      <w:tblGrid>
        <w:gridCol w:w="5400"/>
        <w:gridCol w:w="5400"/>
      </w:tblGrid>
      <w:tr>
        <w:tc>
          <w:tcPr>
            <w:tcW w:type="dxa" w:w="5400"/>
            <w:tcBorders>
              <w:bottom w:val="single" w:sz="8" w:color="080D18"/>
            </w:tcBorders>
            <w:tcMar>
              <w:top w:w="25" w:type="dxa"/>
              <w:left w:w="40" w:type="dxa"/>
              <w:bottom w:w="25" w:type="dxa"/>
              <w:right w:w="40" w:type="dxa"/>
            </w:tcMar>
          </w:tcPr>
          <w:p>
            <w:pPr>
              <w:spacing w:before="0" w:after="0"/>
              <w:jc w:val="left"/>
            </w:pPr>
            <w:r/>
            <w:r>
              <w:rPr>
                <w:rFonts w:ascii="Calibri" w:hAnsi="Calibri"/>
                <w:b/>
                <w:color w:val="080D18"/>
                <w:sz w:val="16"/>
              </w:rPr>
              <w:t>Scenario</w:t>
            </w:r>
          </w:p>
        </w:tc>
        <w:tc>
          <w:tcPr>
            <w:tcW w:type="dxa" w:w="5400"/>
            <w:tcBorders>
              <w:bottom w:val="single" w:sz="8" w:color="080D18"/>
            </w:tcBorders>
            <w:tcMar>
              <w:top w:w="25" w:type="dxa"/>
              <w:left w:w="40" w:type="dxa"/>
              <w:bottom w:w="25" w:type="dxa"/>
              <w:right w:w="40" w:type="dxa"/>
            </w:tcMar>
          </w:tcPr>
          <w:p>
            <w:pPr>
              <w:spacing w:before="0" w:after="0"/>
              <w:jc w:val="left"/>
            </w:pPr>
            <w:r/>
            <w:r>
              <w:rPr>
                <w:rFonts w:ascii="Calibri" w:hAnsi="Calibri"/>
                <w:b/>
                <w:color w:val="080D18"/>
                <w:sz w:val="16"/>
              </w:rPr>
              <w:t>What to Say</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Sponsor came back B-tier</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"What specifically are the concerns with this sponsor?"</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Need more market detail</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"Run a deeper market analysis — I want supply pipeline detail"</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Test different spread</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"Size the loan at SOFR + 300 instead of 350"</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Stress test NOI</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"What if NOI is 10% lower than projected?"</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Compare to another deal</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"How does this compare to the Austin deal I screened earlier?"</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Need comp detail</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"Show me more detail on the rent comps — adjusted rents by unit type"</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Nuance question</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"This deal has a PILOT tax abatement expiring in 2029. Analyze the impact."</w:t>
            </w:r>
          </w:p>
        </w:tc>
      </w:tr>
    </w:tbl>
    <w:p>
      <w:pPr>
        <w:spacing w:before="0" w:after="40"/>
      </w:pPr>
    </w:p>
    <w:p>
      <w:pPr>
        <w:spacing w:before="0" w:after="80"/>
      </w:pP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080D18"/>
            <w:tcMar>
              <w:top w:w="40" w:type="dxa"/>
              <w:left w:w="80" w:type="dxa"/>
              <w:bottom w:w="40" w:type="dxa"/>
              <w:right w:w="80" w:type="dxa"/>
            </w:tcMar>
          </w:tcPr>
          <w:p>
            <w:pPr>
              <w:spacing w:before="0" w:after="0"/>
            </w:pPr>
            <w:r>
              <w:rPr>
                <w:rFonts w:ascii="Calibri" w:hAnsi="Calibri"/>
                <w:b/>
                <w:color w:val="FFFFFF"/>
                <w:sz w:val="18"/>
              </w:rPr>
              <w:t>STANDALONE COMMANDS</w:t>
            </w:r>
          </w:p>
        </w:tc>
      </w:tr>
    </w:tbl>
    <w:p>
      <w:pPr>
        <w:spacing w:before="0" w:after="60"/>
      </w:pPr>
    </w:p>
    <w:p>
      <w:pPr>
        <w:spacing w:before="40" w:after="80"/>
      </w:pPr>
      <w:r>
        <w:rPr>
          <w:rFonts w:ascii="Calibri" w:hAnsi="Calibri"/>
          <w:color w:val="1D1D1F"/>
          <w:sz w:val="18"/>
        </w:rPr>
        <w:t>You don't always need the full Quick Review. Use individual tools when you need one specific answer.</w:t>
      </w: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V w:val="none" w:sz="0" w:color="auto"/>
        </w:tblBorders>
      </w:tblPr>
      <w:tblGrid>
        <w:gridCol w:w="5400"/>
        <w:gridCol w:w="5400"/>
      </w:tblGrid>
      <w:tr>
        <w:tc>
          <w:tcPr>
            <w:tcW w:type="dxa" w:w="5400"/>
            <w:tcBorders>
              <w:bottom w:val="single" w:sz="8" w:color="080D18"/>
            </w:tcBorders>
            <w:tcMar>
              <w:top w:w="25" w:type="dxa"/>
              <w:left w:w="40" w:type="dxa"/>
              <w:bottom w:w="25" w:type="dxa"/>
              <w:right w:w="40" w:type="dxa"/>
            </w:tcMar>
          </w:tcPr>
          <w:p>
            <w:pPr>
              <w:spacing w:before="0" w:after="0"/>
              <w:jc w:val="left"/>
            </w:pPr>
            <w:r/>
            <w:r>
              <w:rPr>
                <w:rFonts w:ascii="Calibri" w:hAnsi="Calibri"/>
                <w:b/>
                <w:color w:val="080D18"/>
                <w:sz w:val="16"/>
              </w:rPr>
              <w:t>What You Need</w:t>
            </w:r>
          </w:p>
        </w:tc>
        <w:tc>
          <w:tcPr>
            <w:tcW w:type="dxa" w:w="5400"/>
            <w:tcBorders>
              <w:bottom w:val="single" w:sz="8" w:color="080D18"/>
            </w:tcBorders>
            <w:tcMar>
              <w:top w:w="25" w:type="dxa"/>
              <w:left w:w="40" w:type="dxa"/>
              <w:bottom w:w="25" w:type="dxa"/>
              <w:right w:w="40" w:type="dxa"/>
            </w:tcMar>
          </w:tcPr>
          <w:p>
            <w:pPr>
              <w:spacing w:before="0" w:after="0"/>
              <w:jc w:val="left"/>
            </w:pPr>
            <w:r/>
            <w:r>
              <w:rPr>
                <w:rFonts w:ascii="Calibri" w:hAnsi="Calibri"/>
                <w:b/>
                <w:color w:val="080D18"/>
                <w:sz w:val="16"/>
              </w:rPr>
              <w:t>What to Say</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B6B3A"/>
                <w:sz w:val="18"/>
              </w:rPr>
              <w:t>Quick pass/fail</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"Screen this deal: [address], [units] units, $[amount] loan"</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How much can they borrow</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"How much can I lend on a $60M asset with $3.2M NOI?"</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Sponsor background</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"Run sponsor diligence on [Sponsor Name]"</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Market snapshot</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"What does the multifamily market look like around [address]?"</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Rent and sale comps</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"Pull comps for a 200-unit Class B in [city/submarket]"</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Rate and pricing</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"Price a $30M floating rate loan at SOFR + 350"</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Compare term sheets</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"Compare these term sheets: [paste details]"</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Value-add feasibility</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"Is a $25K/unit renovation justified at [address]?"</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Complex deal features</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"This deal has a ground lease expiring in 40 years. Analyze the impact."</w:t>
            </w:r>
          </w:p>
        </w:tc>
      </w:tr>
      <w:tr>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b/>
                <w:color w:val="1D1D1F"/>
                <w:sz w:val="18"/>
              </w:rPr>
              <w:t>Check your balance</w:t>
            </w:r>
          </w:p>
        </w:tc>
        <w:tc>
          <w:tcPr>
            <w:tcW w:type="dxa" w:w="5400"/>
            <w:tcBorders>
              <w:bottom w:val="single" w:sz="2" w:color="EEEDEA"/>
            </w:tcBorders>
            <w:tcMar>
              <w:top w:w="25" w:type="dxa"/>
              <w:left w:w="40" w:type="dxa"/>
              <w:bottom w:w="25" w:type="dxa"/>
              <w:right w:w="40" w:type="dxa"/>
            </w:tcMar>
          </w:tcPr>
          <w:p>
            <w:pPr>
              <w:spacing w:before="0" w:after="0"/>
              <w:jc w:val="left"/>
            </w:pPr>
            <w:r/>
            <w:r>
              <w:rPr>
                <w:rFonts w:ascii="Calibri" w:hAnsi="Calibri"/>
                <w:color w:val="1D1D1F"/>
                <w:sz w:val="18"/>
              </w:rPr>
              <w:t>"Check my PinchFin balance"</w:t>
            </w:r>
          </w:p>
        </w:tc>
      </w:tr>
    </w:tbl>
    <w:p>
      <w:pPr>
        <w:spacing w:before="0" w:after="40"/>
      </w:pPr>
    </w:p>
    <w:p>
      <w:pPr>
        <w:spacing w:before="0" w:after="80"/>
      </w:pPr>
    </w:p>
    <w:tbl>
      <w:tblPr>
        <w:tblW w:type="auto" w:w="0"/>
        <w:jc w:val="left"/>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10800"/>
      </w:tblGrid>
      <w:tr>
        <w:tc>
          <w:tcPr>
            <w:tcW w:type="dxa" w:w="10800"/>
            <w:shd w:fill="080D18"/>
            <w:tcMar>
              <w:top w:w="40" w:type="dxa"/>
              <w:left w:w="80" w:type="dxa"/>
              <w:bottom w:w="40" w:type="dxa"/>
              <w:right w:w="80" w:type="dxa"/>
            </w:tcMar>
          </w:tcPr>
          <w:p>
            <w:pPr>
              <w:spacing w:before="0" w:after="0"/>
            </w:pPr>
            <w:r>
              <w:rPr>
                <w:rFonts w:ascii="Calibri" w:hAnsi="Calibri"/>
                <w:b/>
                <w:color w:val="FFFFFF"/>
                <w:sz w:val="18"/>
              </w:rPr>
              <w:t>TIPS</w:t>
            </w:r>
          </w:p>
        </w:tc>
      </w:tr>
    </w:tbl>
    <w:p>
      <w:pPr>
        <w:spacing w:before="0" w:after="60"/>
      </w:pPr>
    </w:p>
    <w:p>
      <w:pPr>
        <w:spacing w:before="40" w:after="80"/>
      </w:pPr>
      <w:r>
        <w:rPr>
          <w:rFonts w:ascii="Calibri" w:hAnsi="Calibri"/>
          <w:color w:val="1D1D1F"/>
          <w:sz w:val="18"/>
        </w:rPr>
        <w:t>More context = better analysis. The template fields aren't all required, but every detail you provide makes the output sharper. At minimum, provide: address, units, loan amount, and sponsor name.</w:t>
      </w:r>
    </w:p>
    <w:p>
      <w:pPr>
        <w:spacing w:before="40" w:after="80"/>
      </w:pPr>
      <w:r>
        <w:rPr>
          <w:rFonts w:ascii="Calibri" w:hAnsi="Calibri"/>
          <w:color w:val="1D1D1F"/>
          <w:sz w:val="18"/>
        </w:rPr>
        <w:t>Don't worry about formatting. You can write it as a paragraph, bullet points, or the template above. PinchFin extracts what it needs regardless of format.</w:t>
      </w:r>
    </w:p>
    <w:p>
      <w:pPr>
        <w:spacing w:before="40" w:after="80"/>
      </w:pPr>
      <w:r>
        <w:rPr>
          <w:rFonts w:ascii="Calibri" w:hAnsi="Calibri"/>
          <w:color w:val="1D1D1F"/>
          <w:sz w:val="18"/>
        </w:rPr>
        <w:t>Cost estimates first. PinchFin always shows you the cost before running. You confirm every charge. No surprises.</w:t>
      </w:r>
    </w:p>
    <w:p>
      <w:pPr>
        <w:spacing w:before="40" w:after="80"/>
      </w:pPr>
      <w:r>
        <w:rPr>
          <w:rFonts w:ascii="Calibri" w:hAnsi="Calibri"/>
          <w:color w:val="1D1D1F"/>
          <w:sz w:val="18"/>
        </w:rPr>
        <w:t>Chain analyses in conversation. Run a screen first, then drill into sponsor or market as needed. Claude maintains context across the conversation.</w:t>
      </w:r>
    </w:p>
    <w:p>
      <w:pPr>
        <w:spacing w:before="40" w:after="80"/>
      </w:pPr>
      <w:r>
        <w:rPr>
          <w:rFonts w:ascii="Calibri" w:hAnsi="Calibri"/>
          <w:color w:val="1D1D1F"/>
          <w:sz w:val="18"/>
        </w:rPr>
        <w:t>Re-runs are 35% cheaper. If you need to re-analyze a deal with updated assumptions, mention it's a re-run for the discount.</w:t>
      </w:r>
    </w:p>
    <w:sectPr w:rsidR="00FC693F" w:rsidRPr="0006063C" w:rsidSect="000346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40" w:line="240" w:lineRule="auto"/>
    </w:pPr>
    <w:rPr>
      <w:rFonts w:ascii="Calibri" w:hAnsi="Calibri"/>
      <w:color w:val="1D1D1F"/>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